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925EE">
      <w:pPr>
        <w:snapToGrid w:val="0"/>
        <w:spacing w:line="480" w:lineRule="auto"/>
        <w:contextualSpacing/>
        <w:jc w:val="both"/>
        <w:rPr>
          <w:rFonts w:asciiTheme="majorBidi" w:hAnsiTheme="majorBidi" w:cstheme="majorBidi"/>
          <w:b/>
          <w:sz w:val="28"/>
          <w:lang w:val="en-GB"/>
        </w:rPr>
      </w:pPr>
      <w:r>
        <w:rPr>
          <w:rFonts w:eastAsia="Times New Roman" w:asciiTheme="majorBidi" w:hAnsiTheme="majorBidi" w:cstheme="majorBidi"/>
          <w:b/>
          <w:sz w:val="28"/>
          <w:lang w:val="en-GB"/>
        </w:rPr>
        <w:t>Supplementary Materials</w:t>
      </w:r>
    </w:p>
    <w:p w14:paraId="4FB14FC0">
      <w:pPr>
        <w:snapToGrid w:val="0"/>
        <w:spacing w:after="0" w:line="360" w:lineRule="auto"/>
        <w:contextualSpacing/>
        <w:jc w:val="both"/>
        <w:rPr>
          <w:rFonts w:eastAsia="Times New Roman" w:asciiTheme="majorBidi" w:hAnsiTheme="majorBidi" w:cstheme="majorBidi"/>
          <w:lang w:val="en-GB"/>
        </w:rPr>
      </w:pPr>
      <w:r>
        <w:rPr>
          <w:rFonts w:ascii="Times New Roman" w:hAnsi="Times New Roman" w:cs="Times New Roman"/>
          <w:b/>
          <w:lang w:val="en-GB"/>
        </w:rPr>
        <w:t xml:space="preserve">Supplemental Fig. S1. </w:t>
      </w:r>
      <w:r>
        <w:rPr>
          <w:rFonts w:ascii="Times New Roman" w:hAnsi="Times New Roman" w:cs="Times New Roman"/>
          <w:bCs/>
          <w:lang w:val="en-GB"/>
        </w:rPr>
        <w:t xml:space="preserve">Gene-expression profiles and pathway-enrichment analysis in KC. </w:t>
      </w:r>
      <w:r>
        <w:rPr>
          <w:rFonts w:ascii="Times New Roman" w:hAnsi="Times New Roman" w:cs="Times New Roman"/>
          <w:b/>
          <w:bCs/>
          <w:lang w:val="en-GB"/>
        </w:rPr>
        <w:t>a</w:t>
      </w:r>
      <w:r>
        <w:rPr>
          <w:rFonts w:ascii="Times New Roman" w:hAnsi="Times New Roman" w:cs="Times New Roman"/>
          <w:lang w:val="en-GB"/>
        </w:rPr>
        <w:t xml:space="preserve"> Venn diagram of gene-expression overlaps among male and female patients with KC and controls. </w:t>
      </w:r>
      <w:r>
        <w:rPr>
          <w:rFonts w:ascii="Times New Roman" w:hAnsi="Times New Roman" w:cs="Times New Roman"/>
          <w:b/>
          <w:lang w:val="en-GB"/>
        </w:rPr>
        <w:t>b</w:t>
      </w:r>
      <w:r>
        <w:rPr>
          <w:rFonts w:ascii="Times New Roman" w:hAnsi="Times New Roman" w:cs="Times New Roman"/>
          <w:lang w:val="en-GB"/>
        </w:rPr>
        <w:t xml:space="preserve"> PCA plot showing distinct clusters between patients with KC and controls. </w:t>
      </w:r>
      <w:r>
        <w:rPr>
          <w:rFonts w:ascii="Times New Roman" w:hAnsi="Times New Roman" w:cs="Times New Roman"/>
          <w:b/>
          <w:lang w:val="en-GB"/>
        </w:rPr>
        <w:t>c</w:t>
      </w:r>
      <w:r>
        <w:rPr>
          <w:rFonts w:ascii="Times New Roman" w:hAnsi="Times New Roman" w:cs="Times New Roman"/>
          <w:lang w:val="en-GB"/>
        </w:rPr>
        <w:t xml:space="preserve"> Volcano plot depicting differentially expressed genes (DEGs) between the KC and control groups. Orange dots indicate up-regulated genes, blue dots indicate down-regulated genes, and grey dots represent genes that did not show significant expression differences. </w:t>
      </w:r>
      <w:r>
        <w:rPr>
          <w:rFonts w:ascii="Times New Roman" w:hAnsi="Times New Roman" w:cs="Times New Roman"/>
          <w:b/>
          <w:lang w:val="en-GB"/>
        </w:rPr>
        <w:t>d</w:t>
      </w:r>
      <w:r>
        <w:rPr>
          <w:rFonts w:ascii="Times New Roman" w:hAnsi="Times New Roman" w:cs="Times New Roman"/>
          <w:lang w:val="en-GB"/>
        </w:rPr>
        <w:t xml:space="preserve">, </w:t>
      </w:r>
      <w:r>
        <w:rPr>
          <w:rFonts w:ascii="Times New Roman" w:hAnsi="Times New Roman" w:cs="Times New Roman"/>
          <w:b/>
          <w:lang w:val="en-GB"/>
        </w:rPr>
        <w:t>e</w:t>
      </w:r>
      <w:r>
        <w:rPr>
          <w:rFonts w:ascii="Times New Roman" w:hAnsi="Times New Roman" w:cs="Times New Roman"/>
          <w:lang w:val="en-GB"/>
        </w:rPr>
        <w:t xml:space="preserve"> GO-based biological process enrichment of (</w:t>
      </w:r>
      <w:r>
        <w:rPr>
          <w:rFonts w:ascii="Times New Roman" w:hAnsi="Times New Roman" w:cs="Times New Roman"/>
          <w:b/>
          <w:bCs/>
          <w:lang w:val="en-GB"/>
        </w:rPr>
        <w:t>d</w:t>
      </w:r>
      <w:r>
        <w:rPr>
          <w:rFonts w:ascii="Times New Roman" w:hAnsi="Times New Roman" w:cs="Times New Roman"/>
          <w:lang w:val="en-GB"/>
        </w:rPr>
        <w:t>) up-regulated and (</w:t>
      </w:r>
      <w:r>
        <w:rPr>
          <w:rFonts w:ascii="Times New Roman" w:hAnsi="Times New Roman" w:cs="Times New Roman"/>
          <w:b/>
          <w:bCs/>
          <w:lang w:val="en-GB"/>
        </w:rPr>
        <w:t>e</w:t>
      </w:r>
      <w:r>
        <w:rPr>
          <w:rFonts w:ascii="Times New Roman" w:hAnsi="Times New Roman" w:cs="Times New Roman"/>
          <w:lang w:val="en-GB"/>
        </w:rPr>
        <w:t xml:space="preserve">) down-regulated DEGs. The bubble size represents the number of genes enriched in each pathway, and the colour intensity indicates the adjusted </w:t>
      </w:r>
      <w:r>
        <w:rPr>
          <w:rFonts w:ascii="Times New Roman" w:hAnsi="Times New Roman" w:cs="Times New Roman"/>
          <w:i/>
          <w:iCs/>
          <w:lang w:val="en-GB"/>
        </w:rPr>
        <w:t>P</w:t>
      </w:r>
      <w:r>
        <w:rPr>
          <w:rFonts w:hint="eastAsia" w:ascii="Times New Roman" w:hAnsi="Times New Roman" w:cs="Times New Roman"/>
          <w:lang w:val="en-GB" w:eastAsia="zh-CN"/>
        </w:rPr>
        <w:t xml:space="preserve"> </w:t>
      </w:r>
      <w:r>
        <w:rPr>
          <w:rFonts w:ascii="Times New Roman" w:hAnsi="Times New Roman" w:cs="Times New Roman"/>
          <w:lang w:val="en-GB"/>
        </w:rPr>
        <w:t>value (</w:t>
      </w:r>
      <w:r>
        <w:rPr>
          <w:rFonts w:hint="eastAsia" w:ascii="Times New Roman" w:hAnsi="Times New Roman" w:cs="Times New Roman"/>
          <w:i/>
          <w:iCs/>
          <w:lang w:eastAsia="zh-CN"/>
        </w:rPr>
        <w:t>P</w:t>
      </w:r>
      <w:r>
        <w:rPr>
          <w:rFonts w:hint="eastAsia" w:ascii="Times New Roman" w:hAnsi="Times New Roman" w:cs="Times New Roman"/>
          <w:lang w:eastAsia="zh-CN"/>
        </w:rPr>
        <w:t xml:space="preserve"> adj.</w:t>
      </w:r>
      <w:r>
        <w:rPr>
          <w:rFonts w:ascii="Times New Roman" w:hAnsi="Times New Roman" w:cs="Times New Roman"/>
          <w:lang w:val="en-GB"/>
        </w:rPr>
        <w:t xml:space="preserve">). </w:t>
      </w:r>
      <w:r>
        <w:rPr>
          <w:rFonts w:ascii="Times New Roman" w:hAnsi="Times New Roman" w:cs="Times New Roman"/>
          <w:b/>
          <w:lang w:val="en-GB"/>
        </w:rPr>
        <w:t>f</w:t>
      </w:r>
      <w:r>
        <w:rPr>
          <w:rFonts w:ascii="Times New Roman" w:hAnsi="Times New Roman" w:cs="Times New Roman"/>
          <w:lang w:val="en-GB"/>
        </w:rPr>
        <w:t xml:space="preserve">, </w:t>
      </w:r>
      <w:r>
        <w:rPr>
          <w:rFonts w:ascii="Times New Roman" w:hAnsi="Times New Roman" w:cs="Times New Roman"/>
          <w:b/>
          <w:lang w:val="en-GB"/>
        </w:rPr>
        <w:t>g</w:t>
      </w:r>
      <w:r>
        <w:rPr>
          <w:rFonts w:ascii="Times New Roman" w:hAnsi="Times New Roman" w:cs="Times New Roman"/>
          <w:lang w:val="en-GB"/>
        </w:rPr>
        <w:t xml:space="preserve"> KEGG-based pathway enrichment of (</w:t>
      </w:r>
      <w:r>
        <w:rPr>
          <w:rFonts w:ascii="Times New Roman" w:hAnsi="Times New Roman" w:cs="Times New Roman"/>
          <w:b/>
          <w:bCs/>
          <w:lang w:val="en-GB"/>
        </w:rPr>
        <w:t>f</w:t>
      </w:r>
      <w:r>
        <w:rPr>
          <w:rFonts w:ascii="Times New Roman" w:hAnsi="Times New Roman" w:cs="Times New Roman"/>
          <w:lang w:val="en-GB"/>
        </w:rPr>
        <w:t>) up-regulated and (</w:t>
      </w:r>
      <w:r>
        <w:rPr>
          <w:rFonts w:ascii="Times New Roman" w:hAnsi="Times New Roman" w:cs="Times New Roman"/>
          <w:b/>
          <w:bCs/>
          <w:lang w:val="en-GB"/>
        </w:rPr>
        <w:t>g</w:t>
      </w:r>
      <w:r>
        <w:rPr>
          <w:rFonts w:ascii="Times New Roman" w:hAnsi="Times New Roman" w:cs="Times New Roman"/>
          <w:lang w:val="en-GB"/>
        </w:rPr>
        <w:t xml:space="preserve">) down-regulated DEGs. The bar length represents the gene count in each pathway, and the colour intensity indicates the adjusted </w:t>
      </w:r>
      <w:r>
        <w:rPr>
          <w:rFonts w:ascii="Times New Roman" w:hAnsi="Times New Roman" w:cs="Times New Roman"/>
          <w:i/>
          <w:iCs/>
          <w:lang w:val="en-GB"/>
        </w:rPr>
        <w:t>P</w:t>
      </w:r>
      <w:r>
        <w:rPr>
          <w:rFonts w:hint="eastAsia" w:ascii="Times New Roman" w:hAnsi="Times New Roman" w:cs="Times New Roman"/>
          <w:lang w:val="en-GB" w:eastAsia="zh-CN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value. </w:t>
      </w:r>
      <w:r>
        <w:rPr>
          <w:rFonts w:ascii="Times New Roman" w:hAnsi="Times New Roman" w:cs="Times New Roman"/>
          <w:b/>
          <w:lang w:val="en-GB"/>
        </w:rPr>
        <w:t>h</w:t>
      </w:r>
      <w:r>
        <w:rPr>
          <w:rFonts w:ascii="Times New Roman" w:hAnsi="Times New Roman" w:cs="Times New Roman"/>
          <w:lang w:val="en-GB"/>
        </w:rPr>
        <w:t xml:space="preserve"> Selection of soft-thresholding powers. FDA, false-discovery rate; </w:t>
      </w:r>
      <w:r>
        <w:rPr>
          <w:rFonts w:hint="eastAsia" w:ascii="Times New Roman" w:hAnsi="Times New Roman" w:cs="Times New Roman"/>
          <w:lang w:val="en-GB" w:eastAsia="zh-CN"/>
        </w:rPr>
        <w:t xml:space="preserve">GO, </w:t>
      </w:r>
      <w:r>
        <w:rPr>
          <w:rFonts w:ascii="Times New Roman" w:hAnsi="Times New Roman" w:cs="Times New Roman"/>
          <w:lang w:val="en-GB" w:eastAsia="zh-CN"/>
        </w:rPr>
        <w:t>Gene Ontology</w:t>
      </w:r>
      <w:r>
        <w:rPr>
          <w:rFonts w:hint="eastAsia" w:ascii="Times New Roman" w:hAnsi="Times New Roman" w:cs="Times New Roman"/>
          <w:lang w:val="en-GB" w:eastAsia="zh-CN"/>
        </w:rPr>
        <w:t>;</w:t>
      </w:r>
      <w:r>
        <w:rPr>
          <w:rFonts w:ascii="Times New Roman" w:hAnsi="Times New Roman" w:cs="Times New Roman"/>
          <w:lang w:val="en-GB" w:eastAsia="zh-CN"/>
        </w:rPr>
        <w:t xml:space="preserve"> </w:t>
      </w:r>
      <w:r>
        <w:rPr>
          <w:rFonts w:ascii="Times New Roman" w:hAnsi="Times New Roman" w:cs="Times New Roman"/>
          <w:lang w:val="en-GB"/>
        </w:rPr>
        <w:t>KC, keratoconus; KEGG, Kyoto Encyclopaedia of Genes and Genomes; PCA, principal component analysis</w:t>
      </w:r>
      <w:r>
        <w:rPr>
          <w:rFonts w:eastAsia="Times New Roman" w:asciiTheme="majorBidi" w:hAnsiTheme="majorBidi" w:cstheme="majorBidi"/>
          <w:lang w:val="en-GB"/>
        </w:rPr>
        <w:t>.</w:t>
      </w:r>
    </w:p>
    <w:p w14:paraId="248F1A54">
      <w:pPr>
        <w:snapToGrid/>
        <w:spacing w:after="0" w:line="240" w:lineRule="auto"/>
        <w:contextualSpacing w:val="0"/>
        <w:jc w:val="left"/>
        <w:rPr>
          <w:rFonts w:eastAsia="Times New Roman" w:asciiTheme="majorBidi" w:hAnsiTheme="majorBidi" w:cstheme="majorBidi"/>
          <w:lang w:val="en-GB"/>
        </w:rPr>
      </w:pPr>
      <w:r>
        <w:rPr>
          <w:rFonts w:eastAsia="Times New Roman" w:asciiTheme="majorBidi" w:hAnsiTheme="majorBidi" w:cstheme="majorBidi"/>
          <w:lang w:val="en-GB"/>
        </w:rPr>
        <w:br w:type="page"/>
      </w:r>
    </w:p>
    <w:p w14:paraId="5669DB44">
      <w:pPr>
        <w:snapToGrid w:val="0"/>
        <w:spacing w:after="0" w:line="360" w:lineRule="auto"/>
        <w:contextualSpacing/>
        <w:jc w:val="both"/>
        <w:rPr>
          <w:rFonts w:ascii="Times New Roman" w:hAnsi="Times New Roman" w:cs="Times New Roman"/>
          <w:b/>
          <w:lang w:val="en-GB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127000</wp:posOffset>
            </wp:positionH>
            <wp:positionV relativeFrom="paragraph">
              <wp:posOffset>-10160</wp:posOffset>
            </wp:positionV>
            <wp:extent cx="5723255" cy="8221345"/>
            <wp:effectExtent l="0" t="0" r="10795" b="8255"/>
            <wp:wrapTopAndBottom/>
            <wp:docPr id="5" name="图片 5" descr="S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1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3255" cy="8221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E1EFB2">
      <w:pPr>
        <w:snapToGrid w:val="0"/>
        <w:spacing w:after="0" w:line="480" w:lineRule="auto"/>
        <w:contextualSpacing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b/>
          <w:lang w:val="en-GB"/>
        </w:rPr>
        <w:t xml:space="preserve">Supplemental Fig. S2. </w:t>
      </w:r>
      <w:r>
        <w:rPr>
          <w:rFonts w:ascii="Times New Roman" w:hAnsi="Times New Roman" w:cs="Times New Roman"/>
          <w:bCs/>
          <w:lang w:val="en-GB"/>
        </w:rPr>
        <w:t xml:space="preserve">Impact of flutamide and fulvestrant on HCSF viability. </w:t>
      </w:r>
      <w:r>
        <w:rPr>
          <w:rFonts w:ascii="Times New Roman" w:hAnsi="Times New Roman" w:cs="Times New Roman"/>
          <w:b/>
          <w:bCs/>
          <w:lang w:val="en-GB"/>
        </w:rPr>
        <w:t>a</w:t>
      </w:r>
      <w:r>
        <w:rPr>
          <w:rFonts w:ascii="Times New Roman" w:hAnsi="Times New Roman" w:cs="Times New Roman"/>
          <w:lang w:val="en-GB"/>
        </w:rPr>
        <w:t xml:space="preserve"> HCSF viability after exposure to increasing concentrations of flutamide. </w:t>
      </w:r>
      <w:r>
        <w:rPr>
          <w:rFonts w:ascii="Times New Roman" w:hAnsi="Times New Roman" w:cs="Times New Roman"/>
          <w:b/>
          <w:lang w:val="en-GB"/>
        </w:rPr>
        <w:t>b</w:t>
      </w:r>
      <w:r>
        <w:rPr>
          <w:rFonts w:ascii="Times New Roman" w:hAnsi="Times New Roman" w:cs="Times New Roman"/>
          <w:bCs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HCSF viability after exposure to increasing concentrations of fulvestrant. HCSF, human corneal stromal fibroblast</w:t>
      </w:r>
      <w:r>
        <w:rPr>
          <w:rFonts w:ascii="Times New Roman" w:hAnsi="Times New Roman" w:cs="Times New Roman"/>
          <w:lang w:eastAsia="zh-CN"/>
        </w:rPr>
        <w:t>.</w:t>
      </w:r>
    </w:p>
    <w:p w14:paraId="7538AF2E">
      <w:pPr>
        <w:snapToGrid w:val="0"/>
        <w:spacing w:after="0" w:line="480" w:lineRule="auto"/>
        <w:contextualSpacing/>
        <w:rPr>
          <w:rFonts w:ascii="Times New Roman" w:hAnsi="Times New Roman" w:cs="Times New Roman"/>
          <w:b/>
          <w:bCs/>
          <w:lang w:eastAsia="zh-CN"/>
        </w:rPr>
      </w:pPr>
      <w:r>
        <w:rPr>
          <w:rFonts w:ascii="Times New Roman" w:hAnsi="Times New Roman" w:cs="Times New Roman"/>
          <w:b/>
          <w:bCs/>
          <w:lang w:eastAsia="zh-CN"/>
        </w:rPr>
        <w:drawing>
          <wp:inline distT="0" distB="0" distL="114300" distR="114300">
            <wp:extent cx="5936615" cy="2439670"/>
            <wp:effectExtent l="0" t="0" r="6985" b="17780"/>
            <wp:docPr id="3" name="图片 3" descr="S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2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243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5B5DE">
      <w:pPr>
        <w:snapToGrid w:val="0"/>
        <w:spacing w:after="0" w:line="480" w:lineRule="auto"/>
        <w:contextualSpacing/>
        <w:rPr>
          <w:rFonts w:ascii="Times New Roman" w:hAnsi="Times New Roman" w:cs="Times New Roman"/>
          <w:b/>
          <w:bCs/>
          <w:lang w:eastAsia="zh-CN"/>
        </w:rPr>
      </w:pPr>
    </w:p>
    <w:p w14:paraId="65AAB941">
      <w:pPr>
        <w:snapToGrid w:val="0"/>
        <w:spacing w:after="0" w:line="480" w:lineRule="auto"/>
        <w:contextualSpacing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lang w:val="en-GB"/>
        </w:rPr>
        <w:t xml:space="preserve">Supplemental </w:t>
      </w:r>
      <w:r>
        <w:rPr>
          <w:rFonts w:ascii="Times New Roman" w:hAnsi="Times New Roman" w:cs="Times New Roman"/>
          <w:b/>
          <w:bCs/>
          <w:lang w:val="en-GB"/>
        </w:rPr>
        <w:t xml:space="preserve">Fig. S3. </w:t>
      </w:r>
      <w:r>
        <w:rPr>
          <w:rFonts w:ascii="Times New Roman" w:hAnsi="Times New Roman" w:cs="Times New Roman"/>
          <w:lang w:val="en-GB"/>
        </w:rPr>
        <w:t>Analysis of differentially expressed circRNAs, miRNAs, and mRNAs in KC.</w:t>
      </w:r>
      <w:r>
        <w:rPr>
          <w:rFonts w:ascii="Times New Roman" w:hAnsi="Times New Roman" w:cs="Times New Roman"/>
          <w:b/>
          <w:bCs/>
          <w:lang w:val="en-GB"/>
        </w:rPr>
        <w:t xml:space="preserve"> </w:t>
      </w:r>
      <w:r>
        <w:rPr>
          <w:rFonts w:ascii="Times New Roman" w:hAnsi="Times New Roman" w:cs="Times New Roman"/>
          <w:b/>
          <w:lang w:val="en-GB"/>
        </w:rPr>
        <w:t>a–c</w:t>
      </w:r>
      <w:r>
        <w:rPr>
          <w:rFonts w:ascii="Times New Roman" w:hAnsi="Times New Roman" w:cs="Times New Roman"/>
          <w:lang w:val="en-GB"/>
        </w:rPr>
        <w:t xml:space="preserve"> Differentially expressed circRNAs (</w:t>
      </w:r>
      <w:r>
        <w:rPr>
          <w:rFonts w:ascii="Times New Roman" w:hAnsi="Times New Roman" w:cs="Times New Roman"/>
          <w:b/>
          <w:bCs/>
          <w:lang w:val="en-GB"/>
        </w:rPr>
        <w:t>a</w:t>
      </w:r>
      <w:r>
        <w:rPr>
          <w:rFonts w:ascii="Times New Roman" w:hAnsi="Times New Roman" w:cs="Times New Roman"/>
          <w:lang w:val="en-GB"/>
        </w:rPr>
        <w:t>), miRNAs (</w:t>
      </w:r>
      <w:r>
        <w:rPr>
          <w:rFonts w:ascii="Times New Roman" w:hAnsi="Times New Roman" w:cs="Times New Roman"/>
          <w:b/>
          <w:lang w:val="en-GB"/>
        </w:rPr>
        <w:t>b</w:t>
      </w:r>
      <w:r>
        <w:rPr>
          <w:rFonts w:ascii="Times New Roman" w:hAnsi="Times New Roman" w:cs="Times New Roman"/>
          <w:lang w:val="en-GB"/>
        </w:rPr>
        <w:t>), and</w:t>
      </w:r>
      <w:r>
        <w:rPr>
          <w:rFonts w:ascii="Times New Roman" w:hAnsi="Times New Roman" w:cs="Times New Roman"/>
          <w:b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mRNAs (</w:t>
      </w:r>
      <w:r>
        <w:rPr>
          <w:rFonts w:ascii="Times New Roman" w:hAnsi="Times New Roman" w:cs="Times New Roman"/>
          <w:b/>
          <w:lang w:val="en-GB"/>
        </w:rPr>
        <w:t>c</w:t>
      </w:r>
      <w:r>
        <w:rPr>
          <w:rFonts w:ascii="Times New Roman" w:hAnsi="Times New Roman" w:cs="Times New Roman"/>
          <w:lang w:val="en-GB"/>
        </w:rPr>
        <w:t xml:space="preserve">) in KM vs. CM and in KF vs. CF. Red dots indicate up-regulated RNAs (adjusted </w:t>
      </w:r>
      <w:r>
        <w:rPr>
          <w:rFonts w:ascii="Times New Roman" w:hAnsi="Times New Roman" w:cs="Times New Roman"/>
          <w:i/>
          <w:iCs/>
          <w:lang w:val="en-GB"/>
        </w:rPr>
        <w:t>P</w:t>
      </w:r>
      <w:r>
        <w:rPr>
          <w:rFonts w:ascii="Times New Roman" w:hAnsi="Times New Roman" w:cs="Times New Roman"/>
          <w:lang w:val="en-GB"/>
        </w:rPr>
        <w:t xml:space="preserve"> value &lt; 0.05 and log</w:t>
      </w:r>
      <w:r>
        <w:rPr>
          <w:rFonts w:ascii="Times New Roman" w:hAnsi="Times New Roman" w:cs="Times New Roman"/>
          <w:vertAlign w:val="subscript"/>
          <w:lang w:val="en-GB"/>
        </w:rPr>
        <w:t>2</w:t>
      </w:r>
      <w:r>
        <w:rPr>
          <w:rFonts w:ascii="Times New Roman" w:hAnsi="Times New Roman" w:cs="Times New Roman"/>
          <w:lang w:val="en-GB"/>
        </w:rPr>
        <w:t xml:space="preserve"> fold-change &gt; 1), blue dots indicate down-regulated RNAs (adjusted </w:t>
      </w:r>
      <w:r>
        <w:rPr>
          <w:rFonts w:ascii="Times New Roman" w:hAnsi="Times New Roman" w:cs="Times New Roman"/>
          <w:i/>
          <w:iCs/>
          <w:lang w:val="en-GB"/>
        </w:rPr>
        <w:t>P</w:t>
      </w:r>
      <w:r>
        <w:rPr>
          <w:rFonts w:ascii="Times New Roman" w:hAnsi="Times New Roman" w:cs="Times New Roman"/>
          <w:lang w:val="en-GB"/>
        </w:rPr>
        <w:t xml:space="preserve"> value &lt; 0.05 and log</w:t>
      </w:r>
      <w:r>
        <w:rPr>
          <w:rFonts w:ascii="Times New Roman" w:hAnsi="Times New Roman" w:cs="Times New Roman"/>
          <w:vertAlign w:val="subscript"/>
          <w:lang w:val="en-GB"/>
        </w:rPr>
        <w:t>2</w:t>
      </w:r>
      <w:r>
        <w:rPr>
          <w:rFonts w:ascii="Times New Roman" w:hAnsi="Times New Roman" w:cs="Times New Roman"/>
          <w:lang w:val="en-GB"/>
        </w:rPr>
        <w:t xml:space="preserve"> fold-change &lt; −1), and grey dots indicate non-differentially expressed RNAs (adjusted </w:t>
      </w:r>
      <w:r>
        <w:rPr>
          <w:rFonts w:ascii="Times New Roman" w:hAnsi="Times New Roman" w:cs="Times New Roman"/>
          <w:i/>
          <w:iCs/>
          <w:lang w:val="en-GB"/>
        </w:rPr>
        <w:t>P</w:t>
      </w:r>
      <w:r>
        <w:rPr>
          <w:rFonts w:ascii="Times New Roman" w:hAnsi="Times New Roman" w:cs="Times New Roman"/>
          <w:lang w:val="en-GB"/>
        </w:rPr>
        <w:t xml:space="preserve"> value &gt; 0.05 or |log</w:t>
      </w:r>
      <w:r>
        <w:rPr>
          <w:rFonts w:ascii="Times New Roman" w:hAnsi="Times New Roman" w:cs="Times New Roman"/>
          <w:vertAlign w:val="subscript"/>
          <w:lang w:val="en-GB"/>
        </w:rPr>
        <w:t>2</w:t>
      </w:r>
      <w:r>
        <w:rPr>
          <w:rFonts w:ascii="Times New Roman" w:hAnsi="Times New Roman" w:cs="Times New Roman"/>
          <w:lang w:val="en-GB"/>
        </w:rPr>
        <w:t xml:space="preserve"> fold-change| &lt; 1). </w:t>
      </w:r>
      <w:r>
        <w:rPr>
          <w:rFonts w:ascii="Times New Roman" w:hAnsi="Times New Roman" w:cs="Times New Roman"/>
        </w:rPr>
        <w:t xml:space="preserve">circRNA, </w:t>
      </w:r>
      <w:r>
        <w:rPr>
          <w:rFonts w:ascii="Times New Roman" w:hAnsi="Times New Roman" w:cs="Times New Roman"/>
          <w:lang w:val="en-GB"/>
        </w:rPr>
        <w:t>circular RNA; CF, female control; CM, male control; KC, keratoconus; KM, male with KC; KF, male with KC; miRNA, microRNA; mRNA, messenger RNA.</w:t>
      </w:r>
    </w:p>
    <w:p w14:paraId="606CC416">
      <w:pPr>
        <w:snapToGrid/>
        <w:spacing w:after="0" w:line="240" w:lineRule="auto"/>
        <w:contextualSpacing w:val="0"/>
        <w:rPr>
          <w:rFonts w:ascii="Times New Roman" w:hAnsi="Times New Roman" w:cs="Times New Roman"/>
          <w:b/>
          <w:lang w:eastAsia="zh-CN"/>
        </w:rPr>
      </w:pPr>
      <w:r>
        <w:rPr>
          <w:rFonts w:ascii="Times New Roman" w:hAnsi="Times New Roman" w:cs="Times New Roman"/>
          <w:b/>
          <w:lang w:eastAsia="zh-CN"/>
        </w:rPr>
        <w:br w:type="page"/>
      </w:r>
    </w:p>
    <w:p w14:paraId="1168D8AC">
      <w:pPr>
        <w:snapToGrid/>
        <w:spacing w:after="0" w:line="240" w:lineRule="auto"/>
        <w:contextualSpacing w:val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824855" cy="8220075"/>
            <wp:effectExtent l="0" t="0" r="4445" b="9525"/>
            <wp:wrapTopAndBottom/>
            <wp:docPr id="1" name="图片 1" descr="S3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3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822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lang w:eastAsia="zh-CN"/>
        </w:rPr>
        <w:br w:type="page"/>
      </w:r>
    </w:p>
    <w:p w14:paraId="3A16E05A">
      <w:pPr>
        <w:snapToGrid/>
        <w:spacing w:after="0" w:line="240" w:lineRule="auto"/>
        <w:contextualSpacing w:val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lang w:val="en-GB"/>
        </w:rPr>
        <w:t xml:space="preserve">Supplemental Fig. S4. </w:t>
      </w:r>
      <w:r>
        <w:rPr>
          <w:rFonts w:ascii="Times New Roman" w:hAnsi="Times New Roman" w:cs="Times New Roman"/>
          <w:bCs/>
          <w:lang w:val="en-GB"/>
        </w:rPr>
        <w:t xml:space="preserve">Expression of circEPB41L2_00001 and EPB41L2 in HCSFs from females and males after siRNA treatment (siRNA1 and siRNA2). </w:t>
      </w:r>
      <w:r>
        <w:rPr>
          <w:rFonts w:ascii="Times New Roman" w:hAnsi="Times New Roman" w:cs="Times New Roman"/>
        </w:rPr>
        <w:t>circRNA</w:t>
      </w:r>
      <w:r>
        <w:rPr>
          <w:rFonts w:ascii="Times New Roman" w:hAnsi="Times New Roman" w:cs="Times New Roman"/>
          <w:bCs/>
        </w:rPr>
        <w:t xml:space="preserve">, circular RNA; </w:t>
      </w:r>
      <w:r>
        <w:rPr>
          <w:rFonts w:ascii="Times New Roman" w:hAnsi="Times New Roman" w:cs="Times New Roman"/>
          <w:bCs/>
          <w:lang w:val="en-GB"/>
        </w:rPr>
        <w:t xml:space="preserve">HCSF, human corneal stromal fibroblast; </w:t>
      </w:r>
      <w:r>
        <w:rPr>
          <w:rFonts w:ascii="Times New Roman" w:hAnsi="Times New Roman" w:cs="Times New Roman"/>
          <w:bCs/>
        </w:rPr>
        <w:t xml:space="preserve">siRNA: </w:t>
      </w:r>
      <w:r>
        <w:rPr>
          <w:rFonts w:ascii="Times New Roman" w:hAnsi="Times New Roman" w:cs="Times New Roman"/>
        </w:rPr>
        <w:t>small-interfering RNA.</w:t>
      </w:r>
      <w:r>
        <w:rPr>
          <w:rFonts w:ascii="Times New Roman" w:hAnsi="Times New Roman" w:cs="Times New Roman"/>
          <w:b/>
          <w:shd w:val="clear" w:color="auto" w:fill="FFFFFF"/>
          <w:lang w:eastAsia="zh-CN"/>
        </w:rPr>
        <w:drawing>
          <wp:inline distT="0" distB="0" distL="114300" distR="114300">
            <wp:extent cx="5938520" cy="2403475"/>
            <wp:effectExtent l="0" t="0" r="5080" b="15875"/>
            <wp:docPr id="4" name="图片 4" descr="S4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4_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240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Aptos">
    <w:altName w:val="Segoe Print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ptos Display">
    <w:altName w:val="Segoe Print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Yu Gothic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094"/>
    <w:rsid w:val="000E5295"/>
    <w:rsid w:val="0019087E"/>
    <w:rsid w:val="002978D4"/>
    <w:rsid w:val="002D0102"/>
    <w:rsid w:val="002F07D0"/>
    <w:rsid w:val="00307782"/>
    <w:rsid w:val="003441AA"/>
    <w:rsid w:val="00357C57"/>
    <w:rsid w:val="003775A7"/>
    <w:rsid w:val="003948EB"/>
    <w:rsid w:val="003B0053"/>
    <w:rsid w:val="003C0D6F"/>
    <w:rsid w:val="003E2366"/>
    <w:rsid w:val="00522673"/>
    <w:rsid w:val="005D136E"/>
    <w:rsid w:val="005F2800"/>
    <w:rsid w:val="0063019D"/>
    <w:rsid w:val="006B5917"/>
    <w:rsid w:val="006B7270"/>
    <w:rsid w:val="0070754B"/>
    <w:rsid w:val="007160A2"/>
    <w:rsid w:val="00732F83"/>
    <w:rsid w:val="007660A0"/>
    <w:rsid w:val="00780991"/>
    <w:rsid w:val="007863C2"/>
    <w:rsid w:val="007930EE"/>
    <w:rsid w:val="007A528A"/>
    <w:rsid w:val="007A538B"/>
    <w:rsid w:val="007C72E4"/>
    <w:rsid w:val="00806C95"/>
    <w:rsid w:val="00827806"/>
    <w:rsid w:val="0083230B"/>
    <w:rsid w:val="00863141"/>
    <w:rsid w:val="008B194C"/>
    <w:rsid w:val="008D5057"/>
    <w:rsid w:val="00937146"/>
    <w:rsid w:val="009408B8"/>
    <w:rsid w:val="009650A2"/>
    <w:rsid w:val="009739D3"/>
    <w:rsid w:val="00A14E30"/>
    <w:rsid w:val="00A62202"/>
    <w:rsid w:val="00A7167B"/>
    <w:rsid w:val="00A7551A"/>
    <w:rsid w:val="00A77528"/>
    <w:rsid w:val="00AA0CE2"/>
    <w:rsid w:val="00B30094"/>
    <w:rsid w:val="00B6619A"/>
    <w:rsid w:val="00BA1A6E"/>
    <w:rsid w:val="00BA3DF0"/>
    <w:rsid w:val="00BC6F86"/>
    <w:rsid w:val="00BD0DFE"/>
    <w:rsid w:val="00BD6FA9"/>
    <w:rsid w:val="00C108F8"/>
    <w:rsid w:val="00C76973"/>
    <w:rsid w:val="00C820C0"/>
    <w:rsid w:val="00D26C18"/>
    <w:rsid w:val="00D47B14"/>
    <w:rsid w:val="00D91077"/>
    <w:rsid w:val="00DB1008"/>
    <w:rsid w:val="00E35E47"/>
    <w:rsid w:val="00E72B0B"/>
    <w:rsid w:val="00E8651E"/>
    <w:rsid w:val="00EA4EE8"/>
    <w:rsid w:val="00EE2B02"/>
    <w:rsid w:val="00F24C0C"/>
    <w:rsid w:val="00F47D79"/>
    <w:rsid w:val="00F62DF5"/>
    <w:rsid w:val="00FC1887"/>
    <w:rsid w:val="00FE28FB"/>
    <w:rsid w:val="02E74FB5"/>
    <w:rsid w:val="03823714"/>
    <w:rsid w:val="07E32CEB"/>
    <w:rsid w:val="27684925"/>
    <w:rsid w:val="3FDF05B5"/>
    <w:rsid w:val="581F309E"/>
    <w:rsid w:val="5DB36EFB"/>
    <w:rsid w:val="74E117DE"/>
    <w:rsid w:val="7AC1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eastAsia="宋体" w:asciiTheme="minorHAnsi" w:hAnsi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1"/>
    <w:semiHidden/>
    <w:unhideWhenUsed/>
    <w:uiPriority w:val="99"/>
    <w:pPr>
      <w:spacing w:line="240" w:lineRule="auto"/>
    </w:pPr>
    <w:rPr>
      <w:sz w:val="20"/>
      <w:szCs w:val="20"/>
    </w:rPr>
  </w:style>
  <w:style w:type="paragraph" w:styleId="12">
    <w:name w:val="Balloon Text"/>
    <w:basedOn w:val="1"/>
    <w:link w:val="43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3">
    <w:name w:val="foot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4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2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31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annotation subject"/>
    <w:basedOn w:val="11"/>
    <w:next w:val="11"/>
    <w:link w:val="42"/>
    <w:semiHidden/>
    <w:unhideWhenUsed/>
    <w:qFormat/>
    <w:uiPriority w:val="99"/>
    <w:rPr>
      <w:b/>
      <w:bCs/>
    </w:rPr>
  </w:style>
  <w:style w:type="character" w:styleId="20">
    <w:name w:val="Strong"/>
    <w:basedOn w:val="19"/>
    <w:qFormat/>
    <w:uiPriority w:val="22"/>
    <w:rPr>
      <w:b/>
    </w:rPr>
  </w:style>
  <w:style w:type="character" w:styleId="21">
    <w:name w:val="annotation reference"/>
    <w:basedOn w:val="19"/>
    <w:unhideWhenUsed/>
    <w:qFormat/>
    <w:uiPriority w:val="0"/>
    <w:rPr>
      <w:sz w:val="16"/>
      <w:szCs w:val="16"/>
    </w:rPr>
  </w:style>
  <w:style w:type="character" w:customStyle="1" w:styleId="22">
    <w:name w:val="标题 1 字符"/>
    <w:basedOn w:val="19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标题 3 字符"/>
    <w:basedOn w:val="19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5">
    <w:name w:val="标题 4 字符"/>
    <w:basedOn w:val="19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6">
    <w:name w:val="标题 5 字符"/>
    <w:basedOn w:val="19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7">
    <w:name w:val="标题 6 字符"/>
    <w:basedOn w:val="19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7 字符"/>
    <w:basedOn w:val="19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19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标题 9 字符"/>
    <w:basedOn w:val="19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19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19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19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19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明显参考1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0">
    <w:name w:val="修订1"/>
    <w:hidden/>
    <w:semiHidden/>
    <w:qFormat/>
    <w:uiPriority w:val="99"/>
    <w:rPr>
      <w:rFonts w:eastAsia="宋体" w:asciiTheme="minorHAnsi" w:hAnsi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character" w:customStyle="1" w:styleId="41">
    <w:name w:val="批注文字 字符"/>
    <w:basedOn w:val="19"/>
    <w:link w:val="11"/>
    <w:semiHidden/>
    <w:qFormat/>
    <w:uiPriority w:val="99"/>
    <w:rPr>
      <w:sz w:val="20"/>
      <w:szCs w:val="20"/>
    </w:rPr>
  </w:style>
  <w:style w:type="character" w:customStyle="1" w:styleId="42">
    <w:name w:val="批注主题 字符"/>
    <w:basedOn w:val="41"/>
    <w:link w:val="17"/>
    <w:semiHidden/>
    <w:uiPriority w:val="99"/>
    <w:rPr>
      <w:b/>
      <w:bCs/>
      <w:sz w:val="20"/>
      <w:szCs w:val="20"/>
    </w:rPr>
  </w:style>
  <w:style w:type="character" w:customStyle="1" w:styleId="43">
    <w:name w:val="批注框文本 字符"/>
    <w:basedOn w:val="19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44">
    <w:name w:val="页眉 字符"/>
    <w:basedOn w:val="19"/>
    <w:link w:val="14"/>
    <w:qFormat/>
    <w:uiPriority w:val="99"/>
    <w:rPr>
      <w:sz w:val="18"/>
      <w:szCs w:val="18"/>
    </w:rPr>
  </w:style>
  <w:style w:type="character" w:customStyle="1" w:styleId="45">
    <w:name w:val="页脚 字符"/>
    <w:basedOn w:val="19"/>
    <w:link w:val="1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336</Words>
  <Characters>1967</Characters>
  <Lines>25</Lines>
  <Paragraphs>7</Paragraphs>
  <TotalTime>9</TotalTime>
  <ScaleCrop>false</ScaleCrop>
  <LinksUpToDate>false</LinksUpToDate>
  <CharactersWithSpaces>2298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2026-01-17T02:53:00Z</dcterms:created>
  <dc:creator>孙一宁</dc:creator>
  <cp:lastModifiedBy>孙一宁</cp:lastModifiedBy>
  <dcterms:modified xsi:type="dcterms:W3CDTF">2026-01-30T13:38:15Z</dcterms:modified>
  <cp:revision>160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eyJoZGlkIjoiNWNlMTM2ZTEwNTEyNzc2NjY5ZjdkMmVmODkyNDEwNTYiLCJ1c2VySWQiOiIzMzcyMzIzODIifQ==</vt:lpwstr>
  </property>
  <property fmtid="{D5CDD505-2E9C-101B-9397-08002B2CF9AE}" pid="3" name="KSOProductBuildVer">
    <vt:lpwstr>2052-12.1.0.24657</vt:lpwstr>
  </property>
  <property fmtid="{D5CDD505-2E9C-101B-9397-08002B2CF9AE}" pid="4" name="ICV">
    <vt:lpwstr>348C3A4E5125403895346C793A11A21A_13</vt:lpwstr>
  </property>
</Properties>
</file>