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246A5" w14:textId="77777777" w:rsidR="000563A2" w:rsidRDefault="000563A2" w:rsidP="000563A2">
      <w:pPr>
        <w:spacing w:line="276" w:lineRule="auto"/>
        <w:rPr>
          <w:rFonts w:ascii="Cambria" w:hAnsi="Cambria" w:cs="Times New Roman"/>
          <w:b/>
          <w:bCs/>
          <w:color w:val="000000" w:themeColor="text1"/>
          <w:sz w:val="28"/>
          <w:szCs w:val="24"/>
        </w:rPr>
      </w:pPr>
      <w:r w:rsidRPr="00806564">
        <w:rPr>
          <w:rFonts w:ascii="Cambria" w:hAnsi="Cambria" w:cs="Times New Roman"/>
          <w:b/>
          <w:bCs/>
          <w:color w:val="000000" w:themeColor="text1"/>
          <w:sz w:val="28"/>
          <w:szCs w:val="24"/>
        </w:rPr>
        <w:t>Additional file</w:t>
      </w:r>
      <w:r>
        <w:rPr>
          <w:rFonts w:ascii="Cambria" w:hAnsi="Cambria" w:cs="Times New Roman"/>
          <w:b/>
          <w:bCs/>
          <w:color w:val="000000" w:themeColor="text1"/>
          <w:sz w:val="28"/>
          <w:szCs w:val="24"/>
        </w:rPr>
        <w:t xml:space="preserve"> 1</w:t>
      </w:r>
    </w:p>
    <w:p w14:paraId="71BF0330" w14:textId="261B57D0" w:rsidR="000563A2" w:rsidRPr="00806564" w:rsidRDefault="000E64F0" w:rsidP="000563A2">
      <w:pPr>
        <w:spacing w:line="276" w:lineRule="auto"/>
        <w:rPr>
          <w:rFonts w:ascii="Cambria" w:hAnsi="Cambria" w:cs="Times New Roman"/>
          <w:color w:val="000000" w:themeColor="text1"/>
          <w:sz w:val="24"/>
          <w:szCs w:val="24"/>
        </w:rPr>
      </w:pPr>
      <w:r>
        <w:rPr>
          <w:rFonts w:ascii="Cambria" w:hAnsi="Cambria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059B925" wp14:editId="7C17B36C">
            <wp:simplePos x="0" y="0"/>
            <wp:positionH relativeFrom="column">
              <wp:posOffset>-241300</wp:posOffset>
            </wp:positionH>
            <wp:positionV relativeFrom="paragraph">
              <wp:posOffset>594360</wp:posOffset>
            </wp:positionV>
            <wp:extent cx="5525135" cy="4168775"/>
            <wp:effectExtent l="0" t="0" r="0" b="3175"/>
            <wp:wrapSquare wrapText="bothSides"/>
            <wp:docPr id="4556657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665762" name="图片 45566576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135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3A2" w:rsidRPr="00806564">
        <w:rPr>
          <w:rFonts w:ascii="Cambria" w:hAnsi="Cambria" w:cs="Times New Roman"/>
          <w:b/>
          <w:bCs/>
          <w:color w:val="000000" w:themeColor="text1"/>
          <w:sz w:val="24"/>
          <w:szCs w:val="24"/>
        </w:rPr>
        <w:t>Figure S1.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 xml:space="preserve"> Kaplan</w:t>
      </w:r>
      <w:r w:rsidR="000563A2">
        <w:rPr>
          <w:rFonts w:ascii="Cambria" w:hAnsi="Cambria" w:cs="Times New Roman"/>
          <w:color w:val="000000" w:themeColor="text1"/>
          <w:sz w:val="24"/>
          <w:szCs w:val="24"/>
        </w:rPr>
        <w:t>–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>Meier survival curves during follow-up after combined phacoemulsification and goniosynechialysis surgery (6</w:t>
      </w:r>
      <w:r w:rsidR="000E1A45">
        <w:rPr>
          <w:rFonts w:ascii="Cambria" w:hAnsi="Cambria" w:cs="Times New Roman"/>
          <w:color w:val="000000" w:themeColor="text1"/>
          <w:sz w:val="24"/>
          <w:szCs w:val="24"/>
        </w:rPr>
        <w:t xml:space="preserve"> </w:t>
      </w:r>
      <w:r w:rsidR="000E1A45" w:rsidRPr="00806564">
        <w:rPr>
          <w:rFonts w:ascii="Cambria" w:hAnsi="Cambria" w:cs="Times New Roman"/>
          <w:color w:val="000000" w:themeColor="text1"/>
          <w:sz w:val="24"/>
          <w:szCs w:val="24"/>
        </w:rPr>
        <w:t>≤</w:t>
      </w:r>
      <w:r w:rsidR="000E1A45">
        <w:rPr>
          <w:rFonts w:ascii="Cambria" w:hAnsi="Cambria" w:cs="Times New Roman"/>
          <w:color w:val="000000" w:themeColor="text1"/>
          <w:sz w:val="24"/>
          <w:szCs w:val="24"/>
        </w:rPr>
        <w:t xml:space="preserve"> </w:t>
      </w:r>
      <w:r w:rsidR="000E1A45" w:rsidRPr="00806564">
        <w:rPr>
          <w:rFonts w:ascii="Cambria" w:hAnsi="Cambria" w:cs="Times New Roman"/>
          <w:color w:val="000000" w:themeColor="text1"/>
          <w:sz w:val="24"/>
          <w:szCs w:val="24"/>
        </w:rPr>
        <w:t>IOP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 xml:space="preserve"> ≤ 21 </w:t>
      </w:r>
      <w:r w:rsidR="000563A2">
        <w:rPr>
          <w:rFonts w:ascii="Cambria" w:hAnsi="Cambria" w:cs="Times New Roman"/>
          <w:color w:val="000000" w:themeColor="text1"/>
          <w:sz w:val="24"/>
          <w:szCs w:val="24"/>
        </w:rPr>
        <w:t>mm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>Hg).</w:t>
      </w:r>
    </w:p>
    <w:p w14:paraId="47EA4C29" w14:textId="4C981520" w:rsidR="000563A2" w:rsidRPr="00806564" w:rsidRDefault="000563A2" w:rsidP="000563A2">
      <w:pPr>
        <w:spacing w:line="276" w:lineRule="auto"/>
        <w:rPr>
          <w:rFonts w:ascii="Cambria" w:hAnsi="Cambria" w:cs="Times New Roman"/>
          <w:color w:val="000000" w:themeColor="text1"/>
          <w:sz w:val="24"/>
          <w:szCs w:val="24"/>
        </w:rPr>
      </w:pPr>
    </w:p>
    <w:p w14:paraId="0278A753" w14:textId="2F506334" w:rsidR="000563A2" w:rsidRPr="00806564" w:rsidRDefault="000563A2" w:rsidP="000563A2">
      <w:pPr>
        <w:widowControl/>
        <w:jc w:val="left"/>
        <w:rPr>
          <w:rFonts w:ascii="Cambria" w:hAnsi="Cambria" w:cs="Times New Roman"/>
          <w:color w:val="000000" w:themeColor="text1"/>
          <w:sz w:val="24"/>
          <w:szCs w:val="24"/>
        </w:rPr>
      </w:pPr>
      <w:r w:rsidRPr="00806564">
        <w:rPr>
          <w:rFonts w:ascii="Cambria" w:hAnsi="Cambria" w:cs="Times New Roman"/>
          <w:color w:val="000000" w:themeColor="text1"/>
          <w:sz w:val="24"/>
          <w:szCs w:val="24"/>
        </w:rPr>
        <w:br w:type="page"/>
      </w:r>
    </w:p>
    <w:p w14:paraId="69B7DA3D" w14:textId="38A7F8B8" w:rsidR="000563A2" w:rsidRDefault="000E64F0" w:rsidP="000563A2">
      <w:pPr>
        <w:spacing w:line="276" w:lineRule="auto"/>
        <w:rPr>
          <w:rFonts w:ascii="Cambria" w:hAnsi="Cambria" w:cs="Times New Roman"/>
          <w:color w:val="000000" w:themeColor="text1"/>
          <w:sz w:val="24"/>
          <w:szCs w:val="24"/>
        </w:rPr>
      </w:pPr>
      <w:r>
        <w:rPr>
          <w:rFonts w:ascii="Cambria" w:hAnsi="Cambria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F52BE5C" wp14:editId="76F3E867">
            <wp:simplePos x="0" y="0"/>
            <wp:positionH relativeFrom="column">
              <wp:posOffset>-533400</wp:posOffset>
            </wp:positionH>
            <wp:positionV relativeFrom="paragraph">
              <wp:posOffset>533400</wp:posOffset>
            </wp:positionV>
            <wp:extent cx="6096000" cy="2813685"/>
            <wp:effectExtent l="0" t="0" r="0" b="5715"/>
            <wp:wrapSquare wrapText="bothSides"/>
            <wp:docPr id="5598852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3A2" w:rsidRPr="00806564">
        <w:rPr>
          <w:rFonts w:ascii="Cambria" w:hAnsi="Cambria" w:cs="Times New Roman"/>
          <w:b/>
          <w:bCs/>
          <w:color w:val="000000" w:themeColor="text1"/>
          <w:sz w:val="24"/>
          <w:szCs w:val="24"/>
        </w:rPr>
        <w:t>Figure S2.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 xml:space="preserve"> Kaplan</w:t>
      </w:r>
      <w:r w:rsidR="000563A2">
        <w:rPr>
          <w:rFonts w:ascii="Cambria" w:hAnsi="Cambria" w:cs="Times New Roman"/>
          <w:color w:val="000000" w:themeColor="text1"/>
          <w:sz w:val="24"/>
          <w:szCs w:val="24"/>
        </w:rPr>
        <w:t>–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 xml:space="preserve">Meier survival curves of subgroup based on preoperative </w:t>
      </w:r>
      <w:r w:rsidR="000563A2">
        <w:rPr>
          <w:rFonts w:ascii="Cambria" w:hAnsi="Cambria" w:cs="Times New Roman"/>
          <w:color w:val="000000" w:themeColor="text1"/>
          <w:sz w:val="24"/>
          <w:szCs w:val="24"/>
        </w:rPr>
        <w:t>intraocular pressure (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>IOP</w:t>
      </w:r>
      <w:r w:rsidR="000563A2">
        <w:rPr>
          <w:rFonts w:ascii="Cambria" w:hAnsi="Cambria" w:cs="Times New Roman"/>
          <w:color w:val="000000" w:themeColor="text1"/>
          <w:sz w:val="24"/>
          <w:szCs w:val="24"/>
        </w:rPr>
        <w:t>)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>.</w:t>
      </w:r>
    </w:p>
    <w:p w14:paraId="2EF82D40" w14:textId="3285234C" w:rsidR="00635199" w:rsidRPr="00806564" w:rsidRDefault="00635199" w:rsidP="000563A2">
      <w:pPr>
        <w:spacing w:line="276" w:lineRule="auto"/>
        <w:rPr>
          <w:rFonts w:ascii="Cambria" w:hAnsi="Cambria" w:cs="Times New Roman"/>
          <w:color w:val="000000" w:themeColor="text1"/>
          <w:sz w:val="24"/>
          <w:szCs w:val="24"/>
        </w:rPr>
      </w:pPr>
    </w:p>
    <w:p w14:paraId="4D3C541E" w14:textId="05F3077C" w:rsidR="000563A2" w:rsidRPr="00806564" w:rsidRDefault="000563A2" w:rsidP="000563A2">
      <w:pPr>
        <w:spacing w:line="276" w:lineRule="auto"/>
        <w:rPr>
          <w:rFonts w:ascii="Cambria" w:hAnsi="Cambria" w:cs="Times New Roman"/>
          <w:color w:val="000000" w:themeColor="text1"/>
          <w:sz w:val="24"/>
          <w:szCs w:val="24"/>
        </w:rPr>
      </w:pPr>
    </w:p>
    <w:p w14:paraId="1E73DA58" w14:textId="2B254D25" w:rsidR="000563A2" w:rsidRPr="00806564" w:rsidRDefault="000563A2" w:rsidP="000563A2">
      <w:pPr>
        <w:spacing w:line="360" w:lineRule="auto"/>
        <w:rPr>
          <w:rFonts w:ascii="Cambria" w:hAnsi="Cambria" w:cs="Times New Roman"/>
          <w:color w:val="000000" w:themeColor="text1"/>
          <w:sz w:val="24"/>
          <w:szCs w:val="24"/>
        </w:rPr>
      </w:pPr>
      <w:r w:rsidRPr="00806564">
        <w:rPr>
          <w:rFonts w:ascii="Cambria" w:hAnsi="Cambria" w:cs="Times New Roman"/>
          <w:b/>
          <w:color w:val="000000" w:themeColor="text1"/>
          <w:sz w:val="24"/>
          <w:szCs w:val="24"/>
        </w:rPr>
        <w:br w:type="page"/>
      </w:r>
    </w:p>
    <w:p w14:paraId="5D8C1478" w14:textId="64718F96" w:rsidR="000563A2" w:rsidRPr="00806564" w:rsidRDefault="000E64F0" w:rsidP="000563A2">
      <w:pPr>
        <w:spacing w:line="276" w:lineRule="auto"/>
        <w:rPr>
          <w:rFonts w:ascii="Cambria" w:hAnsi="Cambria" w:cs="Times New Roman"/>
          <w:color w:val="000000" w:themeColor="text1"/>
          <w:sz w:val="24"/>
          <w:szCs w:val="24"/>
        </w:rPr>
      </w:pPr>
      <w:r>
        <w:rPr>
          <w:rFonts w:ascii="Cambria" w:hAnsi="Cambria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20358AC3" wp14:editId="466D5D61">
            <wp:simplePos x="0" y="0"/>
            <wp:positionH relativeFrom="column">
              <wp:posOffset>-215900</wp:posOffset>
            </wp:positionH>
            <wp:positionV relativeFrom="paragraph">
              <wp:posOffset>546100</wp:posOffset>
            </wp:positionV>
            <wp:extent cx="5608320" cy="2571750"/>
            <wp:effectExtent l="0" t="0" r="0" b="0"/>
            <wp:wrapSquare wrapText="bothSides"/>
            <wp:docPr id="7316664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3A2" w:rsidRPr="00806564">
        <w:rPr>
          <w:rFonts w:ascii="Cambria" w:hAnsi="Cambria" w:cs="Times New Roman"/>
          <w:b/>
          <w:bCs/>
          <w:color w:val="000000" w:themeColor="text1"/>
          <w:sz w:val="24"/>
          <w:szCs w:val="24"/>
        </w:rPr>
        <w:t>Figure S3.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 xml:space="preserve"> Kaplan</w:t>
      </w:r>
      <w:r w:rsidR="000563A2">
        <w:rPr>
          <w:rFonts w:ascii="Cambria" w:hAnsi="Cambria" w:cs="Times New Roman"/>
          <w:color w:val="000000" w:themeColor="text1"/>
          <w:sz w:val="24"/>
          <w:szCs w:val="24"/>
        </w:rPr>
        <w:t>–</w:t>
      </w:r>
      <w:r w:rsidR="000563A2" w:rsidRPr="00806564">
        <w:rPr>
          <w:rFonts w:ascii="Cambria" w:hAnsi="Cambria" w:cs="Times New Roman"/>
          <w:color w:val="000000" w:themeColor="text1"/>
          <w:sz w:val="24"/>
          <w:szCs w:val="24"/>
        </w:rPr>
        <w:t>Meier survival curves of subgroups according to numbers of antiglaucoma medications.</w:t>
      </w:r>
    </w:p>
    <w:p w14:paraId="61FA29C4" w14:textId="15CC94B5" w:rsidR="000563A2" w:rsidRPr="00806564" w:rsidRDefault="000563A2" w:rsidP="000563A2">
      <w:pPr>
        <w:widowControl/>
        <w:jc w:val="left"/>
        <w:rPr>
          <w:rFonts w:ascii="Cambria" w:hAnsi="Cambria" w:cs="Times New Roman"/>
          <w:b/>
          <w:color w:val="000000" w:themeColor="text1"/>
          <w:sz w:val="24"/>
          <w:szCs w:val="24"/>
        </w:rPr>
      </w:pPr>
    </w:p>
    <w:p w14:paraId="55212CCD" w14:textId="57669742" w:rsidR="000563A2" w:rsidRPr="00806564" w:rsidRDefault="000563A2" w:rsidP="000563A2">
      <w:pPr>
        <w:widowControl/>
        <w:jc w:val="left"/>
        <w:rPr>
          <w:rFonts w:ascii="Cambria" w:hAnsi="Cambria" w:cs="Times New Roman"/>
          <w:b/>
          <w:color w:val="000000" w:themeColor="text1"/>
          <w:sz w:val="24"/>
          <w:szCs w:val="24"/>
        </w:rPr>
      </w:pPr>
      <w:r w:rsidRPr="00806564">
        <w:rPr>
          <w:rFonts w:ascii="Cambria" w:hAnsi="Cambria" w:cs="Times New Roman"/>
          <w:b/>
          <w:color w:val="000000" w:themeColor="text1"/>
          <w:sz w:val="24"/>
          <w:szCs w:val="24"/>
        </w:rPr>
        <w:br w:type="page"/>
      </w:r>
    </w:p>
    <w:p w14:paraId="74C0A430" w14:textId="365306C8" w:rsidR="000563A2" w:rsidRPr="00806564" w:rsidRDefault="000563A2" w:rsidP="000563A2">
      <w:pPr>
        <w:spacing w:line="276" w:lineRule="auto"/>
        <w:rPr>
          <w:rFonts w:ascii="Cambria" w:hAnsi="Cambria"/>
          <w:color w:val="000000" w:themeColor="text1"/>
        </w:rPr>
      </w:pPr>
      <w:r w:rsidRPr="00806564">
        <w:rPr>
          <w:rFonts w:ascii="Cambria" w:hAnsi="Cambria" w:cs="Times New Roman"/>
          <w:b/>
          <w:color w:val="000000" w:themeColor="text1"/>
          <w:sz w:val="24"/>
          <w:szCs w:val="24"/>
        </w:rPr>
        <w:lastRenderedPageBreak/>
        <w:t>Figure S4.</w:t>
      </w:r>
      <w:r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t xml:space="preserve"> Intraocular pressure at baseline and each of 6 follow-up points in patients with early-to-moderate and advanced </w:t>
      </w:r>
      <w:r w:rsidRPr="00284F6F">
        <w:rPr>
          <w:rFonts w:ascii="Cambria" w:hAnsi="Cambria" w:cs="Times New Roman"/>
          <w:bCs/>
          <w:color w:val="000000" w:themeColor="text1"/>
          <w:sz w:val="24"/>
          <w:szCs w:val="24"/>
        </w:rPr>
        <w:t xml:space="preserve">primary angle-closure glaucoma </w:t>
      </w:r>
      <w:r>
        <w:rPr>
          <w:rFonts w:ascii="Cambria" w:hAnsi="Cambria" w:cs="Times New Roman"/>
          <w:bCs/>
          <w:color w:val="000000" w:themeColor="text1"/>
          <w:sz w:val="24"/>
          <w:szCs w:val="24"/>
        </w:rPr>
        <w:t>(</w:t>
      </w:r>
      <w:r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t>PACG</w:t>
      </w:r>
      <w:r>
        <w:rPr>
          <w:rFonts w:ascii="Cambria" w:hAnsi="Cambria" w:cs="Times New Roman"/>
          <w:bCs/>
          <w:color w:val="000000" w:themeColor="text1"/>
          <w:sz w:val="24"/>
          <w:szCs w:val="24"/>
        </w:rPr>
        <w:t>)</w:t>
      </w:r>
      <w:r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t>.</w:t>
      </w:r>
    </w:p>
    <w:p w14:paraId="1D67BEF9" w14:textId="58159908" w:rsidR="000563A2" w:rsidRPr="00806564" w:rsidRDefault="00101EC3" w:rsidP="000563A2">
      <w:pPr>
        <w:widowControl/>
        <w:jc w:val="left"/>
        <w:rPr>
          <w:rFonts w:ascii="Cambria" w:hAnsi="Cambria" w:cs="Times New Roman"/>
          <w:bCs/>
          <w:color w:val="000000" w:themeColor="text1"/>
          <w:sz w:val="24"/>
          <w:szCs w:val="24"/>
        </w:rPr>
      </w:pPr>
      <w:r>
        <w:rPr>
          <w:rFonts w:ascii="Cambria" w:hAnsi="Cambria" w:cs="Times New Roman"/>
          <w:bCs/>
          <w:noProof/>
          <w:color w:val="000000" w:themeColor="text1"/>
          <w:sz w:val="24"/>
          <w:szCs w:val="24"/>
        </w:rPr>
        <w:drawing>
          <wp:inline distT="0" distB="0" distL="0" distR="0" wp14:anchorId="649878D4" wp14:editId="47DA79D5">
            <wp:extent cx="5391785" cy="4400062"/>
            <wp:effectExtent l="0" t="0" r="0" b="635"/>
            <wp:docPr id="103420676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4" t="6772" r="6716" b="6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920" cy="440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563A2"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br w:type="page"/>
      </w:r>
    </w:p>
    <w:p w14:paraId="301621E9" w14:textId="761C79CC" w:rsidR="000563A2" w:rsidRPr="00806564" w:rsidRDefault="000E64F0" w:rsidP="000563A2">
      <w:pPr>
        <w:spacing w:line="276" w:lineRule="auto"/>
        <w:rPr>
          <w:rFonts w:ascii="Cambria" w:hAnsi="Cambria" w:cs="Times New Roman"/>
          <w:bCs/>
          <w:color w:val="000000" w:themeColor="text1"/>
          <w:sz w:val="24"/>
          <w:szCs w:val="24"/>
        </w:rPr>
      </w:pPr>
      <w:r>
        <w:rPr>
          <w:rFonts w:ascii="Cambria" w:hAnsi="Cambria" w:cs="Times New Roman"/>
          <w:bCs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5359F332" wp14:editId="2CDEB5DF">
            <wp:simplePos x="0" y="0"/>
            <wp:positionH relativeFrom="column">
              <wp:posOffset>-393700</wp:posOffset>
            </wp:positionH>
            <wp:positionV relativeFrom="paragraph">
              <wp:posOffset>787400</wp:posOffset>
            </wp:positionV>
            <wp:extent cx="5989955" cy="2586355"/>
            <wp:effectExtent l="0" t="0" r="0" b="4445"/>
            <wp:wrapSquare wrapText="bothSides"/>
            <wp:docPr id="128857770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3A2" w:rsidRPr="00806564">
        <w:rPr>
          <w:rFonts w:ascii="Cambria" w:hAnsi="Cambria" w:cs="Times New Roman"/>
          <w:b/>
          <w:color w:val="000000" w:themeColor="text1"/>
          <w:sz w:val="24"/>
          <w:szCs w:val="24"/>
        </w:rPr>
        <w:t>Figure S5.</w:t>
      </w:r>
      <w:r w:rsidR="000563A2"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t xml:space="preserve"> Kaplan</w:t>
      </w:r>
      <w:r w:rsidR="000563A2">
        <w:rPr>
          <w:rFonts w:ascii="Cambria" w:hAnsi="Cambria" w:cs="Times New Roman"/>
          <w:bCs/>
          <w:color w:val="000000" w:themeColor="text1"/>
          <w:sz w:val="24"/>
          <w:szCs w:val="24"/>
        </w:rPr>
        <w:t>–</w:t>
      </w:r>
      <w:r w:rsidR="000563A2"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t xml:space="preserve">Meier survival curves during follow-up after combined phacoemulsification and goniosynechialysis in patients with early-to-moderate and advanced </w:t>
      </w:r>
      <w:r w:rsidR="000563A2" w:rsidRPr="00284F6F">
        <w:rPr>
          <w:rFonts w:ascii="Cambria" w:hAnsi="Cambria" w:cs="Times New Roman"/>
          <w:bCs/>
          <w:color w:val="000000" w:themeColor="text1"/>
          <w:sz w:val="24"/>
          <w:szCs w:val="24"/>
        </w:rPr>
        <w:t>primary angle-closure glaucoma</w:t>
      </w:r>
      <w:r w:rsidR="000563A2"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t xml:space="preserve"> </w:t>
      </w:r>
      <w:r w:rsidR="000563A2">
        <w:rPr>
          <w:rFonts w:ascii="Cambria" w:hAnsi="Cambria" w:cs="Times New Roman"/>
          <w:bCs/>
          <w:color w:val="000000" w:themeColor="text1"/>
          <w:sz w:val="24"/>
          <w:szCs w:val="24"/>
        </w:rPr>
        <w:t>(</w:t>
      </w:r>
      <w:r w:rsidR="000563A2"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t>PACG</w:t>
      </w:r>
      <w:r w:rsidR="000563A2">
        <w:rPr>
          <w:rFonts w:ascii="Cambria" w:hAnsi="Cambria" w:cs="Times New Roman"/>
          <w:bCs/>
          <w:color w:val="000000" w:themeColor="text1"/>
          <w:sz w:val="24"/>
          <w:szCs w:val="24"/>
        </w:rPr>
        <w:t>)</w:t>
      </w:r>
      <w:r w:rsidR="000563A2"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t>.</w:t>
      </w:r>
    </w:p>
    <w:p w14:paraId="5C1FBE1C" w14:textId="0E6C91A7" w:rsidR="000563A2" w:rsidRPr="00806564" w:rsidRDefault="000563A2" w:rsidP="000563A2">
      <w:pPr>
        <w:widowControl/>
        <w:jc w:val="left"/>
        <w:rPr>
          <w:rFonts w:ascii="Cambria" w:hAnsi="Cambria" w:cs="Times New Roman"/>
          <w:bCs/>
          <w:color w:val="000000" w:themeColor="text1"/>
          <w:sz w:val="24"/>
          <w:szCs w:val="24"/>
        </w:rPr>
      </w:pPr>
      <w:r w:rsidRPr="00806564">
        <w:rPr>
          <w:rFonts w:ascii="Cambria" w:hAnsi="Cambria" w:cs="Times New Roman"/>
          <w:bCs/>
          <w:color w:val="000000" w:themeColor="text1"/>
          <w:sz w:val="24"/>
          <w:szCs w:val="24"/>
        </w:rPr>
        <w:br w:type="page"/>
      </w:r>
    </w:p>
    <w:p w14:paraId="48CD298A" w14:textId="337ED80C" w:rsidR="000563A2" w:rsidRPr="00806564" w:rsidRDefault="000563A2" w:rsidP="000563A2">
      <w:pPr>
        <w:spacing w:beforeLines="50" w:before="156" w:line="276" w:lineRule="auto"/>
        <w:rPr>
          <w:rFonts w:ascii="Cambria" w:hAnsi="Cambria" w:cs="Calibri"/>
          <w:color w:val="000000" w:themeColor="text1"/>
          <w:sz w:val="24"/>
          <w:szCs w:val="24"/>
        </w:rPr>
      </w:pPr>
      <w:r w:rsidRPr="00806564">
        <w:rPr>
          <w:rFonts w:ascii="Cambria" w:hAnsi="Cambria" w:cs="Calibri"/>
          <w:b/>
          <w:bCs/>
          <w:color w:val="000000" w:themeColor="text1"/>
          <w:sz w:val="24"/>
          <w:szCs w:val="24"/>
        </w:rPr>
        <w:lastRenderedPageBreak/>
        <w:t xml:space="preserve">Table S1. </w:t>
      </w:r>
      <w:r w:rsidRPr="00806564">
        <w:rPr>
          <w:rFonts w:ascii="Cambria" w:hAnsi="Cambria" w:cs="Calibri"/>
          <w:color w:val="000000" w:themeColor="text1"/>
          <w:sz w:val="24"/>
          <w:szCs w:val="24"/>
        </w:rPr>
        <w:t>Comparisons of demographics and clinical baselines of patients who completed follow-up and those who did not</w:t>
      </w:r>
    </w:p>
    <w:tbl>
      <w:tblPr>
        <w:tblW w:w="8277" w:type="dxa"/>
        <w:jc w:val="center"/>
        <w:tblBorders>
          <w:top w:val="single" w:sz="6" w:space="0" w:color="000000"/>
          <w:bottom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272"/>
        <w:gridCol w:w="2123"/>
        <w:gridCol w:w="1047"/>
      </w:tblGrid>
      <w:tr w:rsidR="000563A2" w:rsidRPr="00E36C52" w14:paraId="2E5A5EB4" w14:textId="77777777" w:rsidTr="00DB6B8B">
        <w:trPr>
          <w:trHeight w:hRule="exact" w:val="902"/>
          <w:jc w:val="center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BF6628" w14:textId="77777777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b/>
                <w:bCs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b/>
                <w:bCs/>
                <w:color w:val="000000" w:themeColor="text1"/>
                <w:sz w:val="22"/>
                <w:szCs w:val="24"/>
              </w:rPr>
              <w:t xml:space="preserve">Characteristics                                </w:t>
            </w:r>
          </w:p>
        </w:tc>
        <w:tc>
          <w:tcPr>
            <w:tcW w:w="227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6BEC9E6" w14:textId="6BA8486E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b/>
                <w:bCs/>
                <w:color w:val="000000" w:themeColor="text1"/>
                <w:sz w:val="22"/>
                <w:szCs w:val="24"/>
              </w:rPr>
              <w:t xml:space="preserve">Follow-up                     completed </w:t>
            </w:r>
          </w:p>
        </w:tc>
        <w:tc>
          <w:tcPr>
            <w:tcW w:w="212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0544D55" w14:textId="516591D6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b/>
                <w:bCs/>
                <w:color w:val="000000" w:themeColor="text1"/>
                <w:sz w:val="22"/>
                <w:szCs w:val="24"/>
              </w:rPr>
              <w:t xml:space="preserve">Follow-up incomplete </w:t>
            </w:r>
          </w:p>
        </w:tc>
        <w:tc>
          <w:tcPr>
            <w:tcW w:w="104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D277904" w14:textId="40988E9E" w:rsidR="000563A2" w:rsidRPr="00E36C52" w:rsidRDefault="000563A2" w:rsidP="00674520">
            <w:pPr>
              <w:widowControl/>
              <w:ind w:right="-806"/>
              <w:rPr>
                <w:rFonts w:ascii="Cambria" w:hAnsi="Cambria" w:cs="Calibri"/>
                <w:b/>
                <w:bCs/>
                <w:i/>
                <w:iCs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b/>
                <w:bCs/>
                <w:i/>
                <w:iCs/>
                <w:color w:val="000000" w:themeColor="text1"/>
                <w:sz w:val="22"/>
                <w:szCs w:val="24"/>
              </w:rPr>
              <w:t xml:space="preserve">    P</w:t>
            </w:r>
          </w:p>
        </w:tc>
      </w:tr>
      <w:tr w:rsidR="000563A2" w:rsidRPr="00E36C52" w14:paraId="5F1FA942" w14:textId="77777777" w:rsidTr="00674520">
        <w:trPr>
          <w:trHeight w:hRule="exact" w:val="867"/>
          <w:jc w:val="center"/>
        </w:trPr>
        <w:tc>
          <w:tcPr>
            <w:tcW w:w="2835" w:type="dxa"/>
            <w:tcBorders>
              <w:top w:val="single" w:sz="6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EFF5DB" w14:textId="5885F38B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Number of eyes</w:t>
            </w:r>
          </w:p>
        </w:tc>
        <w:tc>
          <w:tcPr>
            <w:tcW w:w="2272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1FB7C3ED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237</w:t>
            </w:r>
          </w:p>
        </w:tc>
        <w:tc>
          <w:tcPr>
            <w:tcW w:w="2123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67E42E1E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52</w:t>
            </w:r>
          </w:p>
        </w:tc>
        <w:tc>
          <w:tcPr>
            <w:tcW w:w="1047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37CA18A1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-</w:t>
            </w:r>
          </w:p>
        </w:tc>
      </w:tr>
      <w:tr w:rsidR="000563A2" w:rsidRPr="00E36C52" w14:paraId="056EFCF7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AD41D6" w14:textId="25DCEF45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Age (years)           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7DC3880E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67.1 ± 8.5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51476EB5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69.4 ± 9.6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3C6EE5B4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0.084</w:t>
            </w:r>
          </w:p>
        </w:tc>
      </w:tr>
      <w:tr w:rsidR="000563A2" w:rsidRPr="00E36C52" w14:paraId="5898D9B3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EB49A7" w14:textId="77777777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Female, n (%)                   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16754ECE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137 (57.8%)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2D5D0516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29 (55.8%)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6498E512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0.788</w:t>
            </w:r>
          </w:p>
        </w:tc>
      </w:tr>
      <w:tr w:rsidR="000563A2" w:rsidRPr="00E36C52" w14:paraId="3C09B855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E49306" w14:textId="27D3E064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Systolic pressure (mmHg)  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2DE935B5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134.3 ± 19.2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66BE2337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135.9 ± 17.9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2759D33E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0.570</w:t>
            </w:r>
          </w:p>
        </w:tc>
      </w:tr>
      <w:tr w:rsidR="000563A2" w:rsidRPr="00E36C52" w14:paraId="248523DE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F1614E" w14:textId="06542A42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Diastolic pressure (mmHg)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562ED1AA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77.7 ± 10.8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5D2E48EA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79.4 ± 9.3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53B010E6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0.296</w:t>
            </w:r>
          </w:p>
        </w:tc>
      </w:tr>
      <w:tr w:rsidR="000563A2" w:rsidRPr="00E36C52" w14:paraId="1DF6AB6C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BDCD19" w14:textId="77777777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Hypertension, n (%)    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6671FC91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97 (40.9%)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3DF32144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20 (38.5%)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334FF855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0.743</w:t>
            </w:r>
          </w:p>
        </w:tc>
      </w:tr>
      <w:tr w:rsidR="000563A2" w:rsidRPr="00E36C52" w14:paraId="4A875577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1B2035" w14:textId="77777777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Diabetes, n (%)          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7AAF6026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45 (19.0%)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35089C46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7 (13.5%)   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265FF6AF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0.348</w:t>
            </w:r>
          </w:p>
        </w:tc>
      </w:tr>
      <w:tr w:rsidR="000563A2" w:rsidRPr="00E36C52" w14:paraId="57165009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E6916B" w14:textId="77777777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BCVA (LogMAR)                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5C6591E2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0.47 ± 0.65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3F9A670A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0.56 ± 0.63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216FBF9B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0.358</w:t>
            </w:r>
          </w:p>
        </w:tc>
      </w:tr>
      <w:tr w:rsidR="000563A2" w:rsidRPr="00E36C52" w14:paraId="7DF7BE05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0941FD" w14:textId="77777777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Previous LPI, n (%)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14353CC9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34 (14.4%)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5969B57F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3 (5.8%)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4764B81B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0.094</w:t>
            </w:r>
          </w:p>
        </w:tc>
      </w:tr>
      <w:tr w:rsidR="000563A2" w:rsidRPr="00E36C52" w14:paraId="651C0E6B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41BA55" w14:textId="65E5D5DB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Baseline IOP (mmHg)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089613BE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22.9 ± 10.2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008010BB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22.8 ± 21.8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4C0E8BF5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0.502</w:t>
            </w:r>
          </w:p>
        </w:tc>
      </w:tr>
      <w:tr w:rsidR="000563A2" w:rsidRPr="00E36C52" w14:paraId="497AE760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621111" w14:textId="3D4A0F05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MD of visual field (dB)        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4D3565C2" w14:textId="71DA1121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−19.52 ± 10.54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148DA03E" w14:textId="2C82E9F6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−21.59 ± 9.94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18492771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0.205</w:t>
            </w:r>
          </w:p>
        </w:tc>
      </w:tr>
      <w:tr w:rsidR="000563A2" w:rsidRPr="00E36C52" w14:paraId="1D8D89B6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0B391A" w14:textId="35565D08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Mean AL (mm)                 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489A4B26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22.6 ± 0.87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6241CD31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22.8 ± 0.66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1169A938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0.190</w:t>
            </w:r>
          </w:p>
        </w:tc>
      </w:tr>
      <w:tr w:rsidR="000563A2" w:rsidRPr="00E36C52" w14:paraId="6E73AF53" w14:textId="77777777" w:rsidTr="00DB6B8B">
        <w:trPr>
          <w:trHeight w:hRule="exact" w:val="382"/>
          <w:jc w:val="center"/>
        </w:trPr>
        <w:tc>
          <w:tcPr>
            <w:tcW w:w="28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E8BFB7" w14:textId="4D3BCD81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Mean CACD (mm)                                     </w:t>
            </w:r>
          </w:p>
        </w:tc>
        <w:tc>
          <w:tcPr>
            <w:tcW w:w="2272" w:type="dxa"/>
            <w:shd w:val="clear" w:color="auto" w:fill="FFFFFF"/>
            <w:vAlign w:val="center"/>
          </w:tcPr>
          <w:p w14:paraId="510FBCF3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1.90 ± 0.26</w:t>
            </w:r>
          </w:p>
        </w:tc>
        <w:tc>
          <w:tcPr>
            <w:tcW w:w="2123" w:type="dxa"/>
            <w:shd w:val="clear" w:color="auto" w:fill="FFFFFF"/>
            <w:vAlign w:val="center"/>
          </w:tcPr>
          <w:p w14:paraId="63D09E93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1.86 ± 0.26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5560679C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0.355</w:t>
            </w:r>
          </w:p>
        </w:tc>
      </w:tr>
      <w:tr w:rsidR="000563A2" w:rsidRPr="00E36C52" w14:paraId="5DA2F03A" w14:textId="77777777" w:rsidTr="00DB6B8B">
        <w:trPr>
          <w:trHeight w:hRule="exact" w:val="382"/>
          <w:jc w:val="center"/>
        </w:trPr>
        <w:tc>
          <w:tcPr>
            <w:tcW w:w="2835" w:type="dxa"/>
            <w:tcBorders>
              <w:top w:val="nil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19F351" w14:textId="0A47A04A" w:rsidR="000563A2" w:rsidRPr="00E36C52" w:rsidRDefault="000563A2" w:rsidP="00DB6B8B">
            <w:pPr>
              <w:widowControl/>
              <w:jc w:val="left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 xml:space="preserve">Mean CCT (μm)                                      </w:t>
            </w:r>
          </w:p>
        </w:tc>
        <w:tc>
          <w:tcPr>
            <w:tcW w:w="2272" w:type="dxa"/>
            <w:tcBorders>
              <w:top w:val="nil"/>
              <w:bottom w:val="single" w:sz="8" w:space="0" w:color="000000"/>
            </w:tcBorders>
            <w:shd w:val="clear" w:color="auto" w:fill="FFFFFF"/>
            <w:vAlign w:val="center"/>
          </w:tcPr>
          <w:p w14:paraId="6998677B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530.2 ± 38.1</w:t>
            </w:r>
          </w:p>
        </w:tc>
        <w:tc>
          <w:tcPr>
            <w:tcW w:w="2123" w:type="dxa"/>
            <w:tcBorders>
              <w:top w:val="nil"/>
              <w:bottom w:val="single" w:sz="8" w:space="0" w:color="000000"/>
            </w:tcBorders>
            <w:shd w:val="clear" w:color="auto" w:fill="FFFFFF"/>
            <w:vAlign w:val="center"/>
          </w:tcPr>
          <w:p w14:paraId="16C6B998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528.4 ± 33.6</w:t>
            </w:r>
          </w:p>
        </w:tc>
        <w:tc>
          <w:tcPr>
            <w:tcW w:w="1047" w:type="dxa"/>
            <w:tcBorders>
              <w:top w:val="nil"/>
              <w:bottom w:val="single" w:sz="8" w:space="0" w:color="000000"/>
            </w:tcBorders>
            <w:shd w:val="clear" w:color="auto" w:fill="FFFFFF"/>
            <w:vAlign w:val="center"/>
          </w:tcPr>
          <w:p w14:paraId="60CAC2E0" w14:textId="77777777" w:rsidR="000563A2" w:rsidRPr="00E36C52" w:rsidRDefault="000563A2" w:rsidP="00DB6B8B">
            <w:pPr>
              <w:widowControl/>
              <w:jc w:val="center"/>
              <w:rPr>
                <w:rFonts w:ascii="Cambria" w:hAnsi="Cambria" w:cs="Calibri"/>
                <w:color w:val="000000" w:themeColor="text1"/>
                <w:sz w:val="22"/>
                <w:szCs w:val="24"/>
              </w:rPr>
            </w:pPr>
            <w:r w:rsidRPr="00E36C52">
              <w:rPr>
                <w:rFonts w:ascii="Cambria" w:hAnsi="Cambria" w:cs="Calibri"/>
                <w:color w:val="000000" w:themeColor="text1"/>
                <w:sz w:val="22"/>
                <w:szCs w:val="24"/>
              </w:rPr>
              <w:t>0.778</w:t>
            </w:r>
          </w:p>
        </w:tc>
      </w:tr>
    </w:tbl>
    <w:p w14:paraId="4EE6CDA4" w14:textId="4063EF8B" w:rsidR="000563A2" w:rsidRPr="00E36C52" w:rsidRDefault="000563A2" w:rsidP="00674520">
      <w:pPr>
        <w:widowControl/>
        <w:spacing w:line="276" w:lineRule="auto"/>
        <w:ind w:right="-64"/>
        <w:jc w:val="left"/>
        <w:rPr>
          <w:rFonts w:ascii="Cambria" w:hAnsi="Cambria" w:cs="Calibri"/>
          <w:color w:val="000000" w:themeColor="text1"/>
          <w:sz w:val="22"/>
          <w:szCs w:val="24"/>
        </w:rPr>
      </w:pPr>
      <w:r w:rsidRPr="00E36C52">
        <w:rPr>
          <w:rFonts w:ascii="Cambria" w:hAnsi="Cambria" w:cs="Calibri"/>
          <w:color w:val="000000" w:themeColor="text1"/>
          <w:sz w:val="22"/>
          <w:szCs w:val="24"/>
        </w:rPr>
        <w:t xml:space="preserve">AL = axial length; </w:t>
      </w:r>
      <w:r w:rsidRPr="00E36C52">
        <w:rPr>
          <w:rFonts w:ascii="Cambria" w:eastAsia="宋体" w:hAnsi="Cambria" w:cs="Calibri"/>
          <w:color w:val="000000"/>
          <w:sz w:val="22"/>
          <w:szCs w:val="24"/>
        </w:rPr>
        <w:t>BCVA</w:t>
      </w:r>
      <w:r w:rsidRPr="00E36C52">
        <w:rPr>
          <w:rFonts w:ascii="Cambria" w:hAnsi="Cambria" w:cs="Calibri"/>
          <w:color w:val="000000" w:themeColor="text1"/>
          <w:sz w:val="22"/>
          <w:szCs w:val="24"/>
        </w:rPr>
        <w:t xml:space="preserve"> = best-corrected visual acuity; CACD = central anterior chamber depth; CCT = central corneal thickness; </w:t>
      </w:r>
      <w:r w:rsidR="002E6D93" w:rsidRPr="00E36C52">
        <w:rPr>
          <w:rFonts w:ascii="Cambria" w:hAnsi="Cambria" w:cs="Calibri"/>
          <w:color w:val="000000" w:themeColor="text1"/>
          <w:sz w:val="22"/>
          <w:szCs w:val="24"/>
        </w:rPr>
        <w:t>IOP = intraocular pressure</w:t>
      </w:r>
      <w:r w:rsidR="002E6D93">
        <w:rPr>
          <w:rFonts w:ascii="Cambria" w:hAnsi="Cambria" w:cs="Calibri"/>
          <w:color w:val="000000" w:themeColor="text1"/>
          <w:sz w:val="22"/>
          <w:szCs w:val="24"/>
        </w:rPr>
        <w:t>;</w:t>
      </w:r>
      <w:r w:rsidR="002E6D93" w:rsidRPr="00E36C52">
        <w:rPr>
          <w:rFonts w:ascii="Cambria" w:hAnsi="Cambria" w:cs="Calibri"/>
          <w:color w:val="000000" w:themeColor="text1"/>
          <w:sz w:val="22"/>
          <w:szCs w:val="24"/>
        </w:rPr>
        <w:t xml:space="preserve"> </w:t>
      </w:r>
      <w:r w:rsidRPr="00E36C52">
        <w:rPr>
          <w:rFonts w:ascii="Cambria" w:hAnsi="Cambria" w:cs="Calibri"/>
          <w:color w:val="000000" w:themeColor="text1"/>
          <w:sz w:val="22"/>
          <w:szCs w:val="24"/>
        </w:rPr>
        <w:t xml:space="preserve">LPI = laser peripheral iridotomy; MD = mean deviation </w:t>
      </w:r>
    </w:p>
    <w:p w14:paraId="076BEDFD" w14:textId="24855DEB" w:rsidR="000563A2" w:rsidRPr="00806564" w:rsidRDefault="000563A2" w:rsidP="000563A2">
      <w:pPr>
        <w:widowControl/>
        <w:spacing w:line="276" w:lineRule="auto"/>
        <w:ind w:right="-64"/>
        <w:jc w:val="left"/>
        <w:rPr>
          <w:rFonts w:ascii="Cambria" w:hAnsi="Cambria" w:cs="Calibri"/>
          <w:color w:val="000000" w:themeColor="text1"/>
          <w:sz w:val="24"/>
          <w:szCs w:val="24"/>
        </w:rPr>
        <w:sectPr w:rsidR="000563A2" w:rsidRPr="00806564">
          <w:foot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74520">
        <w:rPr>
          <w:rFonts w:ascii="Cambria" w:hAnsi="Cambria" w:cs="Calibri"/>
          <w:color w:val="000000" w:themeColor="text1"/>
          <w:sz w:val="22"/>
          <w:szCs w:val="24"/>
        </w:rPr>
        <w:t>C</w:t>
      </w:r>
      <w:r w:rsidRPr="00E36C52">
        <w:rPr>
          <w:rFonts w:ascii="Cambria" w:hAnsi="Cambria" w:cs="Calibri"/>
          <w:color w:val="000000" w:themeColor="text1"/>
          <w:sz w:val="22"/>
          <w:szCs w:val="24"/>
        </w:rPr>
        <w:t xml:space="preserve">ontinuous </w:t>
      </w:r>
      <w:r w:rsidRPr="00E36C52">
        <w:rPr>
          <w:rFonts w:ascii="Cambria" w:eastAsia="宋体" w:hAnsi="Cambria" w:cs="Calibri"/>
          <w:color w:val="000000"/>
          <w:sz w:val="22"/>
          <w:szCs w:val="24"/>
        </w:rPr>
        <w:t xml:space="preserve">and categorical </w:t>
      </w:r>
      <w:r w:rsidRPr="00E36C52">
        <w:rPr>
          <w:rFonts w:ascii="Cambria" w:hAnsi="Cambria" w:cs="Calibri"/>
          <w:color w:val="000000" w:themeColor="text1"/>
          <w:sz w:val="22"/>
          <w:szCs w:val="24"/>
        </w:rPr>
        <w:t>data are shown as mean</w:t>
      </w:r>
      <w:r w:rsidRPr="00E36C52">
        <w:rPr>
          <w:rFonts w:ascii="Cambria" w:eastAsia="宋体" w:hAnsi="Cambria" w:cs="Calibri"/>
          <w:color w:val="000000"/>
          <w:sz w:val="22"/>
          <w:szCs w:val="24"/>
        </w:rPr>
        <w:t xml:space="preserve">s </w:t>
      </w:r>
      <w:r w:rsidRPr="00E36C52">
        <w:rPr>
          <w:rFonts w:ascii="Cambria" w:hAnsi="Cambria" w:cs="Calibri"/>
          <w:color w:val="000000" w:themeColor="text1"/>
          <w:sz w:val="22"/>
          <w:szCs w:val="24"/>
        </w:rPr>
        <w:t>±</w:t>
      </w:r>
      <w:r w:rsidRPr="00E36C52" w:rsidDel="00DD0B25">
        <w:rPr>
          <w:rFonts w:ascii="Cambria" w:eastAsia="宋体" w:hAnsi="Cambria" w:cs="Calibri"/>
          <w:color w:val="000000"/>
          <w:sz w:val="22"/>
          <w:szCs w:val="24"/>
        </w:rPr>
        <w:t xml:space="preserve"> </w:t>
      </w:r>
      <w:r w:rsidRPr="00E36C52">
        <w:rPr>
          <w:rFonts w:ascii="Cambria" w:eastAsia="宋体" w:hAnsi="Cambria" w:cs="Calibri"/>
          <w:color w:val="000000"/>
          <w:sz w:val="22"/>
          <w:szCs w:val="24"/>
        </w:rPr>
        <w:t>SD</w:t>
      </w:r>
      <w:r w:rsidRPr="00E36C52">
        <w:rPr>
          <w:rFonts w:ascii="Cambria" w:hAnsi="Cambria" w:cs="Calibri"/>
          <w:color w:val="000000" w:themeColor="text1"/>
          <w:sz w:val="22"/>
          <w:szCs w:val="24"/>
        </w:rPr>
        <w:t>, or n</w:t>
      </w:r>
      <w:r w:rsidR="00BD033A">
        <w:rPr>
          <w:rFonts w:ascii="Cambria" w:hAnsi="Cambria" w:cs="Calibri" w:hint="eastAsia"/>
          <w:color w:val="000000" w:themeColor="text1"/>
          <w:sz w:val="22"/>
          <w:szCs w:val="24"/>
        </w:rPr>
        <w:t xml:space="preserve"> </w:t>
      </w:r>
      <w:r w:rsidRPr="00E36C52">
        <w:rPr>
          <w:rFonts w:ascii="Cambria" w:hAnsi="Cambria" w:cs="Calibri"/>
          <w:color w:val="000000" w:themeColor="text1"/>
          <w:sz w:val="22"/>
          <w:szCs w:val="24"/>
        </w:rPr>
        <w:t xml:space="preserve">(%) </w:t>
      </w:r>
    </w:p>
    <w:p w14:paraId="5295BB7B" w14:textId="771B4718" w:rsidR="000563A2" w:rsidRDefault="000563A2" w:rsidP="000563A2">
      <w:pPr>
        <w:widowControl/>
        <w:rPr>
          <w:rFonts w:ascii="Cambria" w:hAnsi="Cambria" w:cs="Calibri"/>
          <w:color w:val="000000" w:themeColor="text1"/>
          <w:sz w:val="24"/>
          <w:szCs w:val="24"/>
        </w:rPr>
      </w:pPr>
      <w:r w:rsidRPr="00806564">
        <w:rPr>
          <w:rFonts w:ascii="Cambria" w:hAnsi="Cambria" w:cs="Calibri"/>
          <w:b/>
          <w:bCs/>
          <w:color w:val="000000" w:themeColor="text1"/>
          <w:sz w:val="24"/>
          <w:szCs w:val="24"/>
        </w:rPr>
        <w:lastRenderedPageBreak/>
        <w:t>Table S2.</w:t>
      </w:r>
      <w:r w:rsidRPr="00806564">
        <w:rPr>
          <w:rFonts w:ascii="Cambria" w:hAnsi="Cambria" w:cs="Calibri"/>
          <w:color w:val="000000" w:themeColor="text1"/>
          <w:sz w:val="24"/>
          <w:szCs w:val="24"/>
        </w:rPr>
        <w:t xml:space="preserve"> Results of the Cox regression analysis for predictors of complete success</w:t>
      </w:r>
    </w:p>
    <w:p w14:paraId="6C836412" w14:textId="77777777" w:rsidR="00CA350F" w:rsidRPr="00806564" w:rsidRDefault="00CA350F" w:rsidP="000563A2">
      <w:pPr>
        <w:widowControl/>
        <w:rPr>
          <w:rFonts w:ascii="Cambria" w:hAnsi="Cambria" w:cs="Calibri"/>
          <w:color w:val="000000" w:themeColor="text1"/>
          <w:sz w:val="24"/>
          <w:szCs w:val="24"/>
        </w:rPr>
      </w:pPr>
    </w:p>
    <w:tbl>
      <w:tblPr>
        <w:tblStyle w:val="a5"/>
        <w:tblW w:w="9388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9"/>
        <w:gridCol w:w="2024"/>
        <w:gridCol w:w="1104"/>
        <w:gridCol w:w="2346"/>
        <w:gridCol w:w="1105"/>
      </w:tblGrid>
      <w:tr w:rsidR="000563A2" w:rsidRPr="00D75064" w14:paraId="51893F9E" w14:textId="77777777" w:rsidTr="00DB6B8B">
        <w:trPr>
          <w:trHeight w:val="390"/>
          <w:jc w:val="center"/>
        </w:trPr>
        <w:tc>
          <w:tcPr>
            <w:tcW w:w="2809" w:type="dxa"/>
            <w:vMerge w:val="restart"/>
            <w:tcBorders>
              <w:top w:val="single" w:sz="6" w:space="0" w:color="auto"/>
            </w:tcBorders>
            <w:vAlign w:val="center"/>
          </w:tcPr>
          <w:p w14:paraId="55463CD7" w14:textId="77777777" w:rsidR="000563A2" w:rsidRPr="00D75064" w:rsidRDefault="000563A2" w:rsidP="00DB6B8B">
            <w:pPr>
              <w:spacing w:line="360" w:lineRule="auto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Variables</w:t>
            </w:r>
          </w:p>
        </w:tc>
        <w:tc>
          <w:tcPr>
            <w:tcW w:w="3128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298F82C" w14:textId="77777777" w:rsidR="000563A2" w:rsidRPr="00D75064" w:rsidRDefault="000563A2" w:rsidP="00DB6B8B">
            <w:pPr>
              <w:widowControl/>
              <w:spacing w:line="240" w:lineRule="atLeast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Univariate</w:t>
            </w:r>
          </w:p>
        </w:tc>
        <w:tc>
          <w:tcPr>
            <w:tcW w:w="3451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1757152" w14:textId="77777777" w:rsidR="000563A2" w:rsidRPr="00D75064" w:rsidRDefault="000563A2" w:rsidP="00DB6B8B">
            <w:pPr>
              <w:widowControl/>
              <w:spacing w:line="240" w:lineRule="atLeast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Multivariate</w:t>
            </w:r>
          </w:p>
        </w:tc>
      </w:tr>
      <w:tr w:rsidR="000563A2" w:rsidRPr="00D75064" w14:paraId="2438F324" w14:textId="77777777" w:rsidTr="00DB6B8B">
        <w:trPr>
          <w:trHeight w:val="458"/>
          <w:jc w:val="center"/>
        </w:trPr>
        <w:tc>
          <w:tcPr>
            <w:tcW w:w="2809" w:type="dxa"/>
            <w:vMerge/>
            <w:tcBorders>
              <w:bottom w:val="single" w:sz="6" w:space="0" w:color="auto"/>
            </w:tcBorders>
            <w:vAlign w:val="center"/>
          </w:tcPr>
          <w:p w14:paraId="195A5F4D" w14:textId="77777777" w:rsidR="000563A2" w:rsidRPr="00D75064" w:rsidRDefault="000563A2" w:rsidP="00DB6B8B">
            <w:pPr>
              <w:widowControl/>
              <w:spacing w:line="360" w:lineRule="auto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B06CAB7" w14:textId="77777777" w:rsidR="000563A2" w:rsidRPr="00D75064" w:rsidRDefault="000563A2" w:rsidP="00DB6B8B">
            <w:pPr>
              <w:widowControl/>
              <w:spacing w:line="240" w:lineRule="atLeast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HR (95% CI)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E9B9BBC" w14:textId="77777777" w:rsidR="000563A2" w:rsidRPr="00D75064" w:rsidRDefault="000563A2" w:rsidP="00DB6B8B">
            <w:pPr>
              <w:widowControl/>
              <w:spacing w:line="240" w:lineRule="atLeast"/>
              <w:jc w:val="center"/>
              <w:rPr>
                <w:rFonts w:ascii="Cambria" w:hAnsi="Cambria" w:cs="Calibri"/>
                <w:b/>
                <w:bCs/>
                <w:i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i/>
                <w:color w:val="000000" w:themeColor="text1"/>
                <w:sz w:val="22"/>
              </w:rPr>
              <w:t>P-value</w:t>
            </w:r>
          </w:p>
        </w:tc>
        <w:tc>
          <w:tcPr>
            <w:tcW w:w="234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2B23931" w14:textId="77777777" w:rsidR="000563A2" w:rsidRPr="00D75064" w:rsidRDefault="000563A2" w:rsidP="00DB6B8B">
            <w:pPr>
              <w:widowControl/>
              <w:spacing w:line="240" w:lineRule="atLeast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HR (95% CI)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A48C1A1" w14:textId="77777777" w:rsidR="000563A2" w:rsidRPr="00D75064" w:rsidRDefault="000563A2" w:rsidP="00DB6B8B">
            <w:pPr>
              <w:widowControl/>
              <w:spacing w:line="240" w:lineRule="atLeast"/>
              <w:jc w:val="center"/>
              <w:rPr>
                <w:rFonts w:ascii="Cambria" w:hAnsi="Cambria" w:cs="Calibri"/>
                <w:b/>
                <w:bCs/>
                <w:i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i/>
                <w:color w:val="000000" w:themeColor="text1"/>
                <w:sz w:val="22"/>
              </w:rPr>
              <w:t>P-value</w:t>
            </w:r>
          </w:p>
        </w:tc>
      </w:tr>
      <w:tr w:rsidR="000563A2" w:rsidRPr="00D75064" w14:paraId="14283F5D" w14:textId="77777777" w:rsidTr="00DB6B8B">
        <w:trPr>
          <w:trHeight w:val="321"/>
          <w:jc w:val="center"/>
        </w:trPr>
        <w:tc>
          <w:tcPr>
            <w:tcW w:w="2809" w:type="dxa"/>
            <w:tcBorders>
              <w:top w:val="single" w:sz="6" w:space="0" w:color="auto"/>
            </w:tcBorders>
            <w:vAlign w:val="center"/>
          </w:tcPr>
          <w:p w14:paraId="37D478A5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Age (per year)</w:t>
            </w:r>
          </w:p>
        </w:tc>
        <w:tc>
          <w:tcPr>
            <w:tcW w:w="2024" w:type="dxa"/>
            <w:tcBorders>
              <w:top w:val="single" w:sz="6" w:space="0" w:color="auto"/>
            </w:tcBorders>
            <w:vAlign w:val="center"/>
          </w:tcPr>
          <w:p w14:paraId="6D2534F5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0.98 (0.95–1.01)</w:t>
            </w:r>
          </w:p>
        </w:tc>
        <w:tc>
          <w:tcPr>
            <w:tcW w:w="1104" w:type="dxa"/>
            <w:tcBorders>
              <w:top w:val="single" w:sz="6" w:space="0" w:color="auto"/>
            </w:tcBorders>
            <w:vAlign w:val="center"/>
          </w:tcPr>
          <w:p w14:paraId="476D8973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0.124</w:t>
            </w:r>
          </w:p>
        </w:tc>
        <w:tc>
          <w:tcPr>
            <w:tcW w:w="2346" w:type="dxa"/>
            <w:tcBorders>
              <w:top w:val="single" w:sz="6" w:space="0" w:color="auto"/>
            </w:tcBorders>
            <w:vAlign w:val="center"/>
          </w:tcPr>
          <w:p w14:paraId="503ED0BA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0.98 (0.95–1.01)</w:t>
            </w:r>
          </w:p>
        </w:tc>
        <w:tc>
          <w:tcPr>
            <w:tcW w:w="1105" w:type="dxa"/>
            <w:tcBorders>
              <w:top w:val="single" w:sz="6" w:space="0" w:color="auto"/>
            </w:tcBorders>
            <w:vAlign w:val="center"/>
          </w:tcPr>
          <w:p w14:paraId="14DA4225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0.141</w:t>
            </w:r>
          </w:p>
        </w:tc>
      </w:tr>
      <w:tr w:rsidR="000563A2" w:rsidRPr="00D75064" w14:paraId="5D9BE842" w14:textId="77777777" w:rsidTr="00DB6B8B">
        <w:trPr>
          <w:trHeight w:val="321"/>
          <w:jc w:val="center"/>
        </w:trPr>
        <w:tc>
          <w:tcPr>
            <w:tcW w:w="2809" w:type="dxa"/>
            <w:vAlign w:val="center"/>
          </w:tcPr>
          <w:p w14:paraId="671395EB" w14:textId="4C764BC6" w:rsidR="000563A2" w:rsidRPr="00D75064" w:rsidRDefault="000563A2" w:rsidP="00500421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Sex (</w:t>
            </w:r>
            <w:r w:rsidR="00500421">
              <w:rPr>
                <w:rFonts w:ascii="Cambria" w:hAnsi="Cambria" w:cs="Calibri"/>
                <w:color w:val="000000" w:themeColor="text1"/>
                <w:sz w:val="22"/>
              </w:rPr>
              <w:t>m</w:t>
            </w: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ale)</w:t>
            </w:r>
          </w:p>
        </w:tc>
        <w:tc>
          <w:tcPr>
            <w:tcW w:w="2024" w:type="dxa"/>
            <w:vAlign w:val="center"/>
          </w:tcPr>
          <w:p w14:paraId="756B4EFB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0.90 (0.52–1.56)</w:t>
            </w:r>
          </w:p>
        </w:tc>
        <w:tc>
          <w:tcPr>
            <w:tcW w:w="1104" w:type="dxa"/>
            <w:vAlign w:val="center"/>
          </w:tcPr>
          <w:p w14:paraId="30C1E1A1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0.702</w:t>
            </w:r>
          </w:p>
        </w:tc>
        <w:tc>
          <w:tcPr>
            <w:tcW w:w="2346" w:type="dxa"/>
            <w:vAlign w:val="center"/>
          </w:tcPr>
          <w:p w14:paraId="18F9AD71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3D7F7442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2E1652D0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412A157A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Hypertension</w:t>
            </w:r>
          </w:p>
        </w:tc>
        <w:tc>
          <w:tcPr>
            <w:tcW w:w="2024" w:type="dxa"/>
            <w:vAlign w:val="center"/>
          </w:tcPr>
          <w:p w14:paraId="0686B993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0.85 (0.48–1.49)</w:t>
            </w:r>
          </w:p>
        </w:tc>
        <w:tc>
          <w:tcPr>
            <w:tcW w:w="1104" w:type="dxa"/>
            <w:vAlign w:val="center"/>
          </w:tcPr>
          <w:p w14:paraId="7989DE1E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0.562</w:t>
            </w:r>
          </w:p>
        </w:tc>
        <w:tc>
          <w:tcPr>
            <w:tcW w:w="2346" w:type="dxa"/>
            <w:vAlign w:val="center"/>
          </w:tcPr>
          <w:p w14:paraId="391B1B10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5FE9F985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55E46DCA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2973B3D4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Diabetes</w:t>
            </w:r>
          </w:p>
        </w:tc>
        <w:tc>
          <w:tcPr>
            <w:tcW w:w="2024" w:type="dxa"/>
            <w:vAlign w:val="center"/>
          </w:tcPr>
          <w:p w14:paraId="56C6A3AE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1.20 (0.61–2.33)</w:t>
            </w:r>
          </w:p>
        </w:tc>
        <w:tc>
          <w:tcPr>
            <w:tcW w:w="1104" w:type="dxa"/>
            <w:vAlign w:val="center"/>
          </w:tcPr>
          <w:p w14:paraId="1D8237FC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0.597</w:t>
            </w:r>
          </w:p>
        </w:tc>
        <w:tc>
          <w:tcPr>
            <w:tcW w:w="2346" w:type="dxa"/>
            <w:vAlign w:val="center"/>
          </w:tcPr>
          <w:p w14:paraId="27AA75FF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517D7AFF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19C31D7C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3754C077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Previous LPI</w:t>
            </w:r>
          </w:p>
        </w:tc>
        <w:tc>
          <w:tcPr>
            <w:tcW w:w="2024" w:type="dxa"/>
            <w:vAlign w:val="center"/>
          </w:tcPr>
          <w:p w14:paraId="49686627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0.83 (0.36–1.95)</w:t>
            </w:r>
          </w:p>
        </w:tc>
        <w:tc>
          <w:tcPr>
            <w:tcW w:w="1104" w:type="dxa"/>
            <w:vAlign w:val="center"/>
          </w:tcPr>
          <w:p w14:paraId="4523C69A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0.673</w:t>
            </w:r>
          </w:p>
        </w:tc>
        <w:tc>
          <w:tcPr>
            <w:tcW w:w="2346" w:type="dxa"/>
            <w:vAlign w:val="center"/>
          </w:tcPr>
          <w:p w14:paraId="0886D305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375A2ED3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38512FE5" w14:textId="77777777" w:rsidTr="00DB6B8B">
        <w:trPr>
          <w:trHeight w:val="321"/>
          <w:jc w:val="center"/>
        </w:trPr>
        <w:tc>
          <w:tcPr>
            <w:tcW w:w="2809" w:type="dxa"/>
            <w:vAlign w:val="center"/>
          </w:tcPr>
          <w:p w14:paraId="6D4EE6CD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Baseline IOP (per mmHg)</w:t>
            </w:r>
          </w:p>
        </w:tc>
        <w:tc>
          <w:tcPr>
            <w:tcW w:w="2024" w:type="dxa"/>
            <w:vAlign w:val="center"/>
          </w:tcPr>
          <w:p w14:paraId="06F92EA0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1.01 (0.98–1.03)</w:t>
            </w:r>
          </w:p>
        </w:tc>
        <w:tc>
          <w:tcPr>
            <w:tcW w:w="1104" w:type="dxa"/>
            <w:vAlign w:val="center"/>
          </w:tcPr>
          <w:p w14:paraId="207E762F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0.502</w:t>
            </w:r>
          </w:p>
        </w:tc>
        <w:tc>
          <w:tcPr>
            <w:tcW w:w="2346" w:type="dxa"/>
            <w:vAlign w:val="center"/>
          </w:tcPr>
          <w:p w14:paraId="2E88BC8C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4EB607AC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19047CC7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1DA738F0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MD of visual field (per dB)</w:t>
            </w:r>
          </w:p>
        </w:tc>
        <w:tc>
          <w:tcPr>
            <w:tcW w:w="2024" w:type="dxa"/>
            <w:vAlign w:val="center"/>
          </w:tcPr>
          <w:p w14:paraId="33401360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0.98 (0.95–1.00)</w:t>
            </w:r>
          </w:p>
        </w:tc>
        <w:tc>
          <w:tcPr>
            <w:tcW w:w="1104" w:type="dxa"/>
            <w:vAlign w:val="center"/>
          </w:tcPr>
          <w:p w14:paraId="3C340897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0.098</w:t>
            </w:r>
          </w:p>
        </w:tc>
        <w:tc>
          <w:tcPr>
            <w:tcW w:w="2346" w:type="dxa"/>
            <w:vAlign w:val="center"/>
          </w:tcPr>
          <w:p w14:paraId="333A63F8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0.98 (0.95–1.01)</w:t>
            </w:r>
          </w:p>
        </w:tc>
        <w:tc>
          <w:tcPr>
            <w:tcW w:w="1105" w:type="dxa"/>
            <w:vAlign w:val="center"/>
          </w:tcPr>
          <w:p w14:paraId="6219F623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0.101</w:t>
            </w:r>
          </w:p>
        </w:tc>
      </w:tr>
      <w:tr w:rsidR="000563A2" w:rsidRPr="00D75064" w14:paraId="651648EE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5C338C86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Baseline extent of PAS</w:t>
            </w:r>
          </w:p>
        </w:tc>
        <w:tc>
          <w:tcPr>
            <w:tcW w:w="2024" w:type="dxa"/>
            <w:vAlign w:val="center"/>
          </w:tcPr>
          <w:p w14:paraId="40A2CD4B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0.99 (0.92–1.07)</w:t>
            </w:r>
          </w:p>
        </w:tc>
        <w:tc>
          <w:tcPr>
            <w:tcW w:w="1104" w:type="dxa"/>
            <w:vAlign w:val="center"/>
          </w:tcPr>
          <w:p w14:paraId="40AA7D34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0.874</w:t>
            </w:r>
          </w:p>
        </w:tc>
        <w:tc>
          <w:tcPr>
            <w:tcW w:w="2346" w:type="dxa"/>
            <w:vAlign w:val="center"/>
          </w:tcPr>
          <w:p w14:paraId="67920E41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6939AFB3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620877B0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22F8C9AD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CACD (per mm)</w:t>
            </w:r>
          </w:p>
        </w:tc>
        <w:tc>
          <w:tcPr>
            <w:tcW w:w="2024" w:type="dxa"/>
            <w:vAlign w:val="center"/>
          </w:tcPr>
          <w:p w14:paraId="3D5DA4F3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0.42 (0.12–0.85)</w:t>
            </w:r>
          </w:p>
        </w:tc>
        <w:tc>
          <w:tcPr>
            <w:tcW w:w="1104" w:type="dxa"/>
            <w:vAlign w:val="center"/>
          </w:tcPr>
          <w:p w14:paraId="4C8DD378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0.023</w:t>
            </w:r>
          </w:p>
        </w:tc>
        <w:tc>
          <w:tcPr>
            <w:tcW w:w="2346" w:type="dxa"/>
            <w:vAlign w:val="center"/>
          </w:tcPr>
          <w:p w14:paraId="77F69096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0.38 (0.13–1.09)</w:t>
            </w:r>
          </w:p>
        </w:tc>
        <w:tc>
          <w:tcPr>
            <w:tcW w:w="1105" w:type="dxa"/>
            <w:vAlign w:val="center"/>
          </w:tcPr>
          <w:p w14:paraId="4915BD35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0.072</w:t>
            </w:r>
          </w:p>
        </w:tc>
      </w:tr>
      <w:tr w:rsidR="000563A2" w:rsidRPr="00D75064" w14:paraId="24A23635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79E4882E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AL (per mm)</w:t>
            </w:r>
          </w:p>
        </w:tc>
        <w:tc>
          <w:tcPr>
            <w:tcW w:w="2024" w:type="dxa"/>
            <w:vAlign w:val="center"/>
          </w:tcPr>
          <w:p w14:paraId="4F494678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0.73 (0.53–1.01)</w:t>
            </w:r>
          </w:p>
        </w:tc>
        <w:tc>
          <w:tcPr>
            <w:tcW w:w="1104" w:type="dxa"/>
            <w:vAlign w:val="center"/>
          </w:tcPr>
          <w:p w14:paraId="492149E0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0.059</w:t>
            </w:r>
          </w:p>
        </w:tc>
        <w:tc>
          <w:tcPr>
            <w:tcW w:w="2346" w:type="dxa"/>
            <w:vAlign w:val="center"/>
          </w:tcPr>
          <w:p w14:paraId="1D1BFFE0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0.80 (0.58–1.11)</w:t>
            </w:r>
          </w:p>
        </w:tc>
        <w:tc>
          <w:tcPr>
            <w:tcW w:w="1105" w:type="dxa"/>
            <w:vAlign w:val="center"/>
          </w:tcPr>
          <w:p w14:paraId="5634049F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0.183</w:t>
            </w:r>
          </w:p>
        </w:tc>
      </w:tr>
      <w:tr w:rsidR="000563A2" w:rsidRPr="00D75064" w14:paraId="5F41DAC2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7E065F0D" w14:textId="77777777" w:rsidR="000563A2" w:rsidRPr="00D75064" w:rsidRDefault="000563A2" w:rsidP="00DB6B8B">
            <w:pPr>
              <w:widowControl/>
              <w:spacing w:beforeLines="50" w:before="156" w:line="360" w:lineRule="auto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ECD (cells/mm</w:t>
            </w:r>
            <w:r w:rsidRPr="00D75064">
              <w:rPr>
                <w:rFonts w:ascii="Cambria" w:hAnsi="Cambria" w:cs="Calibri"/>
                <w:color w:val="000000" w:themeColor="text1"/>
                <w:sz w:val="22"/>
                <w:vertAlign w:val="superscript"/>
              </w:rPr>
              <w:t>2</w:t>
            </w: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)</w:t>
            </w:r>
          </w:p>
        </w:tc>
        <w:tc>
          <w:tcPr>
            <w:tcW w:w="2024" w:type="dxa"/>
            <w:vAlign w:val="center"/>
          </w:tcPr>
          <w:p w14:paraId="557960B8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1.00 (1.00–1.00)</w:t>
            </w:r>
          </w:p>
        </w:tc>
        <w:tc>
          <w:tcPr>
            <w:tcW w:w="1104" w:type="dxa"/>
            <w:vAlign w:val="center"/>
          </w:tcPr>
          <w:p w14:paraId="2C805B5F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0.979</w:t>
            </w:r>
          </w:p>
        </w:tc>
        <w:tc>
          <w:tcPr>
            <w:tcW w:w="2346" w:type="dxa"/>
            <w:vAlign w:val="center"/>
          </w:tcPr>
          <w:p w14:paraId="533E0DE6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0EA807D9" w14:textId="77777777" w:rsidR="000563A2" w:rsidRPr="00D75064" w:rsidRDefault="000563A2" w:rsidP="00DB6B8B">
            <w:pPr>
              <w:widowControl/>
              <w:spacing w:beforeLines="50" w:before="156" w:line="360" w:lineRule="auto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</w:tbl>
    <w:p w14:paraId="60AEDBB6" w14:textId="1A0E67EC" w:rsidR="00CA350F" w:rsidRPr="00C4207E" w:rsidRDefault="00500421" w:rsidP="008847F6">
      <w:pPr>
        <w:widowControl/>
        <w:spacing w:line="276" w:lineRule="auto"/>
        <w:rPr>
          <w:rFonts w:ascii="Cambria" w:hAnsi="Cambria" w:cs="Calibri"/>
          <w:color w:val="000000" w:themeColor="text1"/>
          <w:sz w:val="24"/>
          <w:szCs w:val="24"/>
        </w:rPr>
      </w:pPr>
      <w:r w:rsidRPr="00806564">
        <w:rPr>
          <w:rFonts w:ascii="Cambria" w:hAnsi="Cambria" w:cs="Calibri"/>
          <w:color w:val="000000" w:themeColor="text1"/>
          <w:sz w:val="24"/>
          <w:szCs w:val="24"/>
        </w:rPr>
        <w:t>AL = axial length</w:t>
      </w:r>
      <w:r>
        <w:rPr>
          <w:rFonts w:ascii="Cambria" w:hAnsi="Cambria" w:cs="Calibri"/>
          <w:color w:val="000000" w:themeColor="text1"/>
          <w:sz w:val="24"/>
          <w:szCs w:val="24"/>
        </w:rPr>
        <w:t>;</w:t>
      </w:r>
      <w:r w:rsidRPr="00806564">
        <w:rPr>
          <w:rFonts w:ascii="Cambria" w:hAnsi="Cambria" w:cs="Calibri"/>
          <w:color w:val="000000" w:themeColor="text1"/>
          <w:sz w:val="24"/>
          <w:szCs w:val="24"/>
        </w:rPr>
        <w:t xml:space="preserve"> CACD = central anterior chamber depth; ECD</w:t>
      </w:r>
      <w:r w:rsidRPr="00806564">
        <w:rPr>
          <w:rFonts w:ascii="Cambria" w:eastAsia="宋体" w:hAnsi="Cambria" w:cs="Calibri"/>
          <w:color w:val="000000"/>
          <w:sz w:val="24"/>
          <w:szCs w:val="24"/>
        </w:rPr>
        <w:t xml:space="preserve"> </w:t>
      </w:r>
      <w:r w:rsidRPr="00806564">
        <w:rPr>
          <w:rFonts w:ascii="Cambria" w:hAnsi="Cambria" w:cs="Calibri"/>
          <w:color w:val="000000" w:themeColor="text1"/>
          <w:sz w:val="24"/>
          <w:szCs w:val="24"/>
        </w:rPr>
        <w:t>= endothelial cell density</w:t>
      </w:r>
      <w:r>
        <w:rPr>
          <w:rFonts w:ascii="Cambria" w:hAnsi="Cambria" w:cs="Calibri"/>
          <w:color w:val="000000" w:themeColor="text1"/>
          <w:sz w:val="24"/>
          <w:szCs w:val="24"/>
        </w:rPr>
        <w:t>;</w:t>
      </w:r>
      <w:r w:rsidRPr="00806564">
        <w:rPr>
          <w:rFonts w:ascii="Cambria" w:hAnsi="Cambria" w:cs="Calibri"/>
          <w:color w:val="000000" w:themeColor="text1"/>
          <w:sz w:val="24"/>
          <w:szCs w:val="24"/>
        </w:rPr>
        <w:t xml:space="preserve"> </w:t>
      </w:r>
      <w:r w:rsidR="000563A2" w:rsidRPr="00806564">
        <w:rPr>
          <w:rFonts w:ascii="Cambria" w:hAnsi="Cambria" w:cs="Calibri"/>
          <w:color w:val="000000" w:themeColor="text1"/>
          <w:sz w:val="24"/>
          <w:szCs w:val="24"/>
        </w:rPr>
        <w:t xml:space="preserve">HR = hazard ratios; IOP = intraocular pressure; </w:t>
      </w:r>
      <w:r w:rsidRPr="00806564">
        <w:rPr>
          <w:rFonts w:ascii="Cambria" w:hAnsi="Cambria" w:cs="Calibri"/>
          <w:color w:val="000000" w:themeColor="text1"/>
          <w:sz w:val="24"/>
          <w:szCs w:val="24"/>
        </w:rPr>
        <w:t xml:space="preserve">LPI = </w:t>
      </w:r>
      <w:r>
        <w:rPr>
          <w:rFonts w:ascii="Cambria" w:hAnsi="Cambria" w:cs="Calibri"/>
          <w:color w:val="000000" w:themeColor="text1"/>
          <w:sz w:val="24"/>
          <w:szCs w:val="24"/>
        </w:rPr>
        <w:t>l</w:t>
      </w:r>
      <w:r w:rsidRPr="00806564">
        <w:rPr>
          <w:rFonts w:ascii="Cambria" w:hAnsi="Cambria" w:cs="Calibri"/>
          <w:color w:val="000000" w:themeColor="text1"/>
          <w:sz w:val="24"/>
          <w:szCs w:val="24"/>
        </w:rPr>
        <w:t xml:space="preserve">aser peripheral iridotomy; </w:t>
      </w:r>
      <w:r w:rsidR="000563A2" w:rsidRPr="00806564">
        <w:rPr>
          <w:rFonts w:ascii="Cambria" w:hAnsi="Cambria" w:cs="Calibri"/>
          <w:color w:val="000000" w:themeColor="text1"/>
          <w:sz w:val="24"/>
          <w:szCs w:val="24"/>
        </w:rPr>
        <w:t>MD = mean deviation; PAS = peripheral anterior synechiae</w:t>
      </w:r>
      <w:r w:rsidR="000563A2" w:rsidRPr="00806564">
        <w:rPr>
          <w:rFonts w:ascii="Cambria" w:hAnsi="Cambria" w:cs="Calibri"/>
          <w:b/>
          <w:bCs/>
          <w:color w:val="000000" w:themeColor="text1"/>
          <w:sz w:val="24"/>
          <w:szCs w:val="24"/>
        </w:rPr>
        <w:br w:type="page"/>
      </w:r>
      <w:r w:rsidR="000563A2" w:rsidRPr="00C4207E">
        <w:rPr>
          <w:rFonts w:ascii="Cambria" w:hAnsi="Cambria" w:cs="Calibri"/>
          <w:b/>
          <w:bCs/>
          <w:color w:val="000000" w:themeColor="text1"/>
          <w:sz w:val="24"/>
          <w:szCs w:val="24"/>
        </w:rPr>
        <w:lastRenderedPageBreak/>
        <w:t>Table S3.</w:t>
      </w:r>
      <w:r w:rsidR="000563A2" w:rsidRPr="00C4207E">
        <w:rPr>
          <w:rFonts w:ascii="Cambria" w:hAnsi="Cambria" w:cs="Calibri"/>
          <w:color w:val="000000" w:themeColor="text1"/>
          <w:sz w:val="24"/>
          <w:szCs w:val="24"/>
        </w:rPr>
        <w:t xml:space="preserve"> Results of the Cox regression analysis for predictors of qualified success</w:t>
      </w:r>
    </w:p>
    <w:tbl>
      <w:tblPr>
        <w:tblStyle w:val="a5"/>
        <w:tblW w:w="9388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9"/>
        <w:gridCol w:w="2024"/>
        <w:gridCol w:w="1104"/>
        <w:gridCol w:w="2346"/>
        <w:gridCol w:w="1105"/>
      </w:tblGrid>
      <w:tr w:rsidR="000563A2" w:rsidRPr="00D75064" w14:paraId="13502789" w14:textId="77777777" w:rsidTr="00DB6B8B">
        <w:trPr>
          <w:trHeight w:val="390"/>
          <w:jc w:val="center"/>
        </w:trPr>
        <w:tc>
          <w:tcPr>
            <w:tcW w:w="2809" w:type="dxa"/>
            <w:vMerge w:val="restart"/>
            <w:tcBorders>
              <w:top w:val="single" w:sz="6" w:space="0" w:color="auto"/>
            </w:tcBorders>
            <w:vAlign w:val="center"/>
          </w:tcPr>
          <w:p w14:paraId="08F26AA4" w14:textId="77777777" w:rsidR="000563A2" w:rsidRPr="00D75064" w:rsidRDefault="000563A2" w:rsidP="00DB6B8B">
            <w:pPr>
              <w:spacing w:line="360" w:lineRule="auto"/>
              <w:ind w:left="90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Variables</w:t>
            </w:r>
          </w:p>
        </w:tc>
        <w:tc>
          <w:tcPr>
            <w:tcW w:w="3128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6F1DBC9" w14:textId="77777777" w:rsidR="000563A2" w:rsidRPr="00D75064" w:rsidRDefault="000563A2" w:rsidP="00DB6B8B">
            <w:pPr>
              <w:widowControl/>
              <w:spacing w:line="240" w:lineRule="atLeast"/>
              <w:ind w:left="90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Univariate</w:t>
            </w:r>
          </w:p>
        </w:tc>
        <w:tc>
          <w:tcPr>
            <w:tcW w:w="3451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7898F6E" w14:textId="77777777" w:rsidR="000563A2" w:rsidRPr="00D75064" w:rsidRDefault="000563A2" w:rsidP="00DB6B8B">
            <w:pPr>
              <w:widowControl/>
              <w:spacing w:line="240" w:lineRule="atLeast"/>
              <w:ind w:left="90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Multivariate</w:t>
            </w:r>
          </w:p>
        </w:tc>
      </w:tr>
      <w:tr w:rsidR="000563A2" w:rsidRPr="00D75064" w14:paraId="00546FD7" w14:textId="77777777" w:rsidTr="00DB6B8B">
        <w:trPr>
          <w:trHeight w:val="458"/>
          <w:jc w:val="center"/>
        </w:trPr>
        <w:tc>
          <w:tcPr>
            <w:tcW w:w="2809" w:type="dxa"/>
            <w:vMerge/>
            <w:tcBorders>
              <w:bottom w:val="single" w:sz="6" w:space="0" w:color="auto"/>
            </w:tcBorders>
            <w:vAlign w:val="center"/>
          </w:tcPr>
          <w:p w14:paraId="05096B92" w14:textId="77777777" w:rsidR="000563A2" w:rsidRPr="00D75064" w:rsidRDefault="000563A2" w:rsidP="00674520">
            <w:pPr>
              <w:widowControl/>
              <w:spacing w:line="360" w:lineRule="auto"/>
              <w:ind w:left="90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5706760" w14:textId="77777777" w:rsidR="000563A2" w:rsidRPr="00D75064" w:rsidRDefault="000563A2" w:rsidP="00674520">
            <w:pPr>
              <w:widowControl/>
              <w:spacing w:line="240" w:lineRule="atLeast"/>
              <w:ind w:left="90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HR (95% CI)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43AB593" w14:textId="663B8847" w:rsidR="000563A2" w:rsidRPr="00D75064" w:rsidRDefault="000563A2" w:rsidP="00674520">
            <w:pPr>
              <w:widowControl/>
              <w:spacing w:line="240" w:lineRule="atLeast"/>
              <w:ind w:left="90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674520">
              <w:rPr>
                <w:rFonts w:ascii="Cambria" w:hAnsi="Cambria" w:cs="Calibri"/>
                <w:b/>
                <w:bCs/>
                <w:i/>
                <w:color w:val="000000" w:themeColor="text1"/>
                <w:sz w:val="22"/>
              </w:rPr>
              <w:t>P</w:t>
            </w:r>
          </w:p>
        </w:tc>
        <w:tc>
          <w:tcPr>
            <w:tcW w:w="234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B54B13A" w14:textId="77777777" w:rsidR="000563A2" w:rsidRPr="00D75064" w:rsidRDefault="000563A2" w:rsidP="00674520">
            <w:pPr>
              <w:widowControl/>
              <w:spacing w:line="240" w:lineRule="atLeast"/>
              <w:ind w:left="90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  <w:t>HR (95% CI)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B1FDC55" w14:textId="14E7E928" w:rsidR="000563A2" w:rsidRPr="00D75064" w:rsidRDefault="000563A2" w:rsidP="00674520">
            <w:pPr>
              <w:widowControl/>
              <w:spacing w:line="240" w:lineRule="atLeast"/>
              <w:ind w:left="90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2"/>
              </w:rPr>
            </w:pPr>
            <w:r w:rsidRPr="00674520">
              <w:rPr>
                <w:rFonts w:ascii="Cambria" w:hAnsi="Cambria" w:cs="Calibri"/>
                <w:b/>
                <w:bCs/>
                <w:i/>
                <w:color w:val="000000" w:themeColor="text1"/>
                <w:sz w:val="22"/>
              </w:rPr>
              <w:t>P</w:t>
            </w:r>
          </w:p>
        </w:tc>
      </w:tr>
      <w:tr w:rsidR="000563A2" w:rsidRPr="00D75064" w14:paraId="38B32C18" w14:textId="77777777" w:rsidTr="00DB6B8B">
        <w:trPr>
          <w:trHeight w:val="321"/>
          <w:jc w:val="center"/>
        </w:trPr>
        <w:tc>
          <w:tcPr>
            <w:tcW w:w="2809" w:type="dxa"/>
            <w:tcBorders>
              <w:top w:val="single" w:sz="6" w:space="0" w:color="auto"/>
            </w:tcBorders>
            <w:vAlign w:val="center"/>
          </w:tcPr>
          <w:p w14:paraId="42533F1B" w14:textId="313BE3EE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Age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 xml:space="preserve"> (</w:t>
            </w: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per year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)</w:t>
            </w:r>
          </w:p>
        </w:tc>
        <w:tc>
          <w:tcPr>
            <w:tcW w:w="2024" w:type="dxa"/>
            <w:tcBorders>
              <w:top w:val="single" w:sz="6" w:space="0" w:color="auto"/>
            </w:tcBorders>
            <w:vAlign w:val="center"/>
          </w:tcPr>
          <w:p w14:paraId="0EA8CAE6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0.95 (0.92–0.99)</w:t>
            </w:r>
          </w:p>
        </w:tc>
        <w:tc>
          <w:tcPr>
            <w:tcW w:w="1104" w:type="dxa"/>
            <w:tcBorders>
              <w:top w:val="single" w:sz="6" w:space="0" w:color="auto"/>
            </w:tcBorders>
            <w:vAlign w:val="center"/>
          </w:tcPr>
          <w:p w14:paraId="7C7CA47B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0.016</w:t>
            </w:r>
          </w:p>
        </w:tc>
        <w:tc>
          <w:tcPr>
            <w:tcW w:w="2346" w:type="dxa"/>
            <w:tcBorders>
              <w:top w:val="single" w:sz="6" w:space="0" w:color="auto"/>
            </w:tcBorders>
            <w:vAlign w:val="center"/>
          </w:tcPr>
          <w:p w14:paraId="54BEF519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0.96 (0.92–1.00)</w:t>
            </w:r>
          </w:p>
        </w:tc>
        <w:tc>
          <w:tcPr>
            <w:tcW w:w="1105" w:type="dxa"/>
            <w:tcBorders>
              <w:top w:val="single" w:sz="6" w:space="0" w:color="auto"/>
            </w:tcBorders>
            <w:vAlign w:val="center"/>
          </w:tcPr>
          <w:p w14:paraId="3CCDA802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0.056</w:t>
            </w:r>
          </w:p>
        </w:tc>
      </w:tr>
      <w:tr w:rsidR="000563A2" w:rsidRPr="00D75064" w14:paraId="2CE18784" w14:textId="77777777" w:rsidTr="00DB6B8B">
        <w:trPr>
          <w:trHeight w:val="321"/>
          <w:jc w:val="center"/>
        </w:trPr>
        <w:tc>
          <w:tcPr>
            <w:tcW w:w="2809" w:type="dxa"/>
            <w:vAlign w:val="center"/>
          </w:tcPr>
          <w:p w14:paraId="4CAF669D" w14:textId="49C2C761" w:rsidR="000563A2" w:rsidRPr="00D75064" w:rsidRDefault="000563A2" w:rsidP="00977059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Sex (</w:t>
            </w:r>
            <w:r w:rsidR="00977059">
              <w:rPr>
                <w:rFonts w:ascii="Cambria" w:hAnsi="Cambria" w:cs="Calibri"/>
                <w:color w:val="000000" w:themeColor="text1"/>
                <w:sz w:val="22"/>
              </w:rPr>
              <w:t>m</w:t>
            </w: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ale)</w:t>
            </w:r>
          </w:p>
        </w:tc>
        <w:tc>
          <w:tcPr>
            <w:tcW w:w="2024" w:type="dxa"/>
            <w:vAlign w:val="center"/>
          </w:tcPr>
          <w:p w14:paraId="00008355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0.83 (0.40–1.71)</w:t>
            </w:r>
          </w:p>
        </w:tc>
        <w:tc>
          <w:tcPr>
            <w:tcW w:w="1104" w:type="dxa"/>
            <w:vAlign w:val="center"/>
          </w:tcPr>
          <w:p w14:paraId="2EBB15BE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0.612</w:t>
            </w:r>
          </w:p>
        </w:tc>
        <w:tc>
          <w:tcPr>
            <w:tcW w:w="2346" w:type="dxa"/>
            <w:vAlign w:val="center"/>
          </w:tcPr>
          <w:p w14:paraId="5A3DE6E6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13CFFB1F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7C159950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63188FB8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Hypertension</w:t>
            </w:r>
          </w:p>
        </w:tc>
        <w:tc>
          <w:tcPr>
            <w:tcW w:w="2024" w:type="dxa"/>
            <w:vAlign w:val="center"/>
          </w:tcPr>
          <w:p w14:paraId="404E6B99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0.80 (0.38–1.67)</w:t>
            </w:r>
          </w:p>
        </w:tc>
        <w:tc>
          <w:tcPr>
            <w:tcW w:w="1104" w:type="dxa"/>
            <w:vAlign w:val="center"/>
          </w:tcPr>
          <w:p w14:paraId="1B8299B0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0.556</w:t>
            </w:r>
          </w:p>
        </w:tc>
        <w:tc>
          <w:tcPr>
            <w:tcW w:w="2346" w:type="dxa"/>
            <w:vAlign w:val="center"/>
          </w:tcPr>
          <w:p w14:paraId="7C4EA4E3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7018A241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2D83C906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63A77C16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Diabetes</w:t>
            </w:r>
          </w:p>
        </w:tc>
        <w:tc>
          <w:tcPr>
            <w:tcW w:w="2024" w:type="dxa"/>
            <w:vAlign w:val="center"/>
          </w:tcPr>
          <w:p w14:paraId="2B5032BB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1.29 (0.55–2.99)</w:t>
            </w:r>
          </w:p>
        </w:tc>
        <w:tc>
          <w:tcPr>
            <w:tcW w:w="1104" w:type="dxa"/>
            <w:vAlign w:val="center"/>
          </w:tcPr>
          <w:p w14:paraId="3EB70880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0.556</w:t>
            </w:r>
          </w:p>
        </w:tc>
        <w:tc>
          <w:tcPr>
            <w:tcW w:w="2346" w:type="dxa"/>
            <w:vAlign w:val="center"/>
          </w:tcPr>
          <w:p w14:paraId="0ECDE4CE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0BCF5F32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6FB51645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33C3A613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Previous LPI</w:t>
            </w:r>
          </w:p>
        </w:tc>
        <w:tc>
          <w:tcPr>
            <w:tcW w:w="2024" w:type="dxa"/>
            <w:vAlign w:val="center"/>
          </w:tcPr>
          <w:p w14:paraId="73C6F7E6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0.74 (0.30–1.83)</w:t>
            </w:r>
          </w:p>
        </w:tc>
        <w:tc>
          <w:tcPr>
            <w:tcW w:w="1104" w:type="dxa"/>
            <w:vAlign w:val="center"/>
          </w:tcPr>
          <w:p w14:paraId="332119F5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0.509</w:t>
            </w:r>
          </w:p>
        </w:tc>
        <w:tc>
          <w:tcPr>
            <w:tcW w:w="2346" w:type="dxa"/>
            <w:vAlign w:val="center"/>
          </w:tcPr>
          <w:p w14:paraId="17ED98F5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1111B763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701ECBE9" w14:textId="77777777" w:rsidTr="00DB6B8B">
        <w:trPr>
          <w:trHeight w:val="321"/>
          <w:jc w:val="center"/>
        </w:trPr>
        <w:tc>
          <w:tcPr>
            <w:tcW w:w="2809" w:type="dxa"/>
            <w:vAlign w:val="center"/>
          </w:tcPr>
          <w:p w14:paraId="112455F2" w14:textId="6BD2804C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 xml:space="preserve">Baseline IOP 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(</w:t>
            </w: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per mmHg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)</w:t>
            </w:r>
          </w:p>
        </w:tc>
        <w:tc>
          <w:tcPr>
            <w:tcW w:w="2024" w:type="dxa"/>
            <w:vAlign w:val="center"/>
          </w:tcPr>
          <w:p w14:paraId="3A01E893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1.02 (0.99–1.05)</w:t>
            </w:r>
          </w:p>
        </w:tc>
        <w:tc>
          <w:tcPr>
            <w:tcW w:w="1104" w:type="dxa"/>
            <w:vAlign w:val="center"/>
          </w:tcPr>
          <w:p w14:paraId="76442A10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0.188</w:t>
            </w:r>
          </w:p>
        </w:tc>
        <w:tc>
          <w:tcPr>
            <w:tcW w:w="2346" w:type="dxa"/>
            <w:vAlign w:val="center"/>
          </w:tcPr>
          <w:p w14:paraId="300E9FC6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1.01 (0.98–1.04)</w:t>
            </w:r>
          </w:p>
        </w:tc>
        <w:tc>
          <w:tcPr>
            <w:tcW w:w="1105" w:type="dxa"/>
            <w:vAlign w:val="center"/>
          </w:tcPr>
          <w:p w14:paraId="3C14416D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0.431</w:t>
            </w:r>
          </w:p>
        </w:tc>
      </w:tr>
      <w:tr w:rsidR="000563A2" w:rsidRPr="00D75064" w14:paraId="442F9579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68819743" w14:textId="0590CC96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 xml:space="preserve">MD of visual field 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(</w:t>
            </w: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per dB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)</w:t>
            </w:r>
          </w:p>
        </w:tc>
        <w:tc>
          <w:tcPr>
            <w:tcW w:w="2024" w:type="dxa"/>
            <w:vAlign w:val="center"/>
          </w:tcPr>
          <w:p w14:paraId="4E94DBA7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0.99 (0.95–1.02)</w:t>
            </w:r>
          </w:p>
        </w:tc>
        <w:tc>
          <w:tcPr>
            <w:tcW w:w="1104" w:type="dxa"/>
            <w:vAlign w:val="center"/>
          </w:tcPr>
          <w:p w14:paraId="3FBB683D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0.460</w:t>
            </w:r>
          </w:p>
        </w:tc>
        <w:tc>
          <w:tcPr>
            <w:tcW w:w="2346" w:type="dxa"/>
            <w:vAlign w:val="center"/>
          </w:tcPr>
          <w:p w14:paraId="139ACC72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34A1F48D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61F2CD3D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70860B09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Baseline extent of PAS</w:t>
            </w:r>
          </w:p>
        </w:tc>
        <w:tc>
          <w:tcPr>
            <w:tcW w:w="2024" w:type="dxa"/>
            <w:vAlign w:val="center"/>
          </w:tcPr>
          <w:p w14:paraId="61624E6E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0.98 (0.87–1.08)</w:t>
            </w:r>
          </w:p>
        </w:tc>
        <w:tc>
          <w:tcPr>
            <w:tcW w:w="1104" w:type="dxa"/>
            <w:vAlign w:val="center"/>
          </w:tcPr>
          <w:p w14:paraId="1367BD09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0.635</w:t>
            </w:r>
          </w:p>
        </w:tc>
        <w:tc>
          <w:tcPr>
            <w:tcW w:w="2346" w:type="dxa"/>
            <w:vAlign w:val="center"/>
          </w:tcPr>
          <w:p w14:paraId="0DCBCB67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5E46ECAF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  <w:tr w:rsidR="000563A2" w:rsidRPr="00D75064" w14:paraId="4DCD64DC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3AB88AEE" w14:textId="1F055C6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 xml:space="preserve">CACD 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(</w:t>
            </w: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per mm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)</w:t>
            </w:r>
          </w:p>
        </w:tc>
        <w:tc>
          <w:tcPr>
            <w:tcW w:w="2024" w:type="dxa"/>
            <w:vAlign w:val="center"/>
          </w:tcPr>
          <w:p w14:paraId="54B6AA45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0.29 (0.10–0.94)</w:t>
            </w:r>
          </w:p>
        </w:tc>
        <w:tc>
          <w:tcPr>
            <w:tcW w:w="1104" w:type="dxa"/>
            <w:vAlign w:val="center"/>
          </w:tcPr>
          <w:p w14:paraId="7EAF02C9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0.039</w:t>
            </w:r>
          </w:p>
        </w:tc>
        <w:tc>
          <w:tcPr>
            <w:tcW w:w="2346" w:type="dxa"/>
            <w:vAlign w:val="center"/>
          </w:tcPr>
          <w:p w14:paraId="1B0AE48A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0.25 (0.10–0.96)</w:t>
            </w:r>
          </w:p>
        </w:tc>
        <w:tc>
          <w:tcPr>
            <w:tcW w:w="1105" w:type="dxa"/>
            <w:vAlign w:val="center"/>
          </w:tcPr>
          <w:p w14:paraId="0BEE3E01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0.044</w:t>
            </w:r>
          </w:p>
        </w:tc>
      </w:tr>
      <w:tr w:rsidR="000563A2" w:rsidRPr="00D75064" w14:paraId="77E15E96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5BA3241C" w14:textId="2BB6A0F4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 xml:space="preserve">AL 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(</w:t>
            </w: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per mm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)</w:t>
            </w:r>
          </w:p>
        </w:tc>
        <w:tc>
          <w:tcPr>
            <w:tcW w:w="2024" w:type="dxa"/>
            <w:vAlign w:val="center"/>
          </w:tcPr>
          <w:p w14:paraId="1CAD3E5C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0.59 (0.40–0.88)</w:t>
            </w:r>
          </w:p>
        </w:tc>
        <w:tc>
          <w:tcPr>
            <w:tcW w:w="1104" w:type="dxa"/>
            <w:vAlign w:val="center"/>
          </w:tcPr>
          <w:p w14:paraId="3D3E1063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0.010</w:t>
            </w:r>
          </w:p>
        </w:tc>
        <w:tc>
          <w:tcPr>
            <w:tcW w:w="2346" w:type="dxa"/>
            <w:vAlign w:val="center"/>
          </w:tcPr>
          <w:p w14:paraId="11076BF3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0.67 (0.45–1.00)</w:t>
            </w:r>
          </w:p>
        </w:tc>
        <w:tc>
          <w:tcPr>
            <w:tcW w:w="1105" w:type="dxa"/>
            <w:vAlign w:val="center"/>
          </w:tcPr>
          <w:p w14:paraId="64C515C7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0.050</w:t>
            </w:r>
          </w:p>
        </w:tc>
      </w:tr>
      <w:tr w:rsidR="000563A2" w:rsidRPr="00D75064" w14:paraId="26ACEBED" w14:textId="77777777" w:rsidTr="00DB6B8B">
        <w:trPr>
          <w:trHeight w:val="324"/>
          <w:jc w:val="center"/>
        </w:trPr>
        <w:tc>
          <w:tcPr>
            <w:tcW w:w="2809" w:type="dxa"/>
            <w:vAlign w:val="center"/>
          </w:tcPr>
          <w:p w14:paraId="1BF6A4E5" w14:textId="184979B3" w:rsidR="000563A2" w:rsidRPr="00C4207E" w:rsidRDefault="000563A2" w:rsidP="00DB6B8B">
            <w:pPr>
              <w:widowControl/>
              <w:spacing w:beforeLines="50" w:before="156" w:line="360" w:lineRule="auto"/>
              <w:ind w:left="90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 xml:space="preserve">ECD 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(</w:t>
            </w: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cells/mm</w:t>
            </w:r>
            <w:r w:rsidRPr="00D75064">
              <w:rPr>
                <w:rFonts w:ascii="Cambria" w:hAnsi="Cambria" w:cs="Calibri"/>
                <w:color w:val="000000" w:themeColor="text1"/>
                <w:sz w:val="22"/>
                <w:vertAlign w:val="superscript"/>
              </w:rPr>
              <w:t>2</w:t>
            </w:r>
            <w:r>
              <w:rPr>
                <w:rFonts w:ascii="Cambria" w:hAnsi="Cambria" w:cs="Calibri"/>
                <w:color w:val="000000" w:themeColor="text1"/>
                <w:sz w:val="22"/>
              </w:rPr>
              <w:t>)</w:t>
            </w:r>
          </w:p>
        </w:tc>
        <w:tc>
          <w:tcPr>
            <w:tcW w:w="2024" w:type="dxa"/>
            <w:vAlign w:val="center"/>
          </w:tcPr>
          <w:p w14:paraId="6020972B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1.00 (1.00–1.00)</w:t>
            </w:r>
          </w:p>
        </w:tc>
        <w:tc>
          <w:tcPr>
            <w:tcW w:w="1104" w:type="dxa"/>
            <w:vAlign w:val="center"/>
          </w:tcPr>
          <w:p w14:paraId="5D542C61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  <w:r w:rsidRPr="00D75064">
              <w:rPr>
                <w:rFonts w:ascii="Cambria" w:hAnsi="Cambria" w:cs="Calibri"/>
                <w:color w:val="000000" w:themeColor="text1"/>
                <w:sz w:val="22"/>
              </w:rPr>
              <w:t>0.320</w:t>
            </w:r>
          </w:p>
        </w:tc>
        <w:tc>
          <w:tcPr>
            <w:tcW w:w="2346" w:type="dxa"/>
            <w:vAlign w:val="center"/>
          </w:tcPr>
          <w:p w14:paraId="01376454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  <w:tc>
          <w:tcPr>
            <w:tcW w:w="1105" w:type="dxa"/>
            <w:vAlign w:val="center"/>
          </w:tcPr>
          <w:p w14:paraId="45108AE2" w14:textId="77777777" w:rsidR="000563A2" w:rsidRPr="00D75064" w:rsidRDefault="000563A2" w:rsidP="00DB6B8B">
            <w:pPr>
              <w:widowControl/>
              <w:spacing w:beforeLines="50" w:before="156" w:line="360" w:lineRule="auto"/>
              <w:ind w:left="90"/>
              <w:jc w:val="center"/>
              <w:rPr>
                <w:rFonts w:ascii="Cambria" w:hAnsi="Cambria" w:cs="Calibri"/>
                <w:color w:val="000000" w:themeColor="text1"/>
                <w:sz w:val="22"/>
              </w:rPr>
            </w:pPr>
          </w:p>
        </w:tc>
      </w:tr>
    </w:tbl>
    <w:p w14:paraId="52E3B0A6" w14:textId="736168C3" w:rsidR="000563A2" w:rsidRPr="00D75064" w:rsidRDefault="000563A2" w:rsidP="000563A2">
      <w:pPr>
        <w:widowControl/>
        <w:spacing w:line="276" w:lineRule="auto"/>
        <w:ind w:left="-540" w:right="-514"/>
        <w:rPr>
          <w:rFonts w:ascii="Cambria" w:hAnsi="Cambria" w:cs="Calibri"/>
          <w:color w:val="000000" w:themeColor="text1"/>
          <w:sz w:val="22"/>
        </w:rPr>
      </w:pPr>
      <w:r w:rsidRPr="00D75064">
        <w:rPr>
          <w:rFonts w:ascii="Cambria" w:hAnsi="Cambria" w:cs="Calibri"/>
          <w:color w:val="000000" w:themeColor="text1"/>
          <w:sz w:val="22"/>
        </w:rPr>
        <w:t>AL</w:t>
      </w:r>
      <w:r>
        <w:rPr>
          <w:rFonts w:ascii="Cambria" w:hAnsi="Cambria" w:cs="Calibri"/>
          <w:color w:val="000000" w:themeColor="text1"/>
          <w:sz w:val="22"/>
        </w:rPr>
        <w:t xml:space="preserve"> =</w:t>
      </w:r>
      <w:r w:rsidRPr="00D75064">
        <w:rPr>
          <w:rFonts w:ascii="Cambria" w:hAnsi="Cambria" w:cs="Calibri"/>
          <w:color w:val="000000" w:themeColor="text1"/>
          <w:sz w:val="22"/>
        </w:rPr>
        <w:t xml:space="preserve"> axial length</w:t>
      </w:r>
      <w:r w:rsidRPr="00D75064">
        <w:rPr>
          <w:rFonts w:ascii="Cambria" w:eastAsia="宋体" w:hAnsi="Cambria" w:cs="Calibri"/>
          <w:color w:val="000000"/>
          <w:sz w:val="22"/>
        </w:rPr>
        <w:t>;</w:t>
      </w:r>
      <w:r w:rsidRPr="00D75064">
        <w:rPr>
          <w:rFonts w:ascii="Cambria" w:hAnsi="Cambria" w:cs="Calibri"/>
          <w:color w:val="000000" w:themeColor="text1"/>
          <w:sz w:val="22"/>
        </w:rPr>
        <w:t xml:space="preserve"> CACD</w:t>
      </w:r>
      <w:r>
        <w:rPr>
          <w:rFonts w:ascii="Cambria" w:hAnsi="Cambria" w:cs="Calibri"/>
          <w:color w:val="000000" w:themeColor="text1"/>
          <w:sz w:val="22"/>
        </w:rPr>
        <w:t xml:space="preserve"> =</w:t>
      </w:r>
      <w:r w:rsidRPr="00D75064">
        <w:rPr>
          <w:rFonts w:ascii="Cambria" w:hAnsi="Cambria" w:cs="Calibri"/>
          <w:color w:val="000000" w:themeColor="text1"/>
          <w:sz w:val="22"/>
        </w:rPr>
        <w:t xml:space="preserve"> central anterior chamber depth</w:t>
      </w:r>
      <w:r w:rsidR="00362113">
        <w:rPr>
          <w:rFonts w:ascii="Cambria" w:hAnsi="Cambria" w:cs="Calibri"/>
          <w:color w:val="000000" w:themeColor="text1"/>
          <w:sz w:val="22"/>
        </w:rPr>
        <w:t>;</w:t>
      </w:r>
      <w:r w:rsidRPr="00D75064" w:rsidDel="003E2411">
        <w:rPr>
          <w:rFonts w:ascii="Cambria" w:hAnsi="Cambria" w:cs="Calibri"/>
          <w:b/>
          <w:bCs/>
          <w:color w:val="000000" w:themeColor="text1"/>
          <w:sz w:val="22"/>
        </w:rPr>
        <w:t xml:space="preserve"> </w:t>
      </w:r>
      <w:r w:rsidRPr="00D75064">
        <w:rPr>
          <w:rFonts w:ascii="Cambria" w:hAnsi="Cambria" w:cs="Calibri"/>
          <w:color w:val="000000" w:themeColor="text1"/>
          <w:sz w:val="22"/>
        </w:rPr>
        <w:t>ECD</w:t>
      </w:r>
      <w:r>
        <w:rPr>
          <w:rFonts w:ascii="Cambria" w:eastAsia="宋体" w:hAnsi="Cambria" w:cs="Calibri"/>
          <w:color w:val="000000"/>
          <w:sz w:val="22"/>
        </w:rPr>
        <w:t xml:space="preserve"> =</w:t>
      </w:r>
      <w:r w:rsidRPr="00D75064">
        <w:rPr>
          <w:rFonts w:ascii="Cambria" w:eastAsia="宋体" w:hAnsi="Cambria" w:cs="Calibri"/>
          <w:color w:val="000000"/>
          <w:sz w:val="22"/>
        </w:rPr>
        <w:t xml:space="preserve"> </w:t>
      </w:r>
      <w:r w:rsidRPr="00D75064">
        <w:rPr>
          <w:rFonts w:ascii="Cambria" w:hAnsi="Cambria" w:cs="Calibri"/>
          <w:color w:val="000000" w:themeColor="text1"/>
          <w:sz w:val="22"/>
        </w:rPr>
        <w:t>endothelial cell density; HR</w:t>
      </w:r>
      <w:r>
        <w:rPr>
          <w:rFonts w:ascii="Cambria" w:hAnsi="Cambria" w:cs="Calibri"/>
          <w:color w:val="000000" w:themeColor="text1"/>
          <w:sz w:val="22"/>
        </w:rPr>
        <w:t xml:space="preserve"> =</w:t>
      </w:r>
      <w:r w:rsidRPr="00D75064">
        <w:rPr>
          <w:rFonts w:ascii="Cambria" w:hAnsi="Cambria" w:cs="Calibri"/>
          <w:color w:val="000000" w:themeColor="text1"/>
          <w:sz w:val="22"/>
        </w:rPr>
        <w:t xml:space="preserve"> hazard ratio; </w:t>
      </w:r>
      <w:r w:rsidR="00362113" w:rsidRPr="00D75064">
        <w:rPr>
          <w:rFonts w:ascii="Cambria" w:hAnsi="Cambria" w:cs="Calibri"/>
          <w:color w:val="000000" w:themeColor="text1"/>
          <w:sz w:val="22"/>
        </w:rPr>
        <w:t>IOP</w:t>
      </w:r>
      <w:r w:rsidR="00362113">
        <w:rPr>
          <w:rFonts w:ascii="Cambria" w:hAnsi="Cambria" w:cs="Calibri"/>
          <w:color w:val="000000" w:themeColor="text1"/>
          <w:sz w:val="22"/>
        </w:rPr>
        <w:t xml:space="preserve"> =</w:t>
      </w:r>
      <w:r w:rsidR="00362113" w:rsidRPr="00D75064">
        <w:rPr>
          <w:rFonts w:ascii="Cambria" w:hAnsi="Cambria" w:cs="Calibri"/>
          <w:color w:val="000000" w:themeColor="text1"/>
          <w:sz w:val="22"/>
        </w:rPr>
        <w:t xml:space="preserve"> intraocular pressure; </w:t>
      </w:r>
      <w:r w:rsidRPr="00D75064">
        <w:rPr>
          <w:rFonts w:ascii="Cambria" w:hAnsi="Cambria" w:cs="Calibri"/>
          <w:color w:val="000000" w:themeColor="text1"/>
          <w:sz w:val="22"/>
        </w:rPr>
        <w:t>LPI</w:t>
      </w:r>
      <w:r>
        <w:rPr>
          <w:rFonts w:ascii="Cambria" w:hAnsi="Cambria" w:cs="Calibri"/>
          <w:color w:val="000000" w:themeColor="text1"/>
          <w:sz w:val="22"/>
        </w:rPr>
        <w:t xml:space="preserve"> =</w:t>
      </w:r>
      <w:r w:rsidRPr="00D75064">
        <w:rPr>
          <w:rFonts w:ascii="Cambria" w:hAnsi="Cambria" w:cs="Calibri"/>
          <w:color w:val="000000" w:themeColor="text1"/>
          <w:sz w:val="22"/>
        </w:rPr>
        <w:t xml:space="preserve"> laser peripheral iridotomy; MD</w:t>
      </w:r>
      <w:r>
        <w:rPr>
          <w:rFonts w:ascii="Cambria" w:hAnsi="Cambria" w:cs="Calibri"/>
          <w:color w:val="000000" w:themeColor="text1"/>
          <w:sz w:val="22"/>
        </w:rPr>
        <w:t xml:space="preserve"> =</w:t>
      </w:r>
      <w:r w:rsidRPr="00D75064">
        <w:rPr>
          <w:rFonts w:ascii="Cambria" w:hAnsi="Cambria" w:cs="Calibri"/>
          <w:color w:val="000000" w:themeColor="text1"/>
          <w:sz w:val="22"/>
        </w:rPr>
        <w:t xml:space="preserve"> mean deviation; PAS</w:t>
      </w:r>
      <w:r>
        <w:rPr>
          <w:rFonts w:ascii="Cambria" w:hAnsi="Cambria" w:cs="Calibri"/>
          <w:color w:val="000000" w:themeColor="text1"/>
          <w:sz w:val="22"/>
        </w:rPr>
        <w:t xml:space="preserve"> =</w:t>
      </w:r>
      <w:r w:rsidRPr="00D75064">
        <w:rPr>
          <w:rFonts w:ascii="Cambria" w:hAnsi="Cambria" w:cs="Calibri"/>
          <w:color w:val="000000" w:themeColor="text1"/>
          <w:sz w:val="22"/>
        </w:rPr>
        <w:t xml:space="preserve"> peripheral anterior synechiae</w:t>
      </w:r>
      <w:r w:rsidRPr="00D75064">
        <w:rPr>
          <w:rFonts w:ascii="Cambria" w:eastAsia="宋体" w:hAnsi="Cambria" w:cs="Times New Roman"/>
          <w:b/>
          <w:color w:val="000000" w:themeColor="text1"/>
          <w:sz w:val="22"/>
        </w:rPr>
        <w:br w:type="page"/>
      </w:r>
    </w:p>
    <w:p w14:paraId="03FCAA13" w14:textId="41E23506" w:rsidR="000563A2" w:rsidRPr="00806564" w:rsidRDefault="000563A2" w:rsidP="000563A2">
      <w:pPr>
        <w:widowControl/>
        <w:ind w:left="-1170"/>
        <w:jc w:val="left"/>
        <w:rPr>
          <w:rFonts w:ascii="Cambria" w:eastAsia="宋体" w:hAnsi="Cambria" w:cs="Times New Roman"/>
          <w:color w:val="000000" w:themeColor="text1"/>
          <w:sz w:val="24"/>
          <w:szCs w:val="24"/>
        </w:rPr>
      </w:pPr>
      <w:r w:rsidRPr="00806564">
        <w:rPr>
          <w:rFonts w:ascii="Cambria" w:eastAsia="宋体" w:hAnsi="Cambria" w:cs="Times New Roman"/>
          <w:b/>
          <w:color w:val="000000" w:themeColor="text1"/>
          <w:sz w:val="24"/>
          <w:szCs w:val="24"/>
        </w:rPr>
        <w:lastRenderedPageBreak/>
        <w:t xml:space="preserve">Table S4. </w:t>
      </w:r>
      <w:r w:rsidRPr="00806564">
        <w:rPr>
          <w:rFonts w:ascii="Cambria" w:eastAsia="宋体" w:hAnsi="Cambria" w:cs="Times New Roman"/>
          <w:bCs/>
          <w:color w:val="000000" w:themeColor="text1"/>
          <w:sz w:val="24"/>
          <w:szCs w:val="24"/>
        </w:rPr>
        <w:t xml:space="preserve">Numbers of antiglaucoma medications at </w:t>
      </w:r>
      <w:r w:rsidRPr="00806564">
        <w:rPr>
          <w:rFonts w:ascii="Cambria" w:eastAsia="宋体" w:hAnsi="Cambria" w:cs="Times New Roman"/>
          <w:color w:val="000000" w:themeColor="text1"/>
          <w:sz w:val="24"/>
          <w:szCs w:val="24"/>
        </w:rPr>
        <w:t xml:space="preserve">baseline and five follow-up points based         </w:t>
      </w:r>
    </w:p>
    <w:p w14:paraId="0F153F3F" w14:textId="12FD41DC" w:rsidR="000563A2" w:rsidRDefault="000563A2" w:rsidP="000563A2">
      <w:pPr>
        <w:widowControl/>
        <w:ind w:left="-1170"/>
        <w:jc w:val="left"/>
        <w:rPr>
          <w:rFonts w:ascii="Cambria" w:eastAsia="宋体" w:hAnsi="Cambria" w:cs="Times New Roman"/>
          <w:bCs/>
          <w:color w:val="000000" w:themeColor="text1"/>
          <w:sz w:val="24"/>
          <w:szCs w:val="24"/>
        </w:rPr>
      </w:pPr>
      <w:r w:rsidRPr="00806564">
        <w:rPr>
          <w:rFonts w:ascii="Cambria" w:eastAsia="宋体" w:hAnsi="Cambria" w:cs="Times New Roman"/>
          <w:color w:val="000000" w:themeColor="text1"/>
          <w:sz w:val="24"/>
          <w:szCs w:val="24"/>
        </w:rPr>
        <w:t xml:space="preserve">        on </w:t>
      </w:r>
      <w:r w:rsidRPr="00284F6F">
        <w:rPr>
          <w:rFonts w:ascii="Cambria" w:hAnsi="Cambria" w:cs="Times New Roman"/>
          <w:bCs/>
          <w:color w:val="000000" w:themeColor="text1"/>
          <w:sz w:val="24"/>
          <w:szCs w:val="24"/>
        </w:rPr>
        <w:t>primary angle-closure glaucoma</w:t>
      </w:r>
      <w:r w:rsidRPr="00806564" w:rsidDel="003E2411">
        <w:rPr>
          <w:rFonts w:ascii="Cambria" w:eastAsia="宋体" w:hAnsi="Cambria" w:cs="Times New Roman"/>
          <w:color w:val="000000" w:themeColor="text1"/>
          <w:sz w:val="24"/>
          <w:szCs w:val="24"/>
        </w:rPr>
        <w:t xml:space="preserve"> </w:t>
      </w:r>
      <w:r>
        <w:rPr>
          <w:rFonts w:ascii="Cambria" w:eastAsia="宋体" w:hAnsi="Cambria" w:cs="Times New Roman"/>
          <w:color w:val="000000" w:themeColor="text1"/>
          <w:sz w:val="24"/>
          <w:szCs w:val="24"/>
        </w:rPr>
        <w:t>(</w:t>
      </w:r>
      <w:r w:rsidRPr="00806564">
        <w:rPr>
          <w:rFonts w:ascii="Cambria" w:eastAsia="宋体" w:hAnsi="Cambria" w:cs="Times New Roman"/>
          <w:color w:val="000000" w:themeColor="text1"/>
          <w:sz w:val="24"/>
          <w:szCs w:val="24"/>
        </w:rPr>
        <w:t>PACG</w:t>
      </w:r>
      <w:r>
        <w:rPr>
          <w:rFonts w:ascii="Cambria" w:eastAsia="宋体" w:hAnsi="Cambria" w:cs="Times New Roman"/>
          <w:color w:val="000000" w:themeColor="text1"/>
          <w:sz w:val="24"/>
          <w:szCs w:val="24"/>
        </w:rPr>
        <w:t>)</w:t>
      </w:r>
      <w:r w:rsidRPr="00806564">
        <w:rPr>
          <w:rFonts w:ascii="Cambria" w:eastAsia="宋体" w:hAnsi="Cambria" w:cs="Times New Roman"/>
          <w:color w:val="000000" w:themeColor="text1"/>
          <w:sz w:val="24"/>
          <w:szCs w:val="24"/>
        </w:rPr>
        <w:t xml:space="preserve"> severity</w:t>
      </w:r>
    </w:p>
    <w:p w14:paraId="5AB6C565" w14:textId="77777777" w:rsidR="00CA350F" w:rsidRPr="00806564" w:rsidRDefault="00CA350F" w:rsidP="000563A2">
      <w:pPr>
        <w:widowControl/>
        <w:ind w:left="-1170"/>
        <w:jc w:val="left"/>
        <w:rPr>
          <w:rFonts w:ascii="Cambria" w:eastAsia="宋体" w:hAnsi="Cambria" w:cs="Times New Roman"/>
          <w:bCs/>
          <w:color w:val="000000" w:themeColor="text1"/>
          <w:sz w:val="24"/>
          <w:szCs w:val="24"/>
        </w:rPr>
      </w:pPr>
    </w:p>
    <w:tbl>
      <w:tblPr>
        <w:tblStyle w:val="a5"/>
        <w:tblW w:w="11250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275"/>
        <w:gridCol w:w="1415"/>
        <w:gridCol w:w="1260"/>
        <w:gridCol w:w="1402"/>
        <w:gridCol w:w="1350"/>
        <w:gridCol w:w="1208"/>
        <w:gridCol w:w="900"/>
      </w:tblGrid>
      <w:tr w:rsidR="000563A2" w:rsidRPr="00D75064" w14:paraId="268ADA02" w14:textId="77777777" w:rsidTr="00DB6B8B">
        <w:trPr>
          <w:trHeight w:val="1269"/>
          <w:jc w:val="center"/>
        </w:trPr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280B09" w14:textId="77777777" w:rsidR="000563A2" w:rsidRPr="00C4207E" w:rsidRDefault="000563A2" w:rsidP="00DB6B8B">
            <w:pPr>
              <w:spacing w:line="276" w:lineRule="auto"/>
              <w:ind w:left="90"/>
              <w:jc w:val="center"/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  <w:t>PACG severity</w:t>
            </w:r>
          </w:p>
        </w:tc>
        <w:tc>
          <w:tcPr>
            <w:tcW w:w="22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3C261F" w14:textId="76EBC268" w:rsidR="000563A2" w:rsidRPr="00C4207E" w:rsidRDefault="008E6BB9" w:rsidP="008E6BB9">
            <w:pPr>
              <w:spacing w:line="276" w:lineRule="auto"/>
              <w:ind w:left="90"/>
              <w:jc w:val="left"/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</w:pPr>
            <w:r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  <w:t>No. of a</w:t>
            </w:r>
            <w:r w:rsidR="000563A2" w:rsidRPr="00C4207E"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  <w:t>ntiglaucoma medications</w:t>
            </w:r>
          </w:p>
        </w:tc>
        <w:tc>
          <w:tcPr>
            <w:tcW w:w="141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8F4289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F8625A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  <w:t>1</w:t>
            </w:r>
          </w:p>
        </w:tc>
        <w:tc>
          <w:tcPr>
            <w:tcW w:w="1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E1F5B4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/>
                <w:color w:val="000000" w:themeColor="text1"/>
                <w:sz w:val="20"/>
              </w:rPr>
              <w:t>2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9BE084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/>
                <w:bCs/>
                <w:color w:val="000000" w:themeColor="text1"/>
                <w:kern w:val="24"/>
                <w:sz w:val="20"/>
              </w:rPr>
            </w:pPr>
            <w:r w:rsidRPr="00C4207E">
              <w:rPr>
                <w:rFonts w:ascii="Cambria" w:eastAsia="宋体" w:hAnsi="Cambria" w:cs="Times New Roman"/>
                <w:b/>
                <w:bCs/>
                <w:color w:val="000000" w:themeColor="text1"/>
                <w:kern w:val="24"/>
                <w:sz w:val="20"/>
              </w:rPr>
              <w:t>3</w:t>
            </w:r>
          </w:p>
        </w:tc>
        <w:tc>
          <w:tcPr>
            <w:tcW w:w="12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0117E6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/>
                <w:bCs/>
                <w:color w:val="000000" w:themeColor="text1"/>
                <w:kern w:val="24"/>
                <w:sz w:val="20"/>
              </w:rPr>
            </w:pPr>
            <w:r w:rsidRPr="00C4207E">
              <w:rPr>
                <w:rFonts w:ascii="Cambria" w:eastAsia="宋体" w:hAnsi="Cambria" w:cs="Times New Roman"/>
                <w:b/>
                <w:bCs/>
                <w:color w:val="000000" w:themeColor="text1"/>
                <w:kern w:val="24"/>
                <w:sz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FE9445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/>
                <w:bCs/>
                <w:color w:val="000000" w:themeColor="text1"/>
                <w:kern w:val="24"/>
                <w:sz w:val="20"/>
              </w:rPr>
            </w:pPr>
            <w:r w:rsidRPr="00C4207E">
              <w:rPr>
                <w:rFonts w:ascii="Cambria" w:eastAsia="宋体" w:hAnsi="Cambria" w:cs="Times New Roman"/>
                <w:b/>
                <w:bCs/>
                <w:color w:val="000000" w:themeColor="text1"/>
                <w:kern w:val="24"/>
                <w:sz w:val="20"/>
              </w:rPr>
              <w:t>5</w:t>
            </w:r>
          </w:p>
        </w:tc>
      </w:tr>
      <w:tr w:rsidR="000563A2" w:rsidRPr="00D75064" w14:paraId="70AABF10" w14:textId="77777777" w:rsidTr="00DB6B8B">
        <w:trPr>
          <w:trHeight w:val="669"/>
          <w:jc w:val="center"/>
        </w:trPr>
        <w:tc>
          <w:tcPr>
            <w:tcW w:w="1440" w:type="dxa"/>
            <w:vMerge w:val="restart"/>
            <w:vAlign w:val="center"/>
          </w:tcPr>
          <w:p w14:paraId="37DA4862" w14:textId="087366FB" w:rsidR="000563A2" w:rsidRPr="00C4207E" w:rsidRDefault="000563A2" w:rsidP="00DB6B8B">
            <w:pPr>
              <w:ind w:left="90"/>
              <w:jc w:val="center"/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</w:pPr>
            <w:r w:rsidRPr="00C4207E"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  <w:t xml:space="preserve">Early-to- moderate     </w:t>
            </w:r>
          </w:p>
        </w:tc>
        <w:tc>
          <w:tcPr>
            <w:tcW w:w="2275" w:type="dxa"/>
            <w:vAlign w:val="center"/>
          </w:tcPr>
          <w:p w14:paraId="4C17A048" w14:textId="77777777" w:rsidR="000563A2" w:rsidRPr="00C4207E" w:rsidRDefault="000563A2" w:rsidP="008E6BB9">
            <w:pPr>
              <w:spacing w:line="360" w:lineRule="auto"/>
              <w:ind w:left="90"/>
              <w:jc w:val="left"/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</w:pPr>
            <w:r w:rsidRPr="00C4207E"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  <w:t>Baseline (n = 80)</w:t>
            </w:r>
          </w:p>
        </w:tc>
        <w:tc>
          <w:tcPr>
            <w:tcW w:w="1415" w:type="dxa"/>
            <w:vAlign w:val="center"/>
          </w:tcPr>
          <w:p w14:paraId="416CCB57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22 (27.5)</w:t>
            </w:r>
          </w:p>
        </w:tc>
        <w:tc>
          <w:tcPr>
            <w:tcW w:w="1260" w:type="dxa"/>
            <w:vAlign w:val="center"/>
          </w:tcPr>
          <w:p w14:paraId="05C192A3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23 (28.8)</w:t>
            </w:r>
          </w:p>
        </w:tc>
        <w:tc>
          <w:tcPr>
            <w:tcW w:w="1402" w:type="dxa"/>
            <w:vAlign w:val="center"/>
          </w:tcPr>
          <w:p w14:paraId="6E233C5F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14 (17.5)</w:t>
            </w:r>
          </w:p>
        </w:tc>
        <w:tc>
          <w:tcPr>
            <w:tcW w:w="1350" w:type="dxa"/>
            <w:vAlign w:val="center"/>
          </w:tcPr>
          <w:p w14:paraId="58CFFB73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15 (18.8)</w:t>
            </w:r>
          </w:p>
        </w:tc>
        <w:tc>
          <w:tcPr>
            <w:tcW w:w="1208" w:type="dxa"/>
            <w:vAlign w:val="center"/>
          </w:tcPr>
          <w:p w14:paraId="3DEE5D31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6 (7.5)</w:t>
            </w:r>
          </w:p>
        </w:tc>
        <w:tc>
          <w:tcPr>
            <w:tcW w:w="900" w:type="dxa"/>
            <w:vAlign w:val="center"/>
          </w:tcPr>
          <w:p w14:paraId="7C7A08A6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0 (0)</w:t>
            </w:r>
          </w:p>
        </w:tc>
      </w:tr>
      <w:tr w:rsidR="000563A2" w:rsidRPr="00D75064" w14:paraId="05573748" w14:textId="77777777" w:rsidTr="00DB6B8B">
        <w:trPr>
          <w:trHeight w:val="669"/>
          <w:jc w:val="center"/>
        </w:trPr>
        <w:tc>
          <w:tcPr>
            <w:tcW w:w="1440" w:type="dxa"/>
            <w:vMerge/>
            <w:vAlign w:val="center"/>
          </w:tcPr>
          <w:p w14:paraId="6170C544" w14:textId="77777777" w:rsidR="000563A2" w:rsidRPr="00674520" w:rsidRDefault="000563A2" w:rsidP="00674520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</w:pPr>
          </w:p>
        </w:tc>
        <w:tc>
          <w:tcPr>
            <w:tcW w:w="2275" w:type="dxa"/>
            <w:vAlign w:val="center"/>
          </w:tcPr>
          <w:p w14:paraId="3E4CB6AB" w14:textId="77777777" w:rsidR="000563A2" w:rsidRPr="00674520" w:rsidRDefault="000563A2" w:rsidP="008E6BB9">
            <w:pPr>
              <w:spacing w:line="360" w:lineRule="auto"/>
              <w:ind w:left="90"/>
              <w:jc w:val="left"/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</w:pPr>
            <w:r w:rsidRPr="00674520"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  <w:t>Month 12 (n = 70)</w:t>
            </w:r>
          </w:p>
        </w:tc>
        <w:tc>
          <w:tcPr>
            <w:tcW w:w="1415" w:type="dxa"/>
            <w:vAlign w:val="center"/>
          </w:tcPr>
          <w:p w14:paraId="2008865B" w14:textId="77777777" w:rsidR="000563A2" w:rsidRPr="00674520" w:rsidRDefault="000563A2" w:rsidP="00674520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68 (97.1)</w:t>
            </w:r>
          </w:p>
        </w:tc>
        <w:tc>
          <w:tcPr>
            <w:tcW w:w="1260" w:type="dxa"/>
            <w:vAlign w:val="center"/>
          </w:tcPr>
          <w:p w14:paraId="0217086F" w14:textId="77777777" w:rsidR="000563A2" w:rsidRPr="00674520" w:rsidRDefault="000563A2" w:rsidP="00674520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2 (2.9)</w:t>
            </w:r>
          </w:p>
        </w:tc>
        <w:tc>
          <w:tcPr>
            <w:tcW w:w="1402" w:type="dxa"/>
            <w:vAlign w:val="center"/>
          </w:tcPr>
          <w:p w14:paraId="48AB46B7" w14:textId="77777777" w:rsidR="000563A2" w:rsidRPr="00674520" w:rsidRDefault="000563A2" w:rsidP="00674520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0 (0)</w:t>
            </w:r>
          </w:p>
        </w:tc>
        <w:tc>
          <w:tcPr>
            <w:tcW w:w="1350" w:type="dxa"/>
            <w:vAlign w:val="center"/>
          </w:tcPr>
          <w:p w14:paraId="6DC4C3C1" w14:textId="77777777" w:rsidR="000563A2" w:rsidRPr="00674520" w:rsidRDefault="000563A2" w:rsidP="00674520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0 (0)</w:t>
            </w:r>
          </w:p>
        </w:tc>
        <w:tc>
          <w:tcPr>
            <w:tcW w:w="1208" w:type="dxa"/>
            <w:vAlign w:val="center"/>
          </w:tcPr>
          <w:p w14:paraId="3096BBD3" w14:textId="77777777" w:rsidR="000563A2" w:rsidRPr="00674520" w:rsidRDefault="000563A2" w:rsidP="00674520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0 (0)</w:t>
            </w:r>
          </w:p>
        </w:tc>
        <w:tc>
          <w:tcPr>
            <w:tcW w:w="900" w:type="dxa"/>
            <w:vAlign w:val="center"/>
          </w:tcPr>
          <w:p w14:paraId="21B0591B" w14:textId="77777777" w:rsidR="000563A2" w:rsidRPr="00674520" w:rsidRDefault="000563A2" w:rsidP="00674520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0 (0)</w:t>
            </w:r>
          </w:p>
        </w:tc>
      </w:tr>
      <w:tr w:rsidR="000563A2" w:rsidRPr="00D75064" w14:paraId="72A50562" w14:textId="77777777" w:rsidTr="00DB6B8B">
        <w:trPr>
          <w:trHeight w:val="669"/>
          <w:jc w:val="center"/>
        </w:trPr>
        <w:tc>
          <w:tcPr>
            <w:tcW w:w="1440" w:type="dxa"/>
            <w:vMerge w:val="restart"/>
            <w:vAlign w:val="center"/>
          </w:tcPr>
          <w:p w14:paraId="7DF069CB" w14:textId="77777777" w:rsidR="000563A2" w:rsidRPr="00C4207E" w:rsidRDefault="000563A2" w:rsidP="00DB6B8B">
            <w:pPr>
              <w:ind w:left="90"/>
              <w:jc w:val="center"/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</w:pPr>
            <w:r w:rsidRPr="00C4207E"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  <w:t xml:space="preserve">Advanced </w:t>
            </w:r>
          </w:p>
          <w:p w14:paraId="0B178A22" w14:textId="4E4272D1" w:rsidR="000563A2" w:rsidRPr="00C4207E" w:rsidRDefault="000563A2" w:rsidP="00DB6B8B">
            <w:pPr>
              <w:ind w:left="90"/>
              <w:jc w:val="center"/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</w:pPr>
            <w:r w:rsidRPr="00C4207E"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  <w:t xml:space="preserve">      </w:t>
            </w:r>
          </w:p>
        </w:tc>
        <w:tc>
          <w:tcPr>
            <w:tcW w:w="2275" w:type="dxa"/>
            <w:vAlign w:val="center"/>
          </w:tcPr>
          <w:p w14:paraId="211AF7B8" w14:textId="77777777" w:rsidR="000563A2" w:rsidRPr="00C4207E" w:rsidRDefault="000563A2" w:rsidP="008E6BB9">
            <w:pPr>
              <w:spacing w:line="360" w:lineRule="auto"/>
              <w:ind w:left="90"/>
              <w:jc w:val="left"/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</w:pPr>
            <w:r w:rsidRPr="00C4207E"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  <w:t>Baseline (n = 209)</w:t>
            </w:r>
          </w:p>
        </w:tc>
        <w:tc>
          <w:tcPr>
            <w:tcW w:w="1415" w:type="dxa"/>
            <w:vAlign w:val="center"/>
          </w:tcPr>
          <w:p w14:paraId="229E1E9E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19 (9.1)</w:t>
            </w:r>
          </w:p>
        </w:tc>
        <w:tc>
          <w:tcPr>
            <w:tcW w:w="1260" w:type="dxa"/>
            <w:vAlign w:val="center"/>
          </w:tcPr>
          <w:p w14:paraId="270965E5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20 (9.6)</w:t>
            </w:r>
          </w:p>
        </w:tc>
        <w:tc>
          <w:tcPr>
            <w:tcW w:w="1402" w:type="dxa"/>
            <w:vAlign w:val="center"/>
          </w:tcPr>
          <w:p w14:paraId="2E96DB82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78 (37.3)</w:t>
            </w:r>
          </w:p>
        </w:tc>
        <w:tc>
          <w:tcPr>
            <w:tcW w:w="1350" w:type="dxa"/>
            <w:vAlign w:val="center"/>
          </w:tcPr>
          <w:p w14:paraId="6C6FD17B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66 (31.6)</w:t>
            </w:r>
          </w:p>
        </w:tc>
        <w:tc>
          <w:tcPr>
            <w:tcW w:w="1208" w:type="dxa"/>
            <w:vAlign w:val="center"/>
          </w:tcPr>
          <w:p w14:paraId="18C451EC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22 (10.5)</w:t>
            </w:r>
          </w:p>
        </w:tc>
        <w:tc>
          <w:tcPr>
            <w:tcW w:w="900" w:type="dxa"/>
            <w:vAlign w:val="center"/>
          </w:tcPr>
          <w:p w14:paraId="3E87967D" w14:textId="77777777" w:rsidR="000563A2" w:rsidRPr="00C4207E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C4207E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4 (1.9)</w:t>
            </w:r>
          </w:p>
        </w:tc>
      </w:tr>
      <w:tr w:rsidR="000563A2" w:rsidRPr="00D75064" w14:paraId="111FA3E7" w14:textId="77777777" w:rsidTr="00DB6B8B">
        <w:trPr>
          <w:trHeight w:val="669"/>
          <w:jc w:val="center"/>
        </w:trPr>
        <w:tc>
          <w:tcPr>
            <w:tcW w:w="1440" w:type="dxa"/>
            <w:vMerge/>
            <w:vAlign w:val="center"/>
          </w:tcPr>
          <w:p w14:paraId="3FCC87D9" w14:textId="77777777" w:rsidR="000563A2" w:rsidRPr="00674520" w:rsidRDefault="000563A2" w:rsidP="00674520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</w:pPr>
          </w:p>
        </w:tc>
        <w:tc>
          <w:tcPr>
            <w:tcW w:w="2275" w:type="dxa"/>
            <w:vAlign w:val="center"/>
          </w:tcPr>
          <w:p w14:paraId="2484646E" w14:textId="77777777" w:rsidR="000563A2" w:rsidRPr="00674520" w:rsidRDefault="000563A2" w:rsidP="008E6BB9">
            <w:pPr>
              <w:spacing w:line="360" w:lineRule="auto"/>
              <w:jc w:val="left"/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</w:pPr>
            <w:r w:rsidRPr="00674520">
              <w:rPr>
                <w:rFonts w:ascii="Cambria" w:eastAsia="宋体" w:hAnsi="Cambria" w:cs="Times New Roman"/>
                <w:color w:val="000000" w:themeColor="text1"/>
                <w:kern w:val="24"/>
                <w:sz w:val="20"/>
              </w:rPr>
              <w:t>Month 12 (n = 167)</w:t>
            </w:r>
          </w:p>
        </w:tc>
        <w:tc>
          <w:tcPr>
            <w:tcW w:w="1415" w:type="dxa"/>
            <w:vAlign w:val="center"/>
          </w:tcPr>
          <w:p w14:paraId="060D8636" w14:textId="77777777" w:rsidR="000563A2" w:rsidRPr="00674520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146 (87.4)</w:t>
            </w:r>
          </w:p>
        </w:tc>
        <w:tc>
          <w:tcPr>
            <w:tcW w:w="1260" w:type="dxa"/>
            <w:vAlign w:val="center"/>
          </w:tcPr>
          <w:p w14:paraId="4FE28C93" w14:textId="77777777" w:rsidR="000563A2" w:rsidRPr="00674520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15 (9.0)</w:t>
            </w:r>
          </w:p>
        </w:tc>
        <w:tc>
          <w:tcPr>
            <w:tcW w:w="1402" w:type="dxa"/>
            <w:vAlign w:val="center"/>
          </w:tcPr>
          <w:p w14:paraId="4137BDC4" w14:textId="77777777" w:rsidR="000563A2" w:rsidRPr="00674520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2 (1.2)</w:t>
            </w:r>
          </w:p>
        </w:tc>
        <w:tc>
          <w:tcPr>
            <w:tcW w:w="1350" w:type="dxa"/>
            <w:vAlign w:val="center"/>
          </w:tcPr>
          <w:p w14:paraId="1277E44B" w14:textId="77777777" w:rsidR="000563A2" w:rsidRPr="00674520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3 (1.8)</w:t>
            </w:r>
          </w:p>
        </w:tc>
        <w:tc>
          <w:tcPr>
            <w:tcW w:w="1208" w:type="dxa"/>
            <w:vAlign w:val="center"/>
          </w:tcPr>
          <w:p w14:paraId="1C7DCDCA" w14:textId="77777777" w:rsidR="000563A2" w:rsidRPr="00674520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1 (0.6)</w:t>
            </w:r>
          </w:p>
        </w:tc>
        <w:tc>
          <w:tcPr>
            <w:tcW w:w="900" w:type="dxa"/>
            <w:vAlign w:val="center"/>
          </w:tcPr>
          <w:p w14:paraId="214C8F3C" w14:textId="77777777" w:rsidR="000563A2" w:rsidRPr="00674520" w:rsidRDefault="000563A2" w:rsidP="00DB6B8B">
            <w:pPr>
              <w:spacing w:line="360" w:lineRule="auto"/>
              <w:ind w:left="90"/>
              <w:jc w:val="center"/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</w:pPr>
            <w:r w:rsidRPr="00674520">
              <w:rPr>
                <w:rFonts w:ascii="Cambria" w:eastAsia="宋体" w:hAnsi="Cambria" w:cs="Times New Roman"/>
                <w:bCs/>
                <w:color w:val="000000" w:themeColor="text1"/>
                <w:sz w:val="20"/>
              </w:rPr>
              <w:t>0 (0)</w:t>
            </w:r>
          </w:p>
        </w:tc>
      </w:tr>
    </w:tbl>
    <w:p w14:paraId="08878691" w14:textId="79C0C6CD" w:rsidR="001E55FB" w:rsidRPr="00806564" w:rsidRDefault="001B7F4E" w:rsidP="001E55FB">
      <w:pPr>
        <w:widowControl/>
        <w:spacing w:line="276" w:lineRule="auto"/>
        <w:ind w:right="-64"/>
        <w:jc w:val="left"/>
        <w:rPr>
          <w:rFonts w:ascii="Cambria" w:hAnsi="Cambria" w:cs="Calibri"/>
          <w:color w:val="000000" w:themeColor="text1"/>
          <w:sz w:val="24"/>
          <w:szCs w:val="24"/>
        </w:rPr>
        <w:sectPr w:rsidR="001E55FB" w:rsidRPr="00806564" w:rsidSect="001E55FB">
          <w:footerReference w:type="defaul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7F4E">
        <w:rPr>
          <w:rFonts w:ascii="Cambria" w:hAnsi="Cambria" w:cs="Calibri"/>
          <w:color w:val="000000" w:themeColor="text1"/>
          <w:sz w:val="22"/>
          <w:szCs w:val="24"/>
        </w:rPr>
        <w:t>Data are presented as n (%).</w:t>
      </w:r>
      <w:r>
        <w:rPr>
          <w:rFonts w:ascii="Cambria" w:hAnsi="Cambria" w:cs="Calibri"/>
          <w:color w:val="000000" w:themeColor="text1"/>
          <w:sz w:val="22"/>
          <w:szCs w:val="24"/>
        </w:rPr>
        <w:t xml:space="preserve"> </w:t>
      </w:r>
      <w:bookmarkStart w:id="0" w:name="_GoBack"/>
      <w:bookmarkEnd w:id="0"/>
      <w:r w:rsidR="00640C40">
        <w:rPr>
          <w:rFonts w:ascii="Cambria" w:hAnsi="Cambria" w:cs="Calibri" w:hint="eastAsia"/>
          <w:color w:val="000000" w:themeColor="text1"/>
          <w:sz w:val="22"/>
          <w:szCs w:val="24"/>
        </w:rPr>
        <w:t>n repr</w:t>
      </w:r>
      <w:r w:rsidR="005F560B">
        <w:rPr>
          <w:rFonts w:ascii="Cambria" w:hAnsi="Cambria" w:cs="Calibri"/>
          <w:color w:val="000000" w:themeColor="text1"/>
          <w:sz w:val="22"/>
          <w:szCs w:val="24"/>
        </w:rPr>
        <w:t>esents the</w:t>
      </w:r>
      <w:r w:rsidR="002933DE">
        <w:rPr>
          <w:rFonts w:ascii="Cambria" w:hAnsi="Cambria" w:cs="Calibri" w:hint="eastAsia"/>
          <w:color w:val="000000" w:themeColor="text1"/>
          <w:sz w:val="22"/>
          <w:szCs w:val="24"/>
        </w:rPr>
        <w:t xml:space="preserve"> number of patient</w:t>
      </w:r>
      <w:r w:rsidR="005D2A5C">
        <w:rPr>
          <w:rFonts w:ascii="Cambria" w:hAnsi="Cambria" w:cs="Calibri" w:hint="eastAsia"/>
          <w:color w:val="000000" w:themeColor="text1"/>
          <w:sz w:val="22"/>
          <w:szCs w:val="24"/>
        </w:rPr>
        <w:t>s.</w:t>
      </w:r>
    </w:p>
    <w:p w14:paraId="01568FF5" w14:textId="77777777" w:rsidR="00B71ED6" w:rsidRPr="001E55FB" w:rsidRDefault="00B71ED6" w:rsidP="005D2A5C"/>
    <w:sectPr w:rsidR="00B71ED6" w:rsidRPr="001E55FB" w:rsidSect="00674520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45E37" w14:textId="77777777" w:rsidR="00E16BA0" w:rsidRDefault="00E16BA0">
      <w:r>
        <w:separator/>
      </w:r>
    </w:p>
  </w:endnote>
  <w:endnote w:type="continuationSeparator" w:id="0">
    <w:p w14:paraId="3D9504F4" w14:textId="77777777" w:rsidR="00E16BA0" w:rsidRDefault="00E16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7016021"/>
      <w:docPartObj>
        <w:docPartGallery w:val="AutoText"/>
      </w:docPartObj>
    </w:sdtPr>
    <w:sdtEndPr/>
    <w:sdtContent>
      <w:p w14:paraId="37E67480" w14:textId="3F0B7630" w:rsidR="005A65C5" w:rsidRPr="00CB54C2" w:rsidRDefault="000563A2">
        <w:pPr>
          <w:pStyle w:val="a3"/>
          <w:jc w:val="center"/>
        </w:pPr>
        <w:r w:rsidRPr="00CB54C2">
          <w:fldChar w:fldCharType="begin"/>
        </w:r>
        <w:r w:rsidRPr="00CB54C2">
          <w:instrText>PAGE   \* MERGEFORMAT</w:instrText>
        </w:r>
        <w:r w:rsidRPr="00CB54C2">
          <w:fldChar w:fldCharType="separate"/>
        </w:r>
        <w:r w:rsidR="001B7F4E">
          <w:rPr>
            <w:noProof/>
          </w:rPr>
          <w:t>6</w:t>
        </w:r>
        <w:r w:rsidRPr="00CB54C2">
          <w:fldChar w:fldCharType="end"/>
        </w:r>
        <w:r w:rsidRPr="00CB54C2">
          <w:rPr>
            <w:rFonts w:hint="eastAsia"/>
          </w:rPr>
          <w:t xml:space="preserve">                                                                        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4879792"/>
      <w:docPartObj>
        <w:docPartGallery w:val="AutoText"/>
      </w:docPartObj>
    </w:sdtPr>
    <w:sdtEndPr/>
    <w:sdtContent>
      <w:p w14:paraId="3BE33982" w14:textId="38EC0A46" w:rsidR="001E55FB" w:rsidRPr="00CB54C2" w:rsidRDefault="001E55FB">
        <w:pPr>
          <w:pStyle w:val="a3"/>
          <w:jc w:val="center"/>
        </w:pPr>
        <w:r w:rsidRPr="00CB54C2">
          <w:fldChar w:fldCharType="begin"/>
        </w:r>
        <w:r w:rsidRPr="00CB54C2">
          <w:instrText>PAGE   \* MERGEFORMAT</w:instrText>
        </w:r>
        <w:r w:rsidRPr="00CB54C2">
          <w:fldChar w:fldCharType="separate"/>
        </w:r>
        <w:r w:rsidR="001B7F4E">
          <w:rPr>
            <w:noProof/>
          </w:rPr>
          <w:t>9</w:t>
        </w:r>
        <w:r w:rsidRPr="00CB54C2">
          <w:fldChar w:fldCharType="end"/>
        </w:r>
        <w:r w:rsidRPr="00CB54C2">
          <w:rPr>
            <w:rFonts w:hint="eastAsia"/>
          </w:rPr>
          <w:t xml:space="preserve">                                                                        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022037"/>
      <w:docPartObj>
        <w:docPartGallery w:val="Page Numbers (Bottom of Page)"/>
        <w:docPartUnique/>
      </w:docPartObj>
    </w:sdtPr>
    <w:sdtEndPr/>
    <w:sdtContent>
      <w:p w14:paraId="4A1A5BEF" w14:textId="08D8369B" w:rsidR="005A65C5" w:rsidRPr="00CB54C2" w:rsidRDefault="000563A2" w:rsidP="00EE4714">
        <w:pPr>
          <w:pStyle w:val="a3"/>
          <w:jc w:val="center"/>
        </w:pPr>
        <w:r w:rsidRPr="00674520">
          <w:fldChar w:fldCharType="begin"/>
        </w:r>
        <w:r w:rsidRPr="00CB54C2">
          <w:instrText xml:space="preserve"> PAGE   \* MERGEFORMAT </w:instrText>
        </w:r>
        <w:r w:rsidRPr="00674520">
          <w:fldChar w:fldCharType="separate"/>
        </w:r>
        <w:r w:rsidR="001B7F4E">
          <w:rPr>
            <w:noProof/>
          </w:rPr>
          <w:t>10</w:t>
        </w:r>
        <w:r w:rsidRPr="00674520">
          <w:fldChar w:fldCharType="end"/>
        </w:r>
        <w:r w:rsidRPr="00CB54C2">
          <w:rPr>
            <w:rFonts w:hint="eastAsia"/>
          </w:rPr>
          <w:t xml:space="preserve"> </w:t>
        </w:r>
        <w:r w:rsidRPr="00CB54C2">
          <w:t xml:space="preserve">                                                                                                                      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45391" w14:textId="77777777" w:rsidR="00E16BA0" w:rsidRDefault="00E16BA0">
      <w:r>
        <w:separator/>
      </w:r>
    </w:p>
  </w:footnote>
  <w:footnote w:type="continuationSeparator" w:id="0">
    <w:p w14:paraId="37C675E4" w14:textId="77777777" w:rsidR="00E16BA0" w:rsidRDefault="00E16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SyNDa0sDA1NjcxNDJT0lEKTi0uzszPAykwrwUAWfFKXSwAAAA="/>
  </w:docVars>
  <w:rsids>
    <w:rsidRoot w:val="000563A2"/>
    <w:rsid w:val="00030D99"/>
    <w:rsid w:val="000563A2"/>
    <w:rsid w:val="000E1A45"/>
    <w:rsid w:val="000E64F0"/>
    <w:rsid w:val="0010180C"/>
    <w:rsid w:val="00101EC3"/>
    <w:rsid w:val="001B7F4E"/>
    <w:rsid w:val="001E55FB"/>
    <w:rsid w:val="002933DE"/>
    <w:rsid w:val="002E6D93"/>
    <w:rsid w:val="00313D29"/>
    <w:rsid w:val="00362113"/>
    <w:rsid w:val="0040570C"/>
    <w:rsid w:val="00455752"/>
    <w:rsid w:val="004F745F"/>
    <w:rsid w:val="00500421"/>
    <w:rsid w:val="00564FC0"/>
    <w:rsid w:val="005A65C5"/>
    <w:rsid w:val="005D2A5C"/>
    <w:rsid w:val="005F560B"/>
    <w:rsid w:val="00614A57"/>
    <w:rsid w:val="00635199"/>
    <w:rsid w:val="00640C40"/>
    <w:rsid w:val="00674520"/>
    <w:rsid w:val="0068389A"/>
    <w:rsid w:val="00753536"/>
    <w:rsid w:val="00767083"/>
    <w:rsid w:val="008847F6"/>
    <w:rsid w:val="008E6BB9"/>
    <w:rsid w:val="00977059"/>
    <w:rsid w:val="00991C3D"/>
    <w:rsid w:val="00A47FB1"/>
    <w:rsid w:val="00A75209"/>
    <w:rsid w:val="00AE1C41"/>
    <w:rsid w:val="00AE5E79"/>
    <w:rsid w:val="00B71ED6"/>
    <w:rsid w:val="00BD033A"/>
    <w:rsid w:val="00C33C08"/>
    <w:rsid w:val="00CA350F"/>
    <w:rsid w:val="00CA6B7D"/>
    <w:rsid w:val="00CE248C"/>
    <w:rsid w:val="00E06E43"/>
    <w:rsid w:val="00E13689"/>
    <w:rsid w:val="00E16BA0"/>
    <w:rsid w:val="00E67125"/>
    <w:rsid w:val="00E87D0D"/>
    <w:rsid w:val="00ED2493"/>
    <w:rsid w:val="00F75A8A"/>
    <w:rsid w:val="00F9425D"/>
    <w:rsid w:val="00F94A7D"/>
    <w:rsid w:val="00FB2FA0"/>
    <w:rsid w:val="00FC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C5C81"/>
  <w15:chartTrackingRefBased/>
  <w15:docId w15:val="{E5A3105F-8D4B-4DD0-BCDE-5FBAEF3F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563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0563A2"/>
    <w:rPr>
      <w:sz w:val="18"/>
      <w:szCs w:val="18"/>
    </w:rPr>
  </w:style>
  <w:style w:type="table" w:styleId="a5">
    <w:name w:val="Table Grid"/>
    <w:basedOn w:val="a1"/>
    <w:uiPriority w:val="39"/>
    <w:rsid w:val="00056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0563A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0563A2"/>
    <w:rPr>
      <w:sz w:val="20"/>
      <w:szCs w:val="20"/>
    </w:rPr>
  </w:style>
  <w:style w:type="character" w:customStyle="1" w:styleId="a8">
    <w:name w:val="批注文字 字符"/>
    <w:basedOn w:val="a0"/>
    <w:link w:val="a7"/>
    <w:uiPriority w:val="99"/>
    <w:rsid w:val="000563A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563A2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563A2"/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745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674520"/>
    <w:rPr>
      <w:sz w:val="18"/>
      <w:szCs w:val="18"/>
    </w:rPr>
  </w:style>
  <w:style w:type="paragraph" w:styleId="ad">
    <w:name w:val="annotation subject"/>
    <w:basedOn w:val="a7"/>
    <w:next w:val="a7"/>
    <w:link w:val="ae"/>
    <w:uiPriority w:val="99"/>
    <w:semiHidden/>
    <w:unhideWhenUsed/>
    <w:rsid w:val="00753536"/>
    <w:pPr>
      <w:jc w:val="left"/>
    </w:pPr>
    <w:rPr>
      <w:b/>
      <w:bCs/>
      <w:sz w:val="21"/>
      <w:szCs w:val="22"/>
    </w:rPr>
  </w:style>
  <w:style w:type="character" w:customStyle="1" w:styleId="ae">
    <w:name w:val="批注主题 字符"/>
    <w:basedOn w:val="a8"/>
    <w:link w:val="ad"/>
    <w:uiPriority w:val="99"/>
    <w:semiHidden/>
    <w:rsid w:val="007535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EV</cp:lastModifiedBy>
  <cp:revision>2</cp:revision>
  <dcterms:created xsi:type="dcterms:W3CDTF">2026-08-10T02:39:00Z</dcterms:created>
  <dcterms:modified xsi:type="dcterms:W3CDTF">2026-08-10T02:39:00Z</dcterms:modified>
</cp:coreProperties>
</file>