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2D7" w:rsidRPr="007B5603" w:rsidRDefault="002F32D7" w:rsidP="002F32D7">
      <w:pPr>
        <w:snapToGrid w:val="0"/>
        <w:jc w:val="left"/>
        <w:rPr>
          <w:rFonts w:ascii="Calibri" w:hAnsi="Calibri" w:cs="Times New Roman"/>
          <w:sz w:val="18"/>
        </w:rPr>
      </w:pPr>
      <w:r w:rsidRPr="007B5603">
        <w:rPr>
          <w:rFonts w:ascii="Calibri" w:hAnsi="Calibri" w:cs="Times New Roman"/>
          <w:b/>
          <w:sz w:val="18"/>
        </w:rPr>
        <w:t>Table S1</w:t>
      </w:r>
      <w:r w:rsidRPr="007B5603">
        <w:rPr>
          <w:rFonts w:ascii="Calibri" w:hAnsi="Calibri" w:cs="Times New Roman"/>
          <w:sz w:val="18"/>
        </w:rPr>
        <w:t xml:space="preserve"> Carbon density and storage reported of forest ecosystem in China</w:t>
      </w:r>
    </w:p>
    <w:tbl>
      <w:tblPr>
        <w:tblStyle w:val="a3"/>
        <w:tblW w:w="140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2835"/>
        <w:gridCol w:w="1983"/>
        <w:gridCol w:w="1560"/>
        <w:gridCol w:w="852"/>
        <w:gridCol w:w="849"/>
        <w:gridCol w:w="852"/>
        <w:gridCol w:w="849"/>
        <w:gridCol w:w="852"/>
        <w:gridCol w:w="849"/>
        <w:gridCol w:w="1529"/>
      </w:tblGrid>
      <w:tr w:rsidR="002F32D7" w:rsidRPr="007B5603" w:rsidTr="00C07C5D">
        <w:trPr>
          <w:trHeight w:val="283"/>
          <w:jc w:val="center"/>
        </w:trPr>
        <w:tc>
          <w:tcPr>
            <w:tcW w:w="355" w:type="pct"/>
            <w:vMerge w:val="restart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Period</w:t>
            </w:r>
          </w:p>
        </w:tc>
        <w:tc>
          <w:tcPr>
            <w:tcW w:w="1012" w:type="pct"/>
            <w:vMerge w:val="restart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Approach</w:t>
            </w:r>
          </w:p>
        </w:tc>
        <w:tc>
          <w:tcPr>
            <w:tcW w:w="708" w:type="pct"/>
            <w:vMerge w:val="restart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Data source</w:t>
            </w:r>
          </w:p>
        </w:tc>
        <w:tc>
          <w:tcPr>
            <w:tcW w:w="557" w:type="pct"/>
            <w:vMerge w:val="restart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Area</w:t>
            </w:r>
          </w:p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(10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  <w:vertAlign w:val="superscript"/>
              </w:rPr>
              <w:t>4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 xml:space="preserve"> km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  <w:vertAlign w:val="superscript"/>
              </w:rPr>
              <w:t>2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607" w:type="pct"/>
            <w:gridSpan w:val="2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Vegetation</w:t>
            </w:r>
          </w:p>
        </w:tc>
        <w:tc>
          <w:tcPr>
            <w:tcW w:w="607" w:type="pct"/>
            <w:gridSpan w:val="2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Soil</w:t>
            </w:r>
          </w:p>
        </w:tc>
        <w:tc>
          <w:tcPr>
            <w:tcW w:w="607" w:type="pct"/>
            <w:gridSpan w:val="2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Litter</w:t>
            </w:r>
          </w:p>
        </w:tc>
        <w:tc>
          <w:tcPr>
            <w:tcW w:w="546" w:type="pct"/>
            <w:vMerge w:val="restart"/>
            <w:tcBorders>
              <w:top w:val="single" w:sz="8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Reference</w:t>
            </w:r>
          </w:p>
        </w:tc>
      </w:tr>
      <w:tr w:rsidR="00C07C5D" w:rsidRPr="007B5603" w:rsidTr="00C07C5D">
        <w:trPr>
          <w:trHeight w:val="283"/>
          <w:jc w:val="center"/>
        </w:trPr>
        <w:tc>
          <w:tcPr>
            <w:tcW w:w="355" w:type="pct"/>
            <w:vMerge/>
            <w:tcBorders>
              <w:bottom w:val="single" w:sz="4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1012" w:type="pct"/>
            <w:vMerge/>
            <w:tcBorders>
              <w:bottom w:val="single" w:sz="4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bottom w:val="single" w:sz="4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bottom w:val="single" w:sz="4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2F32D7" w:rsidRPr="007B5603" w:rsidRDefault="0084354B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</w:t>
            </w:r>
            <w:r w:rsidR="002F32D7" w:rsidRPr="007B5603">
              <w:rPr>
                <w:rFonts w:ascii="Calibri" w:hAnsi="Calibri" w:cs="Times New Roman"/>
                <w:b/>
                <w:sz w:val="18"/>
                <w:szCs w:val="18"/>
              </w:rPr>
              <w:t xml:space="preserve">ensity </w:t>
            </w:r>
          </w:p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(Mg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·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ha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  <w:vertAlign w:val="superscript"/>
              </w:rPr>
              <w:t>–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  <w:vertAlign w:val="superscript"/>
              </w:rPr>
              <w:t>1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C storage</w:t>
            </w:r>
          </w:p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(Pg C)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2F32D7" w:rsidRPr="007B5603" w:rsidRDefault="0084354B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</w:t>
            </w:r>
            <w:r w:rsidR="002F32D7" w:rsidRPr="007B5603">
              <w:rPr>
                <w:rFonts w:ascii="Calibri" w:hAnsi="Calibri" w:cs="Times New Roman"/>
                <w:b/>
                <w:sz w:val="18"/>
                <w:szCs w:val="18"/>
              </w:rPr>
              <w:t>ensity</w:t>
            </w:r>
          </w:p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(Mg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·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ha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  <w:vertAlign w:val="superscript"/>
              </w:rPr>
              <w:t>–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  <w:vertAlign w:val="superscript"/>
              </w:rPr>
              <w:t>1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C storage</w:t>
            </w:r>
          </w:p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(Pg C)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2F32D7" w:rsidRPr="007B5603" w:rsidRDefault="0084354B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</w:t>
            </w:r>
            <w:r w:rsidR="002F32D7" w:rsidRPr="007B5603">
              <w:rPr>
                <w:rFonts w:ascii="Calibri" w:hAnsi="Calibri" w:cs="Times New Roman"/>
                <w:b/>
                <w:sz w:val="18"/>
                <w:szCs w:val="18"/>
              </w:rPr>
              <w:t>ensity</w:t>
            </w:r>
          </w:p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(Mg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·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ha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  <w:vertAlign w:val="superscript"/>
              </w:rPr>
              <w:t>–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  <w:vertAlign w:val="superscript"/>
              </w:rPr>
              <w:t>1</w:t>
            </w: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C storage</w:t>
            </w:r>
          </w:p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sz w:val="18"/>
                <w:szCs w:val="18"/>
              </w:rPr>
              <w:t>(Pg C)</w:t>
            </w:r>
          </w:p>
        </w:tc>
        <w:tc>
          <w:tcPr>
            <w:tcW w:w="546" w:type="pct"/>
            <w:vMerge/>
            <w:tcBorders>
              <w:bottom w:val="single" w:sz="4" w:space="0" w:color="auto"/>
            </w:tcBorders>
          </w:tcPr>
          <w:p w:rsidR="002F32D7" w:rsidRPr="007B5603" w:rsidRDefault="002F32D7" w:rsidP="00CC29EC">
            <w:pPr>
              <w:snapToGrid w:val="0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1990</w:t>
            </w:r>
          </w:p>
        </w:tc>
        <w:tc>
          <w:tcPr>
            <w:tcW w:w="1012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Average biomass method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inventory data</w:t>
            </w:r>
          </w:p>
        </w:tc>
        <w:tc>
          <w:tcPr>
            <w:tcW w:w="557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118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45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17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83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16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(Dixon et al. 1994b)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150D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162.98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27.30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4.45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(Fang et al. 1996)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150D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1976:96.03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1981:95.63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1988:102.20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1993:108.64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39.0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43.1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39.7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38.7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3.746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4.124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4.060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4.197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(Liu et al. 2000)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Vegetation: Average biomass method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Litter: Biomass method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Soil: Soil type method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inventory data and published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108.62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57.07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6.2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193.55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21.02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8.21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0.892</w:t>
            </w: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(Zhou et al. 2000)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BIOME3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 and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investigation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127.06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71.7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9.11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(Jian 2001)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1949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1998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Conversion factor continuous method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1949: 102.34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1950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1962:98.08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1976:101.26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1981:95.62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1988:102.19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1993:108.63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1998:105.82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49.45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46.67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43.83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45.75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43.53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42.58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44.91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5.06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4.58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4.44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4.38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4.45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4.63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4.75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(Fang et al. 2001)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CF0456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inventory data and published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108.63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34.29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3.725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(Wang et al. 2001)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1981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1998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CEVSA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FAO database and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NDVI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121.63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71.69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8.72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190.82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23.21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(Li et al. 2003)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Biomass regression equation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1976:105.0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1981:95.6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1988:102.2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1993:108.6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33.44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37.68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36.08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37.00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3.511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3.602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3.687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4.018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(Pan et al. 2004)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1992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Soil type method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China’s second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soil survey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150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115.93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17.39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(Xie et al. 2004)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1992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Soil type method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China’s second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soil survey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121.64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123.64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15.04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(Wang et al. 2004)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7B7D94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91.43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41.32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3.778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(Zhao and Zhou 2004)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1982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1999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CASA Model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 inventory data and NDVI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127.89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45.3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5.79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(Piao et al. 2005)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1992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Soil type method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SOC stock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China’s second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soil survey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249.32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137.29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34.23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(Xie et al. 2007)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lastRenderedPageBreak/>
              <w:t>1977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Conversion factor continuous method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1981:116.5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1988:124.2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1993:131.8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1998:132.2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2003:142.8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36.9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35.9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37.4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37.9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41.0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4.303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4.458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4.931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5.012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5.852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(Fang et al. 2007)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245F74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1976:108.22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1981:95.62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1988:102.19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1993:108.64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1998:129.20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2003:142.79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35.5640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38.6521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36.7849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37.8664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36.0398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38.5641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3.8488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3.6960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3.759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4.1138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4.6563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5.5064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(Xu et al. 2007)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2004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Soil type method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SOC stock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China’s second national soil survey and investigation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197.13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105.01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20.7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(Yang et al. 2007)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2003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245F74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1993:108.64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1998:129.20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2003:142.79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38.85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35.97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36.12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4.221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4.647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5.157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(Wu et al. 2008)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2007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245F74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Published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142.8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52.3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7.47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156.2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22.31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(Guirui et al. 2010)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2004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2009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Biomass regression equation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182.48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42.82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7.811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(Li et al. 2011)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2008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Volume-derived</w:t>
            </w:r>
          </w:p>
          <w:p w:rsidR="002F32D7" w:rsidRPr="007B5603" w:rsidRDefault="00245F74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m</w:t>
            </w:r>
            <w:r w:rsidR="002F32D7" w:rsidRPr="007B5603">
              <w:rPr>
                <w:rFonts w:ascii="Calibri" w:hAnsi="Calibri" w:cs="Times New Roman"/>
                <w:sz w:val="18"/>
                <w:szCs w:val="18"/>
              </w:rPr>
              <w:t>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1973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1976:173.88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1977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1981:175.12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1988:189.57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1993:199.78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1998:195.27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1999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2003:220.32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2004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2008:239.86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28.33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30.40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29.18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30.04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31.04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32.22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33.85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4.93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5.32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5.53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6.00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6.06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7.10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8.12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(Zhang et al. 2013a)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2004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2008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HASM model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National forest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inventory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2004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2008:239.86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32.57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38.52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7.8114</w:t>
            </w:r>
          </w:p>
          <w:p w:rsidR="00245F74" w:rsidRPr="007B5603" w:rsidRDefault="002F32D7" w:rsidP="00CC29EC">
            <w:pPr>
              <w:snapToGrid w:val="0"/>
              <w:jc w:val="left"/>
              <w:rPr>
                <w:rFonts w:ascii="Calibri" w:hAnsi="Calibri" w:cs="Times New Roman" w:hint="eastAsia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9.2405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(Zhao et al. 2013)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1979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1985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Soil type method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SOC stock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China’s second national soil survey and investigation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179.48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106.3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19.08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(Xu et al. 2015)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2008</w:t>
            </w:r>
          </w:p>
        </w:tc>
        <w:tc>
          <w:tcPr>
            <w:tcW w:w="1012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Biomass method</w:t>
            </w:r>
          </w:p>
        </w:tc>
        <w:tc>
          <w:tcPr>
            <w:tcW w:w="708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Investigate data</w:t>
            </w:r>
          </w:p>
        </w:tc>
        <w:tc>
          <w:tcPr>
            <w:tcW w:w="557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1984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1988: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2004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2008:</w:t>
            </w: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5.88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5.95</w:t>
            </w:r>
          </w:p>
        </w:tc>
        <w:tc>
          <w:tcPr>
            <w:tcW w:w="303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0.774</w:t>
            </w:r>
          </w:p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0.925</w:t>
            </w:r>
          </w:p>
        </w:tc>
        <w:tc>
          <w:tcPr>
            <w:tcW w:w="546" w:type="pct"/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(Zhu et al. 2017)</w:t>
            </w:r>
          </w:p>
        </w:tc>
      </w:tr>
      <w:tr w:rsidR="002F32D7" w:rsidRPr="007B5603" w:rsidTr="00C07C5D">
        <w:trPr>
          <w:trHeight w:val="283"/>
          <w:jc w:val="center"/>
        </w:trPr>
        <w:tc>
          <w:tcPr>
            <w:tcW w:w="355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2004</w:t>
            </w: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–</w:t>
            </w:r>
            <w:r w:rsidRPr="007B5603">
              <w:rPr>
                <w:rFonts w:ascii="Calibri" w:hAnsi="Calibri" w:cs="Times New Roman"/>
                <w:sz w:val="18"/>
                <w:szCs w:val="18"/>
              </w:rPr>
              <w:t>2014</w:t>
            </w:r>
          </w:p>
        </w:tc>
        <w:tc>
          <w:tcPr>
            <w:tcW w:w="1012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08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Published literature and investigation data</w:t>
            </w:r>
          </w:p>
        </w:tc>
        <w:tc>
          <w:tcPr>
            <w:tcW w:w="557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195.89</w:t>
            </w:r>
          </w:p>
        </w:tc>
        <w:tc>
          <w:tcPr>
            <w:tcW w:w="304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58.6</w:t>
            </w:r>
          </w:p>
        </w:tc>
        <w:tc>
          <w:tcPr>
            <w:tcW w:w="303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11.49</w:t>
            </w:r>
          </w:p>
        </w:tc>
        <w:tc>
          <w:tcPr>
            <w:tcW w:w="304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115.3</w:t>
            </w:r>
          </w:p>
        </w:tc>
        <w:tc>
          <w:tcPr>
            <w:tcW w:w="303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22.59</w:t>
            </w:r>
          </w:p>
        </w:tc>
        <w:tc>
          <w:tcPr>
            <w:tcW w:w="304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46" w:type="pct"/>
            <w:tcBorders>
              <w:bottom w:val="single" w:sz="8" w:space="0" w:color="auto"/>
            </w:tcBorders>
          </w:tcPr>
          <w:p w:rsidR="002F32D7" w:rsidRPr="007B5603" w:rsidRDefault="002F32D7" w:rsidP="00CC29EC">
            <w:pPr>
              <w:snapToGrid w:val="0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noProof/>
                <w:sz w:val="18"/>
                <w:szCs w:val="18"/>
              </w:rPr>
              <w:t>(Xu et al. 2018)</w:t>
            </w:r>
          </w:p>
        </w:tc>
      </w:tr>
    </w:tbl>
    <w:p w:rsidR="002F32D7" w:rsidRPr="007B5603" w:rsidRDefault="002F32D7" w:rsidP="002F32D7">
      <w:pPr>
        <w:widowControl/>
        <w:snapToGrid w:val="0"/>
        <w:spacing w:line="480" w:lineRule="auto"/>
        <w:jc w:val="left"/>
        <w:rPr>
          <w:rFonts w:ascii="Calibri" w:hAnsi="Calibri"/>
        </w:rPr>
      </w:pPr>
    </w:p>
    <w:p w:rsidR="002F32D7" w:rsidRPr="007B5603" w:rsidRDefault="002F32D7" w:rsidP="002F32D7">
      <w:pPr>
        <w:snapToGrid w:val="0"/>
        <w:spacing w:line="480" w:lineRule="auto"/>
        <w:rPr>
          <w:rFonts w:ascii="Calibri" w:hAnsi="Calibri"/>
        </w:rPr>
      </w:pPr>
    </w:p>
    <w:p w:rsidR="002F32D7" w:rsidRPr="007B5603" w:rsidRDefault="002F32D7" w:rsidP="002F32D7">
      <w:pPr>
        <w:snapToGrid w:val="0"/>
        <w:rPr>
          <w:rFonts w:ascii="Calibri" w:hAnsi="Calibri"/>
        </w:rPr>
      </w:pPr>
    </w:p>
    <w:p w:rsidR="002F32D7" w:rsidRPr="007B5603" w:rsidRDefault="002F32D7" w:rsidP="002F32D7">
      <w:pPr>
        <w:jc w:val="left"/>
        <w:rPr>
          <w:rFonts w:ascii="Calibri" w:hAnsi="Calibri" w:cs="Times New Roman"/>
          <w:sz w:val="18"/>
          <w:lang w:val="en-GB"/>
        </w:rPr>
      </w:pPr>
      <w:r w:rsidRPr="007B5603">
        <w:rPr>
          <w:rFonts w:ascii="Calibri" w:hAnsi="Calibri" w:cs="Times New Roman"/>
          <w:b/>
          <w:sz w:val="18"/>
        </w:rPr>
        <w:lastRenderedPageBreak/>
        <w:t xml:space="preserve">Table S2 </w:t>
      </w:r>
      <w:r w:rsidRPr="007B5603">
        <w:rPr>
          <w:rFonts w:ascii="Calibri" w:hAnsi="Calibri" w:cs="Times New Roman"/>
          <w:sz w:val="18"/>
        </w:rPr>
        <w:t>Forest regions in China under varied climatic zones</w:t>
      </w:r>
      <w:r w:rsidRPr="007B5603">
        <w:rPr>
          <w:rFonts w:ascii="Calibri" w:hAnsi="Calibri" w:cs="Times New Roman"/>
          <w:sz w:val="18"/>
          <w:lang w:val="en-GB"/>
        </w:rPr>
        <w:t xml:space="preserve"> (</w:t>
      </w:r>
      <w:r w:rsidRPr="007B5603">
        <w:rPr>
          <w:rFonts w:ascii="Calibri" w:hAnsi="Calibri" w:cs="Times New Roman"/>
          <w:sz w:val="18"/>
        </w:rPr>
        <w:t>not including Taiwan,</w:t>
      </w:r>
      <w:r w:rsidR="00837CD4">
        <w:rPr>
          <w:rFonts w:ascii="Calibri" w:hAnsi="Calibri" w:cs="Times New Roman"/>
          <w:sz w:val="18"/>
        </w:rPr>
        <w:t xml:space="preserve"> Hong </w:t>
      </w:r>
      <w:r w:rsidRPr="007B5603">
        <w:rPr>
          <w:rFonts w:ascii="Calibri" w:hAnsi="Calibri" w:cs="Times New Roman"/>
          <w:sz w:val="18"/>
        </w:rPr>
        <w:t>Kong and Macao</w:t>
      </w:r>
      <w:r w:rsidRPr="007B5603">
        <w:rPr>
          <w:rFonts w:ascii="Calibri" w:hAnsi="Calibri" w:cs="Times New Roman"/>
          <w:sz w:val="18"/>
          <w:lang w:val="en-GB"/>
        </w:rPr>
        <w:t>)</w:t>
      </w:r>
    </w:p>
    <w:tbl>
      <w:tblPr>
        <w:tblStyle w:val="1"/>
        <w:tblW w:w="1400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686"/>
        <w:gridCol w:w="6521"/>
        <w:gridCol w:w="2381"/>
      </w:tblGrid>
      <w:tr w:rsidR="002F32D7" w:rsidRPr="007B5603" w:rsidTr="00CC29EC">
        <w:trPr>
          <w:trHeight w:val="283"/>
        </w:trPr>
        <w:tc>
          <w:tcPr>
            <w:tcW w:w="506" w:type="pct"/>
            <w:tcBorders>
              <w:top w:val="single" w:sz="8" w:space="0" w:color="auto"/>
              <w:bottom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>Regions</w:t>
            </w:r>
          </w:p>
        </w:tc>
        <w:tc>
          <w:tcPr>
            <w:tcW w:w="1316" w:type="pct"/>
            <w:tcBorders>
              <w:top w:val="single" w:sz="8" w:space="0" w:color="auto"/>
              <w:bottom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>Climatic types</w:t>
            </w:r>
          </w:p>
        </w:tc>
        <w:tc>
          <w:tcPr>
            <w:tcW w:w="2328" w:type="pct"/>
            <w:tcBorders>
              <w:top w:val="single" w:sz="8" w:space="0" w:color="auto"/>
              <w:bottom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>Main Forest types</w:t>
            </w:r>
          </w:p>
        </w:tc>
        <w:tc>
          <w:tcPr>
            <w:tcW w:w="850" w:type="pct"/>
            <w:tcBorders>
              <w:top w:val="single" w:sz="8" w:space="0" w:color="auto"/>
              <w:bottom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Forest area </w:t>
            </w:r>
          </w:p>
          <w:p w:rsidR="002F32D7" w:rsidRPr="007B5603" w:rsidRDefault="004C3114" w:rsidP="004C3114">
            <w:pPr>
              <w:jc w:val="left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(</w:t>
            </w:r>
            <w:r w:rsidR="002F32D7"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>10</w:t>
            </w:r>
            <w:r w:rsidR="002F32D7" w:rsidRPr="007B5603">
              <w:rPr>
                <w:rFonts w:ascii="Calibri" w:hAnsi="Calibri" w:cs="Times New Roman"/>
                <w:b/>
                <w:bCs/>
                <w:sz w:val="18"/>
                <w:szCs w:val="18"/>
                <w:vertAlign w:val="superscript"/>
              </w:rPr>
              <w:t>4</w:t>
            </w:r>
            <w:r w:rsidR="002F32D7"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ha 2013</w:t>
            </w:r>
            <w:r w:rsidR="00A11593">
              <w:rPr>
                <w:rFonts w:ascii="Calibri" w:hAnsi="Calibri" w:cs="Times New Roman"/>
                <w:b/>
                <w:bCs/>
                <w:sz w:val="18"/>
                <w:szCs w:val="18"/>
              </w:rPr>
              <w:t>,</w:t>
            </w:r>
            <w:r w:rsidR="002F32D7"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%</w:t>
            </w:r>
            <w:r w:rsidRPr="007B5603">
              <w:rPr>
                <w:rFonts w:ascii="Calibri" w:hAnsi="Calibri" w:cs="Times New Roman"/>
                <w:b/>
                <w:bCs/>
                <w:sz w:val="18"/>
                <w:szCs w:val="18"/>
              </w:rPr>
              <w:t>)</w:t>
            </w:r>
            <w:bookmarkStart w:id="0" w:name="_GoBack"/>
            <w:bookmarkEnd w:id="0"/>
          </w:p>
        </w:tc>
      </w:tr>
      <w:tr w:rsidR="002F32D7" w:rsidRPr="007B5603" w:rsidTr="00CC29EC">
        <w:trPr>
          <w:trHeight w:val="283"/>
        </w:trPr>
        <w:tc>
          <w:tcPr>
            <w:tcW w:w="506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Northeastern</w:t>
            </w:r>
          </w:p>
        </w:tc>
        <w:tc>
          <w:tcPr>
            <w:tcW w:w="1316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Temperate monsoon climate</w:t>
            </w:r>
          </w:p>
        </w:tc>
        <w:tc>
          <w:tcPr>
            <w:tcW w:w="2328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Cold temperate needleleaf fore and temperate needleleaf–broadleaf mixed forest</w:t>
            </w:r>
          </w:p>
        </w:tc>
        <w:tc>
          <w:tcPr>
            <w:tcW w:w="850" w:type="pct"/>
            <w:tcBorders>
              <w:top w:val="single" w:sz="4" w:space="0" w:color="auto"/>
            </w:tcBorders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3283.28, 14.35%</w:t>
            </w:r>
          </w:p>
        </w:tc>
      </w:tr>
      <w:tr w:rsidR="002F32D7" w:rsidRPr="007B5603" w:rsidTr="00CC29EC">
        <w:trPr>
          <w:trHeight w:val="283"/>
        </w:trPr>
        <w:tc>
          <w:tcPr>
            <w:tcW w:w="50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Northern</w:t>
            </w:r>
          </w:p>
        </w:tc>
        <w:tc>
          <w:tcPr>
            <w:tcW w:w="131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Temperate continental climate</w:t>
            </w:r>
          </w:p>
        </w:tc>
        <w:tc>
          <w:tcPr>
            <w:tcW w:w="2328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Temperate needleleaf–broadleaf mixed forest</w:t>
            </w:r>
          </w:p>
        </w:tc>
        <w:tc>
          <w:tcPr>
            <w:tcW w:w="850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3279.61, 14.33%</w:t>
            </w:r>
          </w:p>
        </w:tc>
      </w:tr>
      <w:tr w:rsidR="002F32D7" w:rsidRPr="007B5603" w:rsidTr="00CC29EC">
        <w:trPr>
          <w:trHeight w:val="283"/>
        </w:trPr>
        <w:tc>
          <w:tcPr>
            <w:tcW w:w="50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Northwestern</w:t>
            </w:r>
          </w:p>
        </w:tc>
        <w:tc>
          <w:tcPr>
            <w:tcW w:w="131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Temperate continental climate</w:t>
            </w:r>
          </w:p>
        </w:tc>
        <w:tc>
          <w:tcPr>
            <w:tcW w:w="2328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Temperate steppe and temperate needleleaf–broadleaf mixed forest</w:t>
            </w:r>
          </w:p>
        </w:tc>
        <w:tc>
          <w:tcPr>
            <w:tcW w:w="850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2527.13, 11.05%</w:t>
            </w:r>
          </w:p>
        </w:tc>
      </w:tr>
      <w:tr w:rsidR="002F32D7" w:rsidRPr="007B5603" w:rsidTr="00CC29EC">
        <w:trPr>
          <w:trHeight w:val="283"/>
        </w:trPr>
        <w:tc>
          <w:tcPr>
            <w:tcW w:w="50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Center</w:t>
            </w:r>
          </w:p>
        </w:tc>
        <w:tc>
          <w:tcPr>
            <w:tcW w:w="131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Temperate monsoon climate</w:t>
            </w:r>
          </w:p>
        </w:tc>
        <w:tc>
          <w:tcPr>
            <w:tcW w:w="2328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Warm temperate deciduous broadleaf forest</w:t>
            </w:r>
          </w:p>
        </w:tc>
        <w:tc>
          <w:tcPr>
            <w:tcW w:w="850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3467.05, 15.15%</w:t>
            </w:r>
          </w:p>
        </w:tc>
      </w:tr>
      <w:tr w:rsidR="002F32D7" w:rsidRPr="007B5603" w:rsidTr="00CC29EC">
        <w:trPr>
          <w:trHeight w:val="283"/>
        </w:trPr>
        <w:tc>
          <w:tcPr>
            <w:tcW w:w="50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Southwestern</w:t>
            </w:r>
          </w:p>
        </w:tc>
        <w:tc>
          <w:tcPr>
            <w:tcW w:w="131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Plateau mountain climate</w:t>
            </w:r>
          </w:p>
        </w:tc>
        <w:tc>
          <w:tcPr>
            <w:tcW w:w="2328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subtropical evergreen broadleaf forest and Qinghai–Tibet Plateau alpine vegetation</w:t>
            </w:r>
          </w:p>
        </w:tc>
        <w:tc>
          <w:tcPr>
            <w:tcW w:w="850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6059.29, 26.48%</w:t>
            </w:r>
          </w:p>
        </w:tc>
      </w:tr>
      <w:tr w:rsidR="002F32D7" w:rsidRPr="007B5603" w:rsidTr="00CC29EC">
        <w:trPr>
          <w:trHeight w:val="283"/>
        </w:trPr>
        <w:tc>
          <w:tcPr>
            <w:tcW w:w="50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Eastern</w:t>
            </w:r>
          </w:p>
        </w:tc>
        <w:tc>
          <w:tcPr>
            <w:tcW w:w="131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Temperate monsoon climate</w:t>
            </w:r>
          </w:p>
        </w:tc>
        <w:tc>
          <w:tcPr>
            <w:tcW w:w="2328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Warm temperate deciduous broadleaf forest</w:t>
            </w:r>
          </w:p>
        </w:tc>
        <w:tc>
          <w:tcPr>
            <w:tcW w:w="850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1024.87, 4.48%</w:t>
            </w:r>
          </w:p>
        </w:tc>
      </w:tr>
      <w:tr w:rsidR="002F32D7" w:rsidRPr="00594872" w:rsidTr="00CC29EC">
        <w:trPr>
          <w:trHeight w:val="283"/>
        </w:trPr>
        <w:tc>
          <w:tcPr>
            <w:tcW w:w="50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Southern</w:t>
            </w:r>
          </w:p>
        </w:tc>
        <w:tc>
          <w:tcPr>
            <w:tcW w:w="1316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Subtropical and tropical monsoon climate</w:t>
            </w:r>
          </w:p>
        </w:tc>
        <w:tc>
          <w:tcPr>
            <w:tcW w:w="2328" w:type="pct"/>
          </w:tcPr>
          <w:p w:rsidR="002F32D7" w:rsidRPr="007B5603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Subtropical evergreen broadleaf forest, tropical monsoon forest–rain forest</w:t>
            </w:r>
          </w:p>
        </w:tc>
        <w:tc>
          <w:tcPr>
            <w:tcW w:w="850" w:type="pct"/>
          </w:tcPr>
          <w:p w:rsidR="002F32D7" w:rsidRPr="006D4CA9" w:rsidRDefault="002F32D7" w:rsidP="00CC29EC">
            <w:pPr>
              <w:jc w:val="left"/>
              <w:rPr>
                <w:rFonts w:ascii="Calibri" w:hAnsi="Calibri" w:cs="Times New Roman"/>
                <w:sz w:val="18"/>
                <w:szCs w:val="18"/>
              </w:rPr>
            </w:pPr>
            <w:r w:rsidRPr="007B5603">
              <w:rPr>
                <w:rFonts w:ascii="Calibri" w:hAnsi="Calibri" w:cs="Times New Roman"/>
                <w:sz w:val="18"/>
                <w:szCs w:val="18"/>
              </w:rPr>
              <w:t>3237.87, 14.15%</w:t>
            </w:r>
          </w:p>
        </w:tc>
      </w:tr>
    </w:tbl>
    <w:p w:rsidR="002F32D7" w:rsidRPr="006D4CA9" w:rsidRDefault="002F32D7" w:rsidP="002F32D7">
      <w:pPr>
        <w:snapToGrid w:val="0"/>
        <w:rPr>
          <w:rFonts w:ascii="Calibri" w:hAnsi="Calibri"/>
        </w:rPr>
      </w:pPr>
    </w:p>
    <w:p w:rsidR="003E4353" w:rsidRDefault="003E4353"/>
    <w:sectPr w:rsidR="003E4353" w:rsidSect="006D4CA9">
      <w:pgSz w:w="16838" w:h="11906" w:orient="landscape"/>
      <w:pgMar w:top="1134" w:right="1418" w:bottom="1134" w:left="1418" w:header="851" w:footer="992" w:gutter="0"/>
      <w:lnNumType w:countBy="1" w:restart="continuous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D7"/>
    <w:rsid w:val="000719C0"/>
    <w:rsid w:val="00150DD7"/>
    <w:rsid w:val="00245F74"/>
    <w:rsid w:val="002F32D7"/>
    <w:rsid w:val="003E4353"/>
    <w:rsid w:val="004C3114"/>
    <w:rsid w:val="00640E58"/>
    <w:rsid w:val="007B7D94"/>
    <w:rsid w:val="008161CC"/>
    <w:rsid w:val="00837CD4"/>
    <w:rsid w:val="0084354B"/>
    <w:rsid w:val="00A11593"/>
    <w:rsid w:val="00C07C5D"/>
    <w:rsid w:val="00CD0ABD"/>
    <w:rsid w:val="00CF0456"/>
    <w:rsid w:val="00F8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F9BAF-9F7C-496B-947A-DE7D44B7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2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3"/>
    <w:uiPriority w:val="39"/>
    <w:rsid w:val="002F3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2F3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743</Words>
  <Characters>4238</Characters>
  <Application>Microsoft Office Word</Application>
  <DocSecurity>0</DocSecurity>
  <Lines>35</Lines>
  <Paragraphs>9</Paragraphs>
  <ScaleCrop>false</ScaleCrop>
  <Company>P R C</Company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2019-11-11T03:12:00Z</dcterms:created>
  <dcterms:modified xsi:type="dcterms:W3CDTF">2019-11-11T05:48:00Z</dcterms:modified>
</cp:coreProperties>
</file>