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9C021" w14:textId="77777777" w:rsidR="00117B05" w:rsidRPr="00251BCF" w:rsidRDefault="00117B05" w:rsidP="00117B05">
      <w:pPr>
        <w:spacing w:after="120" w:line="360" w:lineRule="auto"/>
        <w:ind w:left="284" w:hanging="284"/>
        <w:rPr>
          <w:b/>
          <w:i/>
          <w:lang w:val="en-US"/>
        </w:rPr>
      </w:pPr>
      <w:r w:rsidRPr="00251BCF">
        <w:rPr>
          <w:b/>
          <w:i/>
          <w:lang w:val="en-US"/>
        </w:rPr>
        <w:t>A</w:t>
      </w:r>
      <w:r w:rsidR="00B6536B">
        <w:rPr>
          <w:b/>
          <w:i/>
          <w:lang w:val="en-US"/>
        </w:rPr>
        <w:t>dditional file</w:t>
      </w:r>
      <w:r w:rsidRPr="00251BCF">
        <w:rPr>
          <w:b/>
          <w:i/>
          <w:lang w:val="en-US"/>
        </w:rPr>
        <w:t xml:space="preserve"> 1. Technical steps of the </w:t>
      </w:r>
      <w:r>
        <w:rPr>
          <w:b/>
          <w:i/>
          <w:lang w:val="en-GB"/>
        </w:rPr>
        <w:t>c</w:t>
      </w:r>
      <w:r w:rsidRPr="00251BCF">
        <w:rPr>
          <w:b/>
          <w:i/>
          <w:lang w:val="en-GB"/>
        </w:rPr>
        <w:t>onstruction of a tree-level HBD</w:t>
      </w:r>
    </w:p>
    <w:p w14:paraId="711C9A96" w14:textId="77777777" w:rsidR="00117B05" w:rsidRDefault="00117B05" w:rsidP="00117B05">
      <w:pPr>
        <w:spacing w:line="480" w:lineRule="auto"/>
        <w:ind w:firstLine="539"/>
        <w:jc w:val="both"/>
        <w:rPr>
          <w:lang w:val="en-US"/>
        </w:rPr>
      </w:pPr>
      <w:r>
        <w:rPr>
          <w:lang w:val="en-US"/>
        </w:rPr>
        <w:t>The individual tree HBD is a core element in our analysis. For each sample tree (that is: trees that have biomass parts above the plot area), its HBD needed to be generated. As a first approximation, we built a general model for this distribution that assumes circular crown projection areas and point symmetry around the upright stem axis. Refinements of these assumptions will be the subject of further research.</w:t>
      </w:r>
    </w:p>
    <w:p w14:paraId="71635C35" w14:textId="77777777" w:rsidR="00117B05" w:rsidRDefault="00117B05" w:rsidP="00117B05">
      <w:pPr>
        <w:spacing w:line="480" w:lineRule="auto"/>
        <w:ind w:firstLine="539"/>
        <w:jc w:val="both"/>
        <w:rPr>
          <w:lang w:val="en-US"/>
        </w:rPr>
      </w:pPr>
      <w:r>
        <w:rPr>
          <w:lang w:val="en-US"/>
        </w:rPr>
        <w:t xml:space="preserve">First, we predicted the AGB for each tree separately for the compartments stem, branches and foliage using models provided in </w:t>
      </w:r>
      <w:r w:rsidRPr="00743AB1">
        <w:rPr>
          <w:lang w:val="en-US"/>
        </w:rPr>
        <w:t xml:space="preserve">Bartelink </w:t>
      </w:r>
      <w:r w:rsidRPr="00743AB1">
        <w:rPr>
          <w:lang w:val="en-US"/>
        </w:rPr>
        <w:fldChar w:fldCharType="begin"/>
      </w:r>
      <w:r w:rsidRPr="00743AB1">
        <w:rPr>
          <w:lang w:val="en-US"/>
        </w:rPr>
        <w:instrText>ADDIN RW.CITE{{1145 Bartelink,H.H. 1997 /a}}</w:instrText>
      </w:r>
      <w:r w:rsidRPr="00743AB1">
        <w:rPr>
          <w:lang w:val="en-US"/>
        </w:rPr>
        <w:fldChar w:fldCharType="separate"/>
      </w:r>
      <w:r>
        <w:rPr>
          <w:bCs/>
          <w:lang w:val="en-GB"/>
        </w:rPr>
        <w:t>(</w:t>
      </w:r>
      <w:r w:rsidRPr="00704F9D">
        <w:rPr>
          <w:bCs/>
          <w:lang w:val="en-GB"/>
        </w:rPr>
        <w:t>1997)</w:t>
      </w:r>
      <w:r w:rsidRPr="00743AB1">
        <w:rPr>
          <w:lang w:val="en-US"/>
        </w:rPr>
        <w:fldChar w:fldCharType="end"/>
      </w:r>
      <w:r>
        <w:rPr>
          <w:lang w:val="en-US"/>
        </w:rPr>
        <w:t>. Next, we addressed the spatial distribution of each biomass component across a horizontally projected crown area: f</w:t>
      </w:r>
      <w:r w:rsidRPr="00743AB1">
        <w:rPr>
          <w:lang w:val="en-US"/>
        </w:rPr>
        <w:t>or the stem</w:t>
      </w:r>
      <w:r>
        <w:rPr>
          <w:lang w:val="en-US"/>
        </w:rPr>
        <w:t xml:space="preserve"> biomass</w:t>
      </w:r>
      <w:r w:rsidRPr="00743AB1">
        <w:rPr>
          <w:lang w:val="en-US"/>
        </w:rPr>
        <w:t xml:space="preserve">, </w:t>
      </w:r>
      <w:r>
        <w:rPr>
          <w:lang w:val="en-US"/>
        </w:rPr>
        <w:t>we assumed a distribution within the confinements of</w:t>
      </w:r>
      <w:r w:rsidRPr="00743AB1">
        <w:rPr>
          <w:lang w:val="en-US"/>
        </w:rPr>
        <w:t xml:space="preserve"> </w:t>
      </w:r>
      <w:r>
        <w:rPr>
          <w:lang w:val="en-US"/>
        </w:rPr>
        <w:t xml:space="preserve">a </w:t>
      </w:r>
      <w:r w:rsidRPr="00743AB1">
        <w:rPr>
          <w:lang w:val="en-US"/>
        </w:rPr>
        <w:t xml:space="preserve">cone </w:t>
      </w:r>
      <w:r>
        <w:rPr>
          <w:lang w:val="en-US"/>
        </w:rPr>
        <w:t>(</w:t>
      </w:r>
      <w:r w:rsidRPr="00743AB1">
        <w:rPr>
          <w:lang w:val="en-US"/>
        </w:rPr>
        <w:t>centered at the tree position</w:t>
      </w:r>
      <w:r>
        <w:rPr>
          <w:lang w:val="en-US"/>
        </w:rPr>
        <w:t>)</w:t>
      </w:r>
      <w:r w:rsidRPr="00743AB1">
        <w:rPr>
          <w:lang w:val="en-US"/>
        </w:rPr>
        <w:t xml:space="preserve"> with </w:t>
      </w:r>
      <w:r>
        <w:rPr>
          <w:lang w:val="en-US"/>
        </w:rPr>
        <w:t>a basal diameter (</w:t>
      </w:r>
      <w:r>
        <w:rPr>
          <w:i/>
          <w:lang w:val="en-US"/>
        </w:rPr>
        <w:t>BD</w:t>
      </w:r>
      <w:r>
        <w:rPr>
          <w:lang w:val="en-US"/>
        </w:rPr>
        <w:t xml:space="preserve">) at ground level (height zero) predicted from the </w:t>
      </w:r>
      <w:r w:rsidRPr="00205FF9">
        <w:rPr>
          <w:i/>
          <w:lang w:val="en-US"/>
        </w:rPr>
        <w:t>dbh</w:t>
      </w:r>
      <w:r>
        <w:rPr>
          <w:lang w:val="en-US"/>
        </w:rPr>
        <w:t xml:space="preserve"> (assuming a cone shape) and tree height. </w:t>
      </w:r>
    </w:p>
    <w:p w14:paraId="0BD556DE" w14:textId="7BA135DF" w:rsidR="00117B05" w:rsidRPr="00926994" w:rsidRDefault="00117B05" w:rsidP="00117B05">
      <w:pPr>
        <w:spacing w:line="480" w:lineRule="auto"/>
        <w:ind w:firstLine="539"/>
        <w:jc w:val="both"/>
        <w:rPr>
          <w:lang w:val="en-US"/>
        </w:rPr>
      </w:pPr>
      <w:r>
        <w:rPr>
          <w:lang w:val="en-US"/>
        </w:rPr>
        <w:t xml:space="preserve">To predict branch biomass at a given distance from the stem center, we used models developed by Pérez-Cruzado et al. (in preparation) for beech from nearby the study stand. The branch biomass at a given distance from the stem center was estimated using a model proposed by </w:t>
      </w:r>
      <w:r w:rsidRPr="00743AB1">
        <w:rPr>
          <w:bCs/>
          <w:lang w:val="en-GB"/>
        </w:rPr>
        <w:t xml:space="preserve">Max and </w:t>
      </w:r>
      <w:r w:rsidR="00DF1870">
        <w:t>Burkhart</w:t>
      </w:r>
      <w:r w:rsidR="00DF1870" w:rsidRPr="00743AB1">
        <w:rPr>
          <w:bCs/>
          <w:lang w:val="en-GB"/>
        </w:rPr>
        <w:t xml:space="preserve"> </w:t>
      </w:r>
      <w:r w:rsidRPr="00743AB1">
        <w:rPr>
          <w:bCs/>
          <w:lang w:val="en-GB"/>
        </w:rPr>
        <w:fldChar w:fldCharType="begin"/>
      </w:r>
      <w:r w:rsidRPr="00743AB1">
        <w:rPr>
          <w:bCs/>
          <w:lang w:val="en-GB"/>
        </w:rPr>
        <w:instrText>ADDIN RW.CITE{{1230 Max,T.A. 1976 /a}}</w:instrText>
      </w:r>
      <w:r w:rsidRPr="00743AB1">
        <w:rPr>
          <w:bCs/>
          <w:lang w:val="en-GB"/>
        </w:rPr>
        <w:fldChar w:fldCharType="separate"/>
      </w:r>
      <w:r w:rsidRPr="00704F9D">
        <w:rPr>
          <w:bCs/>
          <w:lang w:val="en-GB"/>
        </w:rPr>
        <w:t>(1976)</w:t>
      </w:r>
      <w:r w:rsidRPr="00743AB1">
        <w:rPr>
          <w:bCs/>
          <w:lang w:val="en-GB"/>
        </w:rPr>
        <w:fldChar w:fldCharType="end"/>
      </w:r>
      <w:r w:rsidRPr="00743AB1">
        <w:rPr>
          <w:bCs/>
          <w:lang w:val="en-GB"/>
        </w:rPr>
        <w:t xml:space="preserve"> </w:t>
      </w:r>
      <w:r>
        <w:rPr>
          <w:bCs/>
          <w:lang w:val="en-GB"/>
        </w:rPr>
        <w:t>for stem taper</w:t>
      </w:r>
      <w:r w:rsidRPr="00743AB1">
        <w:rPr>
          <w:bCs/>
          <w:lang w:val="en-GB"/>
        </w:rPr>
        <w:t>:</w:t>
      </w:r>
      <w:bookmarkStart w:id="0" w:name="_GoBack"/>
      <w:bookmarkEnd w:id="0"/>
    </w:p>
    <w:tbl>
      <w:tblPr>
        <w:tblStyle w:val="TableGrid"/>
        <w:tblW w:w="9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1694"/>
      </w:tblGrid>
      <w:tr w:rsidR="00117B05" w:rsidRPr="00743AB1" w14:paraId="11D54EF0" w14:textId="77777777" w:rsidTr="00F64BE7">
        <w:tc>
          <w:tcPr>
            <w:tcW w:w="7763" w:type="dxa"/>
          </w:tcPr>
          <w:p w14:paraId="12722EA2" w14:textId="77777777" w:rsidR="00117B05" w:rsidRPr="00743AB1" w:rsidRDefault="00117B05" w:rsidP="00F64BE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wb=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-0.0047</m:t>
                        </m:r>
                        <m:r>
                          <w:rPr>
                            <w:rFonts w:ascii="Cambria Math" w:hAnsi="Cambria Math" w:hint="eastAsia"/>
                            <w:sz w:val="20"/>
                            <w:szCs w:val="20"/>
                            <w:lang w:val="en-GB"/>
                          </w:rPr>
                          <m:t>·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GB"/>
                              </w:rPr>
                              <m:t>RCR-1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+0.0024</m:t>
                        </m:r>
                        <m:r>
                          <w:rPr>
                            <w:rFonts w:ascii="Cambria Math" w:hAnsi="Cambria Math" w:hint="eastAsia"/>
                            <w:sz w:val="20"/>
                            <w:szCs w:val="20"/>
                            <w:lang w:val="en-GB"/>
                          </w:rPr>
                          <m:t>·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GB"/>
                              </w:rPr>
                              <m:t>RCR²-1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+0.0366</m:t>
                        </m:r>
                        <m:r>
                          <w:rPr>
                            <w:rFonts w:ascii="Cambria Math" w:hAnsi="Cambria Math" w:hint="eastAsia"/>
                            <w:sz w:val="20"/>
                            <w:szCs w:val="20"/>
                            <w:lang w:val="en-GB"/>
                          </w:rPr>
                          <m:t>·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GB"/>
                                  </w:rPr>
                                  <m:t>0.6654-RCR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GB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hint="eastAsia"/>
                            <w:sz w:val="20"/>
                            <w:szCs w:val="20"/>
                            <w:lang w:val="en-GB"/>
                          </w:rPr>
                          <m:t>·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GB"/>
                              </w:rPr>
                              <m:t>max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en-GB"/>
                                      </w:rPr>
                                      <m:t>0.6654-RCR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GB"/>
                                  </w:rPr>
                                  <m:t>, 0</m:t>
                                </m:r>
                              </m:e>
                            </m:d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lang w:val="en-GB"/>
                                  </w:rPr>
                                  <m:t>0.6654-RCR</m:t>
                                </m:r>
                              </m:e>
                            </m:d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0.5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+ε</m:t>
                </m:r>
              </m:oMath>
            </m:oMathPara>
          </w:p>
        </w:tc>
        <w:tc>
          <w:tcPr>
            <w:tcW w:w="1694" w:type="dxa"/>
            <w:vAlign w:val="center"/>
          </w:tcPr>
          <w:p w14:paraId="4173C83B" w14:textId="77777777" w:rsidR="00117B05" w:rsidRPr="00743AB1" w:rsidRDefault="00117B05" w:rsidP="00F64BE7">
            <w:pPr>
              <w:spacing w:line="480" w:lineRule="auto"/>
              <w:jc w:val="center"/>
              <w:rPr>
                <w:lang w:val="en-GB"/>
              </w:rPr>
            </w:pPr>
            <w:r w:rsidRPr="00743AB1">
              <w:rPr>
                <w:lang w:val="en-GB"/>
              </w:rPr>
              <w:t>[1]</w:t>
            </w:r>
          </w:p>
        </w:tc>
      </w:tr>
    </w:tbl>
    <w:p w14:paraId="3F41F5F3" w14:textId="77777777" w:rsidR="00117B05" w:rsidRPr="00926994" w:rsidRDefault="00117B05" w:rsidP="00117B05">
      <w:pPr>
        <w:spacing w:line="480" w:lineRule="auto"/>
        <w:jc w:val="both"/>
        <w:rPr>
          <w:lang w:val="en-GB"/>
        </w:rPr>
      </w:pPr>
      <w:r w:rsidRPr="00743AB1">
        <w:rPr>
          <w:lang w:val="en-GB"/>
        </w:rPr>
        <w:t xml:space="preserve">where </w:t>
      </w:r>
      <w:r w:rsidRPr="00743AB1">
        <w:rPr>
          <w:i/>
          <w:lang w:val="en-GB"/>
        </w:rPr>
        <w:t>w</w:t>
      </w:r>
      <w:r>
        <w:rPr>
          <w:i/>
          <w:lang w:val="en-GB"/>
        </w:rPr>
        <w:t>b</w:t>
      </w:r>
      <w:r w:rsidRPr="00743AB1">
        <w:rPr>
          <w:lang w:val="en-GB"/>
        </w:rPr>
        <w:t xml:space="preserve"> is the standardized branch biomass density at the relative crown radi</w:t>
      </w:r>
      <w:r>
        <w:rPr>
          <w:lang w:val="en-GB"/>
        </w:rPr>
        <w:t>us</w:t>
      </w:r>
      <w:r w:rsidRPr="00743AB1">
        <w:rPr>
          <w:lang w:val="en-GB"/>
        </w:rPr>
        <w:t xml:space="preserve"> </w:t>
      </w:r>
      <w:r>
        <w:rPr>
          <w:i/>
          <w:lang w:val="en-GB"/>
        </w:rPr>
        <w:t>RCR</w:t>
      </w:r>
      <w:r w:rsidRPr="00275B2E">
        <w:rPr>
          <w:i/>
          <w:vertAlign w:val="subscript"/>
          <w:lang w:val="en-GB"/>
        </w:rPr>
        <w:t xml:space="preserve"> </w:t>
      </w:r>
      <w:r w:rsidRPr="00275B2E">
        <w:rPr>
          <w:lang w:val="en-GB"/>
        </w:rPr>
        <w:t>(</w:t>
      </w:r>
      <w:r w:rsidRPr="00275B2E">
        <w:rPr>
          <w:i/>
          <w:lang w:val="en-GB"/>
        </w:rPr>
        <w:t>RCR</w:t>
      </w:r>
      <w:r>
        <w:rPr>
          <w:lang w:val="en-GB"/>
        </w:rPr>
        <w:t>=</w:t>
      </w:r>
      <w:r w:rsidRPr="00275B2E">
        <w:rPr>
          <w:i/>
          <w:lang w:val="en-GB"/>
        </w:rPr>
        <w:t>CR</w:t>
      </w:r>
      <w:r w:rsidRPr="00275B2E">
        <w:rPr>
          <w:i/>
          <w:vertAlign w:val="subscript"/>
          <w:lang w:val="en-GB"/>
        </w:rPr>
        <w:t>i</w:t>
      </w:r>
      <w:r>
        <w:rPr>
          <w:lang w:val="en-GB"/>
        </w:rPr>
        <w:t>/</w:t>
      </w:r>
      <w:r w:rsidRPr="00275B2E">
        <w:rPr>
          <w:i/>
          <w:lang w:val="en-GB"/>
        </w:rPr>
        <w:t>CD</w:t>
      </w:r>
      <w:r>
        <w:rPr>
          <w:i/>
          <w:lang w:val="en-GB"/>
        </w:rPr>
        <w:t>max</w:t>
      </w:r>
      <w:r w:rsidRPr="00926994">
        <w:rPr>
          <w:i/>
          <w:vertAlign w:val="subscript"/>
          <w:lang w:val="en-GB"/>
        </w:rPr>
        <w:t>i</w:t>
      </w:r>
      <w:r>
        <w:rPr>
          <w:lang w:val="en-GB"/>
        </w:rPr>
        <w:t>/2</w:t>
      </w:r>
      <w:r w:rsidRPr="00275B2E">
        <w:rPr>
          <w:lang w:val="en-GB"/>
        </w:rPr>
        <w:t>)</w:t>
      </w:r>
      <w:r w:rsidRPr="00743AB1">
        <w:rPr>
          <w:lang w:val="en-GB"/>
        </w:rPr>
        <w:t xml:space="preserve"> </w:t>
      </w:r>
      <w:r>
        <w:rPr>
          <w:lang w:val="en-GB"/>
        </w:rPr>
        <w:t xml:space="preserve">for the tree </w:t>
      </w:r>
      <w:r>
        <w:rPr>
          <w:i/>
          <w:lang w:val="en-GB"/>
        </w:rPr>
        <w:t xml:space="preserve">i; </w:t>
      </w:r>
      <w:r w:rsidRPr="00743AB1">
        <w:rPr>
          <w:lang w:val="en-GB"/>
        </w:rPr>
        <w:t xml:space="preserve">and </w:t>
      </w:r>
      <w:r w:rsidRPr="00743AB1">
        <w:rPr>
          <w:i/>
          <w:sz w:val="18"/>
          <w:lang w:val="en-GB"/>
        </w:rPr>
        <w:t>Ɛ</w:t>
      </w:r>
      <w:r w:rsidRPr="00743AB1">
        <w:rPr>
          <w:lang w:val="en-GB"/>
        </w:rPr>
        <w:t xml:space="preserve"> is a random error term.</w:t>
      </w:r>
      <w:r>
        <w:rPr>
          <w:lang w:val="en-GB"/>
        </w:rPr>
        <w:t xml:space="preserve"> Thus, branch biomass </w:t>
      </w:r>
      <w:r>
        <w:rPr>
          <w:lang w:val="en-US"/>
        </w:rPr>
        <w:t xml:space="preserve">is assumed to decrease with the distance to the center of the stem. At a distance of </w:t>
      </w:r>
      <w:r w:rsidRPr="00F17917">
        <w:rPr>
          <w:i/>
          <w:lang w:val="en-US"/>
        </w:rPr>
        <w:t>CD</w:t>
      </w:r>
      <w:r>
        <w:rPr>
          <w:i/>
          <w:lang w:val="en-US"/>
        </w:rPr>
        <w:t>max</w:t>
      </w:r>
      <w:r>
        <w:rPr>
          <w:lang w:val="en-US"/>
        </w:rPr>
        <w:t>/2, the branch biomass density approaches zero (Figure 2).</w:t>
      </w:r>
    </w:p>
    <w:p w14:paraId="60853DEC" w14:textId="77777777" w:rsidR="00117B05" w:rsidRDefault="00117B05" w:rsidP="00117B05">
      <w:pPr>
        <w:spacing w:line="480" w:lineRule="auto"/>
        <w:ind w:firstLine="539"/>
        <w:jc w:val="both"/>
        <w:rPr>
          <w:lang w:val="en-US"/>
        </w:rPr>
      </w:pPr>
      <w:r>
        <w:rPr>
          <w:lang w:val="en-GB"/>
        </w:rPr>
        <w:lastRenderedPageBreak/>
        <w:t>The horizontal distribution of foliage biomass is modelled as a two-parameter Weibull probability density function. This approach has been previously used to characterize the horizontal distribution of foliage for different species and crown positions (e.g. Kershaw and Maguire, 1996; Xu and Harrington, 1998). Following the results of an as of yet unpublished empirical study</w:t>
      </w:r>
      <w:r>
        <w:rPr>
          <w:lang w:val="en-US"/>
        </w:rPr>
        <w:t>, w</w:t>
      </w:r>
      <w:r>
        <w:rPr>
          <w:lang w:val="en-GB"/>
        </w:rPr>
        <w:t>e assume a scale parameter equal to 0.61, and a shape parameter equal to 3.55.</w:t>
      </w:r>
    </w:p>
    <w:p w14:paraId="72A56DFC" w14:textId="77777777" w:rsidR="00117B05" w:rsidRDefault="00117B05" w:rsidP="00117B05">
      <w:pPr>
        <w:spacing w:line="360" w:lineRule="auto"/>
        <w:ind w:left="284" w:hanging="284"/>
        <w:rPr>
          <w:lang w:val="en-US"/>
        </w:rPr>
      </w:pPr>
      <w:r>
        <w:rPr>
          <w:lang w:val="en-US"/>
        </w:rPr>
        <w:t>Figure 2 illustrates the profile of that distribution.</w:t>
      </w:r>
    </w:p>
    <w:p w14:paraId="4F7941ED" w14:textId="77777777" w:rsidR="003672FE" w:rsidRPr="00117B05" w:rsidRDefault="003672FE">
      <w:pPr>
        <w:rPr>
          <w:lang w:val="en-US"/>
        </w:rPr>
      </w:pPr>
    </w:p>
    <w:sectPr w:rsidR="003672FE" w:rsidRPr="00117B05" w:rsidSect="00117B05">
      <w:pgSz w:w="11906" w:h="16838"/>
      <w:pgMar w:top="1418" w:right="1134" w:bottom="1361" w:left="1134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62EAA4" w16cid:durableId="232703E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17B05"/>
    <w:rsid w:val="00117B05"/>
    <w:rsid w:val="003672FE"/>
    <w:rsid w:val="007322E1"/>
    <w:rsid w:val="00B6536B"/>
    <w:rsid w:val="00D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319C5"/>
  <w15:docId w15:val="{F530CDBD-D788-47D5-956B-90A7AD8D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05"/>
    <w:rPr>
      <w:rFonts w:ascii="Times New Roman" w:hAnsi="Times New Roman" w:cs="Times New Roman"/>
      <w:kern w:val="0"/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7B05"/>
    <w:rPr>
      <w:rFonts w:ascii="Times New Roman" w:hAnsi="Times New Roman" w:cs="Times New Roman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53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36B"/>
    <w:rPr>
      <w:rFonts w:ascii="Tahoma" w:hAnsi="Tahoma" w:cs="Tahoma"/>
      <w:kern w:val="0"/>
      <w:sz w:val="16"/>
      <w:szCs w:val="16"/>
      <w:lang w:val="es-ES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732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2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2E1"/>
    <w:rPr>
      <w:rFonts w:ascii="Times New Roman" w:hAnsi="Times New Roman" w:cs="Times New Roman"/>
      <w:kern w:val="0"/>
      <w:sz w:val="20"/>
      <w:szCs w:val="20"/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2E1"/>
    <w:rPr>
      <w:rFonts w:ascii="Times New Roman" w:hAnsi="Times New Roman" w:cs="Times New Roman"/>
      <w:b/>
      <w:bCs/>
      <w:kern w:val="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Real, Francis Frank</cp:lastModifiedBy>
  <cp:revision>4</cp:revision>
  <dcterms:created xsi:type="dcterms:W3CDTF">2020-09-25T01:59:00Z</dcterms:created>
  <dcterms:modified xsi:type="dcterms:W3CDTF">2020-10-10T18:43:00Z</dcterms:modified>
</cp:coreProperties>
</file>