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5F1" w:rsidRDefault="009F45F1">
      <w:bookmarkStart w:id="0" w:name="_GoBack"/>
      <w:bookmarkEnd w:id="0"/>
    </w:p>
    <w:p w:rsidR="009F45F1" w:rsidRDefault="009F45F1"/>
    <w:p w:rsidR="009F45F1" w:rsidRPr="00BD66B2" w:rsidRDefault="009F45F1" w:rsidP="009F45F1">
      <w:pPr>
        <w:spacing w:line="480" w:lineRule="auto"/>
        <w:jc w:val="both"/>
        <w:outlineLvl w:val="0"/>
        <w:rPr>
          <w:rFonts w:ascii="Arial" w:hAnsi="Arial" w:cs="Arial"/>
          <w:u w:val="single"/>
        </w:rPr>
      </w:pPr>
      <w:r w:rsidRPr="00BD66B2">
        <w:rPr>
          <w:rFonts w:ascii="Arial" w:hAnsi="Arial" w:cs="Arial"/>
          <w:u w:val="single"/>
        </w:rPr>
        <w:t>Supplementary Figures</w:t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  <w:r w:rsidRPr="00BD66B2">
        <w:rPr>
          <w:rFonts w:ascii="Arial" w:hAnsi="Arial" w:cs="Arial"/>
          <w:noProof/>
        </w:rPr>
        <w:drawing>
          <wp:inline distT="0" distB="0" distL="0" distR="0" wp14:anchorId="697BCA8D" wp14:editId="4D1678C9">
            <wp:extent cx="5816600" cy="2641600"/>
            <wp:effectExtent l="0" t="0" r="0" b="0"/>
            <wp:docPr id="17" name="Picture 17" descr="Fig.%20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.%20S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  <w:b/>
        </w:rPr>
      </w:pPr>
      <w:r w:rsidRPr="00BD66B2">
        <w:rPr>
          <w:rFonts w:ascii="Arial" w:hAnsi="Arial" w:cs="Arial"/>
          <w:b/>
        </w:rPr>
        <w:t>Figure S1</w:t>
      </w:r>
      <w:r w:rsidRPr="00BD66B2">
        <w:rPr>
          <w:rFonts w:ascii="Arial" w:hAnsi="Arial" w:cs="Arial"/>
          <w:b/>
        </w:rPr>
        <w:tab/>
        <w:t xml:space="preserve">Integration strategy and Southern analysis of TPMW2.3 harboring the nitrate inducible </w:t>
      </w:r>
      <w:r w:rsidRPr="00BD66B2">
        <w:rPr>
          <w:rFonts w:ascii="Arial" w:hAnsi="Arial" w:cs="Arial"/>
          <w:b/>
          <w:i/>
        </w:rPr>
        <w:t>aflR</w:t>
      </w:r>
      <w:r w:rsidRPr="00BD66B2">
        <w:rPr>
          <w:rFonts w:ascii="Arial" w:hAnsi="Arial" w:cs="Arial"/>
          <w:b/>
        </w:rPr>
        <w:t>/</w:t>
      </w:r>
      <w:r w:rsidRPr="00BD66B2">
        <w:rPr>
          <w:rFonts w:ascii="Arial" w:hAnsi="Arial" w:cs="Arial"/>
          <w:b/>
          <w:i/>
        </w:rPr>
        <w:t>S</w:t>
      </w:r>
      <w:r w:rsidRPr="00BD66B2">
        <w:rPr>
          <w:rFonts w:ascii="Arial" w:hAnsi="Arial" w:cs="Arial"/>
          <w:b/>
        </w:rPr>
        <w:t xml:space="preserve"> genes at the native sterigmatocystin cluster locus in LO8030</w:t>
      </w:r>
    </w:p>
    <w:p w:rsidR="009F45F1" w:rsidRPr="00BD66B2" w:rsidRDefault="009F45F1" w:rsidP="009F45F1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Integration strategy of the </w:t>
      </w:r>
      <w:r w:rsidRPr="00BD66B2">
        <w:rPr>
          <w:rFonts w:ascii="Arial" w:hAnsi="Arial" w:cs="Arial"/>
          <w:i/>
        </w:rPr>
        <w:t>niaD/niiA</w:t>
      </w:r>
      <w:r w:rsidRPr="00BD66B2">
        <w:rPr>
          <w:rFonts w:ascii="Arial" w:hAnsi="Arial" w:cs="Arial"/>
        </w:rPr>
        <w:t xml:space="preserve">-driven </w:t>
      </w:r>
      <w:r w:rsidRPr="00BD66B2">
        <w:rPr>
          <w:rFonts w:ascii="Arial" w:hAnsi="Arial" w:cs="Arial"/>
          <w:i/>
        </w:rPr>
        <w:t>aflR/S</w:t>
      </w:r>
      <w:r w:rsidRPr="00BD66B2">
        <w:rPr>
          <w:rFonts w:ascii="Arial" w:hAnsi="Arial" w:cs="Arial"/>
        </w:rPr>
        <w:t xml:space="preserve"> construct at the sterigmatocystin cluster locus in LO8030. </w:t>
      </w:r>
      <w:r w:rsidRPr="00BD66B2">
        <w:rPr>
          <w:rFonts w:ascii="Arial" w:hAnsi="Arial" w:cs="Arial"/>
          <w:i/>
        </w:rPr>
        <w:t>Eco</w:t>
      </w:r>
      <w:r w:rsidRPr="00BD66B2">
        <w:rPr>
          <w:rFonts w:ascii="Arial" w:hAnsi="Arial" w:cs="Arial"/>
        </w:rPr>
        <w:t>RI restriction sites are indicated in all strains and flanks used for hybridization are highlighted in bold.</w:t>
      </w:r>
    </w:p>
    <w:p w:rsidR="009F45F1" w:rsidRPr="00BD66B2" w:rsidRDefault="009F45F1" w:rsidP="009F45F1">
      <w:pPr>
        <w:numPr>
          <w:ilvl w:val="0"/>
          <w:numId w:val="1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>Southern blot analysis of indicated strains. Restriction</w:t>
      </w:r>
      <w:r>
        <w:rPr>
          <w:rFonts w:ascii="Arial" w:hAnsi="Arial" w:cs="Arial"/>
        </w:rPr>
        <w:t xml:space="preserve"> </w:t>
      </w:r>
      <w:r w:rsidRPr="00864962">
        <w:rPr>
          <w:rFonts w:ascii="Arial" w:hAnsi="Arial" w:cs="Arial"/>
          <w:highlight w:val="yellow"/>
        </w:rPr>
        <w:t>digest</w:t>
      </w:r>
      <w:r w:rsidRPr="00BD66B2">
        <w:rPr>
          <w:rFonts w:ascii="Arial" w:hAnsi="Arial" w:cs="Arial"/>
        </w:rPr>
        <w:t xml:space="preserve"> was carried out with </w:t>
      </w:r>
      <w:r w:rsidRPr="00BD66B2">
        <w:rPr>
          <w:rFonts w:ascii="Arial" w:hAnsi="Arial" w:cs="Arial"/>
          <w:i/>
        </w:rPr>
        <w:t>Eco</w:t>
      </w:r>
      <w:r w:rsidRPr="00BD66B2">
        <w:rPr>
          <w:rFonts w:ascii="Arial" w:hAnsi="Arial" w:cs="Arial"/>
        </w:rPr>
        <w:t>RI and blots were hybridized with indicated flanks shown in panel A.</w:t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  <w:r w:rsidRPr="00BD66B2">
        <w:rPr>
          <w:rFonts w:ascii="Arial" w:hAnsi="Arial" w:cs="Arial"/>
          <w:noProof/>
        </w:rPr>
        <w:drawing>
          <wp:inline distT="0" distB="0" distL="0" distR="0" wp14:anchorId="722490A2" wp14:editId="7FCD79FA">
            <wp:extent cx="17145" cy="17145"/>
            <wp:effectExtent l="0" t="0" r="0" b="0"/>
            <wp:docPr id="16" name="Picture 16" descr="Fig.%20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.%20S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  <w:b/>
        </w:rPr>
      </w:pPr>
      <w:r w:rsidRPr="00BD66B2">
        <w:rPr>
          <w:rFonts w:ascii="Arial" w:hAnsi="Arial" w:cs="Arial"/>
          <w:b/>
          <w:noProof/>
        </w:rPr>
        <w:lastRenderedPageBreak/>
        <w:drawing>
          <wp:inline distT="0" distB="0" distL="0" distR="0" wp14:anchorId="08CD7804" wp14:editId="4D81DF3C">
            <wp:extent cx="5867400" cy="4097655"/>
            <wp:effectExtent l="0" t="0" r="0" b="0"/>
            <wp:docPr id="15" name="Picture 15" descr="../Box%20Sync/STC%20System/Paper/Fig.%20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Box%20Sync/STC%20System/Paper/Fig.%20S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6B2">
        <w:rPr>
          <w:rFonts w:ascii="Arial" w:hAnsi="Arial" w:cs="Arial"/>
          <w:b/>
        </w:rPr>
        <w:t>Figure S2</w:t>
      </w:r>
      <w:r w:rsidRPr="00BD66B2">
        <w:rPr>
          <w:rFonts w:ascii="Arial" w:hAnsi="Arial" w:cs="Arial"/>
          <w:b/>
        </w:rPr>
        <w:tab/>
        <w:t xml:space="preserve">Integration strategy and Southern analysis of </w:t>
      </w:r>
      <w:r w:rsidRPr="00BD66B2">
        <w:rPr>
          <w:rFonts w:ascii="Arial" w:hAnsi="Arial" w:cs="Arial"/>
          <w:b/>
          <w:i/>
        </w:rPr>
        <w:t xml:space="preserve">stc </w:t>
      </w:r>
      <w:r w:rsidRPr="00BD66B2">
        <w:rPr>
          <w:rFonts w:ascii="Arial" w:hAnsi="Arial" w:cs="Arial"/>
          <w:b/>
        </w:rPr>
        <w:t xml:space="preserve">promoter test strains driving </w:t>
      </w:r>
      <w:r w:rsidRPr="00BD66B2">
        <w:rPr>
          <w:rFonts w:ascii="Arial" w:hAnsi="Arial" w:cs="Arial"/>
          <w:b/>
          <w:i/>
        </w:rPr>
        <w:t>pyrG</w:t>
      </w:r>
      <w:r w:rsidRPr="00BD66B2">
        <w:rPr>
          <w:rFonts w:ascii="Arial" w:hAnsi="Arial" w:cs="Arial"/>
          <w:b/>
        </w:rPr>
        <w:t xml:space="preserve"> intograted at the </w:t>
      </w:r>
      <w:r w:rsidRPr="00BD66B2">
        <w:rPr>
          <w:rFonts w:ascii="Arial" w:hAnsi="Arial" w:cs="Arial"/>
          <w:b/>
          <w:i/>
        </w:rPr>
        <w:t>yA</w:t>
      </w:r>
      <w:r w:rsidRPr="00BD66B2">
        <w:rPr>
          <w:rFonts w:ascii="Arial" w:hAnsi="Arial" w:cs="Arial"/>
          <w:b/>
        </w:rPr>
        <w:t xml:space="preserve"> locus in TPMW2.3</w:t>
      </w:r>
    </w:p>
    <w:p w:rsidR="009F45F1" w:rsidRPr="00BD66B2" w:rsidRDefault="009F45F1" w:rsidP="009F45F1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Schematic overview of </w:t>
      </w:r>
      <w:r w:rsidRPr="00BD66B2">
        <w:rPr>
          <w:rFonts w:ascii="Arial" w:hAnsi="Arial" w:cs="Arial"/>
          <w:i/>
        </w:rPr>
        <w:t>Eco</w:t>
      </w:r>
      <w:r w:rsidRPr="00BD66B2">
        <w:rPr>
          <w:rFonts w:ascii="Arial" w:hAnsi="Arial" w:cs="Arial"/>
        </w:rPr>
        <w:t xml:space="preserve">RI restriction sites within the sterigmatocystin gene cluster in </w:t>
      </w:r>
      <w:r w:rsidRPr="00BD66B2">
        <w:rPr>
          <w:rFonts w:ascii="Arial" w:hAnsi="Arial" w:cs="Arial"/>
          <w:i/>
        </w:rPr>
        <w:t>A. nidulans</w:t>
      </w:r>
      <w:r w:rsidRPr="00BD66B2">
        <w:rPr>
          <w:rFonts w:ascii="Arial" w:hAnsi="Arial" w:cs="Arial"/>
        </w:rPr>
        <w:t xml:space="preserve"> TNO27A.</w:t>
      </w:r>
    </w:p>
    <w:p w:rsidR="009F45F1" w:rsidRPr="00BD66B2" w:rsidRDefault="009F45F1" w:rsidP="009F45F1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Southern analysis of strains harboring each of the </w:t>
      </w:r>
      <w:r w:rsidRPr="00BD66B2">
        <w:rPr>
          <w:rFonts w:ascii="Arial" w:hAnsi="Arial" w:cs="Arial"/>
          <w:i/>
        </w:rPr>
        <w:t>stc</w:t>
      </w:r>
      <w:r w:rsidRPr="00BD66B2">
        <w:rPr>
          <w:rFonts w:ascii="Arial" w:hAnsi="Arial" w:cs="Arial"/>
        </w:rPr>
        <w:t xml:space="preserve"> promoters in front of </w:t>
      </w:r>
      <w:r w:rsidRPr="00BD66B2">
        <w:rPr>
          <w:rFonts w:ascii="Arial" w:hAnsi="Arial" w:cs="Arial"/>
          <w:i/>
        </w:rPr>
        <w:t>pyrG</w:t>
      </w:r>
      <w:r w:rsidRPr="00BD66B2">
        <w:rPr>
          <w:rFonts w:ascii="Arial" w:hAnsi="Arial" w:cs="Arial"/>
        </w:rPr>
        <w:t xml:space="preserve">, the recipient strain TPMW2.3. and the control strain TPMW7.2. Restrictions were carried out with </w:t>
      </w:r>
      <w:r w:rsidRPr="00BD66B2">
        <w:rPr>
          <w:rFonts w:ascii="Arial" w:hAnsi="Arial" w:cs="Arial"/>
          <w:i/>
        </w:rPr>
        <w:t>Eco</w:t>
      </w:r>
      <w:r w:rsidRPr="00BD66B2">
        <w:rPr>
          <w:rFonts w:ascii="Arial" w:hAnsi="Arial" w:cs="Arial"/>
        </w:rPr>
        <w:t>RI and blots were hybridized with indicated flanks from panel C.</w:t>
      </w:r>
    </w:p>
    <w:p w:rsidR="009F45F1" w:rsidRPr="00BD66B2" w:rsidRDefault="009F45F1" w:rsidP="009F45F1">
      <w:pPr>
        <w:numPr>
          <w:ilvl w:val="0"/>
          <w:numId w:val="2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Integration strategy of the </w:t>
      </w:r>
      <w:r w:rsidRPr="00BD66B2">
        <w:rPr>
          <w:rFonts w:ascii="Arial" w:hAnsi="Arial" w:cs="Arial"/>
          <w:i/>
        </w:rPr>
        <w:t>stc</w:t>
      </w:r>
      <w:r w:rsidRPr="00BD66B2">
        <w:rPr>
          <w:rFonts w:ascii="Arial" w:hAnsi="Arial" w:cs="Arial"/>
        </w:rPr>
        <w:t xml:space="preserve">-promoter-driven </w:t>
      </w:r>
      <w:r w:rsidRPr="00BD66B2">
        <w:rPr>
          <w:rFonts w:ascii="Arial" w:hAnsi="Arial" w:cs="Arial"/>
          <w:i/>
        </w:rPr>
        <w:t>pyrG</w:t>
      </w:r>
      <w:r w:rsidRPr="00BD66B2">
        <w:rPr>
          <w:rFonts w:ascii="Arial" w:hAnsi="Arial" w:cs="Arial"/>
        </w:rPr>
        <w:t xml:space="preserve"> construct at the sterigmatocystin cluster locus in TPMW2.3. EcoRI restriction sites are indicated in all strains and flanks used for hybridization are highlighted in bold. Strains TAN1, </w:t>
      </w:r>
      <w:r w:rsidRPr="00BD66B2">
        <w:rPr>
          <w:rFonts w:ascii="Arial" w:hAnsi="Arial" w:cs="Arial"/>
        </w:rPr>
        <w:lastRenderedPageBreak/>
        <w:t xml:space="preserve">TAN2, and TAAS424 harbor an additional </w:t>
      </w:r>
      <w:r w:rsidRPr="00BD66B2">
        <w:rPr>
          <w:rFonts w:ascii="Arial" w:hAnsi="Arial" w:cs="Arial"/>
          <w:i/>
        </w:rPr>
        <w:t>Eco</w:t>
      </w:r>
      <w:r w:rsidRPr="00BD66B2">
        <w:rPr>
          <w:rFonts w:ascii="Arial" w:hAnsi="Arial" w:cs="Arial"/>
        </w:rPr>
        <w:t>RI restriction site causing hybridization of two fragments in panel B. Strain TAN11.1 shows an incorrect integration pattern in panel B.</w:t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  <w:r w:rsidRPr="00BD66B2">
        <w:rPr>
          <w:rFonts w:ascii="Arial" w:hAnsi="Arial" w:cs="Arial"/>
          <w:noProof/>
        </w:rPr>
        <w:drawing>
          <wp:inline distT="0" distB="0" distL="0" distR="0" wp14:anchorId="0A5DD9F7" wp14:editId="4D7F920D">
            <wp:extent cx="17145" cy="17145"/>
            <wp:effectExtent l="0" t="0" r="0" b="0"/>
            <wp:docPr id="14" name="Picture 14" descr="Fig.%20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%20S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6B2">
        <w:rPr>
          <w:rFonts w:ascii="Arial" w:hAnsi="Arial" w:cs="Arial"/>
          <w:noProof/>
        </w:rPr>
        <w:drawing>
          <wp:inline distT="0" distB="0" distL="0" distR="0" wp14:anchorId="3212D4D7" wp14:editId="177C06F6">
            <wp:extent cx="5884545" cy="2514600"/>
            <wp:effectExtent l="0" t="0" r="8255" b="0"/>
            <wp:docPr id="13" name="Picture 13" descr="../Box%20Sync/STC%20System/Paper/Fig.%20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Box%20Sync/STC%20System/Paper/Fig.%20S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  <w:b/>
        </w:rPr>
      </w:pPr>
      <w:bookmarkStart w:id="1" w:name="_3znysh7" w:colFirst="0" w:colLast="0"/>
      <w:bookmarkEnd w:id="1"/>
      <w:r w:rsidRPr="00BD66B2">
        <w:rPr>
          <w:rFonts w:ascii="Arial" w:hAnsi="Arial" w:cs="Arial"/>
          <w:b/>
        </w:rPr>
        <w:t>Figure S3</w:t>
      </w:r>
      <w:r w:rsidRPr="00BD66B2">
        <w:rPr>
          <w:rFonts w:ascii="Arial" w:hAnsi="Arial" w:cs="Arial"/>
          <w:b/>
        </w:rPr>
        <w:tab/>
        <w:t xml:space="preserve">Integration strategy and Southern analysis of the </w:t>
      </w:r>
      <w:r w:rsidRPr="00BD66B2">
        <w:rPr>
          <w:rFonts w:ascii="Arial" w:hAnsi="Arial" w:cs="Arial"/>
          <w:b/>
          <w:i/>
        </w:rPr>
        <w:t>A. nidulans</w:t>
      </w:r>
      <w:r w:rsidRPr="00BD66B2">
        <w:rPr>
          <w:rFonts w:ascii="Arial" w:hAnsi="Arial" w:cs="Arial"/>
          <w:b/>
        </w:rPr>
        <w:t xml:space="preserve"> strain TJSF2 harboring the </w:t>
      </w:r>
      <w:r w:rsidRPr="00BD66B2">
        <w:rPr>
          <w:rFonts w:ascii="Arial" w:hAnsi="Arial" w:cs="Arial"/>
          <w:b/>
          <w:i/>
        </w:rPr>
        <w:t>stcM</w:t>
      </w:r>
      <w:r w:rsidRPr="00BD66B2">
        <w:rPr>
          <w:rFonts w:ascii="Arial" w:hAnsi="Arial" w:cs="Arial"/>
          <w:b/>
        </w:rPr>
        <w:t xml:space="preserve">-promoter-driven </w:t>
      </w:r>
      <w:r w:rsidRPr="00BD66B2">
        <w:rPr>
          <w:rFonts w:ascii="Arial" w:hAnsi="Arial" w:cs="Arial"/>
          <w:b/>
          <w:i/>
        </w:rPr>
        <w:t>ggs1</w:t>
      </w:r>
      <w:r w:rsidRPr="00BD66B2">
        <w:rPr>
          <w:rFonts w:ascii="Arial" w:hAnsi="Arial" w:cs="Arial"/>
          <w:b/>
        </w:rPr>
        <w:t xml:space="preserve"> gene from </w:t>
      </w:r>
      <w:r w:rsidRPr="00BD66B2">
        <w:rPr>
          <w:rFonts w:ascii="Arial" w:hAnsi="Arial" w:cs="Arial"/>
          <w:b/>
          <w:i/>
        </w:rPr>
        <w:t>F. fujikuroi</w:t>
      </w:r>
      <w:r w:rsidRPr="00BD66B2">
        <w:rPr>
          <w:rFonts w:ascii="Arial" w:hAnsi="Arial" w:cs="Arial"/>
          <w:b/>
        </w:rPr>
        <w:t xml:space="preserve"> at the </w:t>
      </w:r>
      <w:r w:rsidRPr="00BD66B2">
        <w:rPr>
          <w:rFonts w:ascii="Arial" w:hAnsi="Arial" w:cs="Arial"/>
          <w:b/>
          <w:i/>
        </w:rPr>
        <w:t>yA</w:t>
      </w:r>
      <w:r w:rsidRPr="00BD66B2">
        <w:rPr>
          <w:rFonts w:ascii="Arial" w:hAnsi="Arial" w:cs="Arial"/>
          <w:b/>
        </w:rPr>
        <w:t xml:space="preserve"> locus in TPMW2.3</w:t>
      </w:r>
    </w:p>
    <w:p w:rsidR="009F45F1" w:rsidRPr="00BD66B2" w:rsidRDefault="009F45F1" w:rsidP="009F45F1">
      <w:pPr>
        <w:numPr>
          <w:ilvl w:val="0"/>
          <w:numId w:val="3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Integration strategy of the </w:t>
      </w:r>
      <w:r w:rsidRPr="00BD66B2">
        <w:rPr>
          <w:rFonts w:ascii="Arial" w:hAnsi="Arial" w:cs="Arial"/>
          <w:i/>
        </w:rPr>
        <w:t>stcM</w:t>
      </w:r>
      <w:r w:rsidRPr="00BD66B2">
        <w:rPr>
          <w:rFonts w:ascii="Arial" w:hAnsi="Arial" w:cs="Arial"/>
        </w:rPr>
        <w:t xml:space="preserve">-promoter-driven </w:t>
      </w:r>
      <w:r w:rsidRPr="00BD66B2">
        <w:rPr>
          <w:rFonts w:ascii="Arial" w:hAnsi="Arial" w:cs="Arial"/>
          <w:i/>
        </w:rPr>
        <w:t>ggs1</w:t>
      </w:r>
      <w:r w:rsidRPr="00BD66B2">
        <w:rPr>
          <w:rFonts w:ascii="Arial" w:hAnsi="Arial" w:cs="Arial"/>
        </w:rPr>
        <w:t xml:space="preserve"> gene construct and the control construct at the </w:t>
      </w:r>
      <w:r w:rsidRPr="00BD66B2">
        <w:rPr>
          <w:rFonts w:ascii="Arial" w:hAnsi="Arial" w:cs="Arial"/>
          <w:i/>
        </w:rPr>
        <w:t>yA</w:t>
      </w:r>
      <w:r w:rsidRPr="00BD66B2">
        <w:rPr>
          <w:rFonts w:ascii="Arial" w:hAnsi="Arial" w:cs="Arial"/>
        </w:rPr>
        <w:t xml:space="preserve"> cluster locus in TPMW2.3, respectively. </w:t>
      </w:r>
      <w:r w:rsidRPr="00BD66B2">
        <w:rPr>
          <w:rFonts w:ascii="Arial" w:hAnsi="Arial" w:cs="Arial"/>
          <w:i/>
        </w:rPr>
        <w:t>Nae</w:t>
      </w:r>
      <w:r w:rsidRPr="00BD66B2">
        <w:rPr>
          <w:rFonts w:ascii="Arial" w:hAnsi="Arial" w:cs="Arial"/>
        </w:rPr>
        <w:t>I restriction sites are indicated in all strains and flanks used for hybridization are highlighted in bold.</w:t>
      </w:r>
    </w:p>
    <w:p w:rsidR="009F45F1" w:rsidRPr="00BD66B2" w:rsidRDefault="009F45F1" w:rsidP="009F45F1">
      <w:pPr>
        <w:numPr>
          <w:ilvl w:val="0"/>
          <w:numId w:val="3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Southern blot analysis of indicated strains. Restriction </w:t>
      </w:r>
      <w:r>
        <w:rPr>
          <w:rFonts w:ascii="Arial" w:hAnsi="Arial" w:cs="Arial"/>
        </w:rPr>
        <w:t>digests were</w:t>
      </w:r>
      <w:r w:rsidRPr="00BD66B2">
        <w:rPr>
          <w:rFonts w:ascii="Arial" w:hAnsi="Arial" w:cs="Arial"/>
        </w:rPr>
        <w:t xml:space="preserve"> carried out with </w:t>
      </w:r>
      <w:r w:rsidRPr="00BD66B2">
        <w:rPr>
          <w:rFonts w:ascii="Arial" w:hAnsi="Arial" w:cs="Arial"/>
          <w:i/>
        </w:rPr>
        <w:t>Nae</w:t>
      </w:r>
      <w:r w:rsidRPr="00BD66B2">
        <w:rPr>
          <w:rFonts w:ascii="Arial" w:hAnsi="Arial" w:cs="Arial"/>
        </w:rPr>
        <w:t>I and blots were hybridized with indicated flanks shown in panel A.</w:t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</w:rPr>
      </w:pPr>
      <w:r w:rsidRPr="00BD66B2">
        <w:rPr>
          <w:rFonts w:ascii="Arial" w:hAnsi="Arial" w:cs="Arial"/>
          <w:noProof/>
        </w:rPr>
        <w:lastRenderedPageBreak/>
        <w:drawing>
          <wp:inline distT="0" distB="0" distL="0" distR="0" wp14:anchorId="0C23D074" wp14:editId="5500B7C0">
            <wp:extent cx="5808345" cy="2565400"/>
            <wp:effectExtent l="0" t="0" r="8255" b="0"/>
            <wp:docPr id="12" name="Picture 12" descr="Fig.%20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.%20S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F1" w:rsidRPr="00BD66B2" w:rsidRDefault="009F45F1" w:rsidP="009F45F1">
      <w:pPr>
        <w:spacing w:line="480" w:lineRule="auto"/>
        <w:jc w:val="both"/>
        <w:rPr>
          <w:rFonts w:ascii="Arial" w:hAnsi="Arial" w:cs="Arial"/>
          <w:b/>
        </w:rPr>
      </w:pPr>
      <w:r w:rsidRPr="00BD66B2">
        <w:rPr>
          <w:rFonts w:ascii="Arial" w:hAnsi="Arial" w:cs="Arial"/>
          <w:b/>
        </w:rPr>
        <w:t>Figure S4</w:t>
      </w:r>
      <w:r w:rsidRPr="00BD66B2">
        <w:rPr>
          <w:rFonts w:ascii="Arial" w:hAnsi="Arial" w:cs="Arial"/>
          <w:b/>
        </w:rPr>
        <w:tab/>
        <w:t xml:space="preserve">Integration strategy and Southern analysis of the </w:t>
      </w:r>
      <w:r w:rsidRPr="00BD66B2">
        <w:rPr>
          <w:rFonts w:ascii="Arial" w:hAnsi="Arial" w:cs="Arial"/>
          <w:b/>
          <w:i/>
        </w:rPr>
        <w:t>A. nidulans</w:t>
      </w:r>
      <w:r w:rsidRPr="00BD66B2">
        <w:rPr>
          <w:rFonts w:ascii="Arial" w:hAnsi="Arial" w:cs="Arial"/>
          <w:b/>
        </w:rPr>
        <w:t xml:space="preserve"> strain TJSF1 and TJSF3 harboring the </w:t>
      </w:r>
      <w:r w:rsidRPr="00BD66B2">
        <w:rPr>
          <w:rFonts w:ascii="Arial" w:hAnsi="Arial" w:cs="Arial"/>
          <w:b/>
          <w:i/>
        </w:rPr>
        <w:t>stcA</w:t>
      </w:r>
      <w:r w:rsidRPr="00BD66B2">
        <w:rPr>
          <w:rFonts w:ascii="Arial" w:hAnsi="Arial" w:cs="Arial"/>
          <w:b/>
        </w:rPr>
        <w:t>/</w:t>
      </w:r>
      <w:r w:rsidRPr="00BD66B2">
        <w:rPr>
          <w:rFonts w:ascii="Arial" w:hAnsi="Arial" w:cs="Arial"/>
          <w:b/>
          <w:i/>
        </w:rPr>
        <w:t>B</w:t>
      </w:r>
      <w:r w:rsidRPr="00BD66B2">
        <w:rPr>
          <w:rFonts w:ascii="Arial" w:hAnsi="Arial" w:cs="Arial"/>
          <w:b/>
        </w:rPr>
        <w:t xml:space="preserve">-promoter-driven </w:t>
      </w:r>
      <w:r w:rsidRPr="00BD66B2">
        <w:rPr>
          <w:rFonts w:ascii="Arial" w:hAnsi="Arial" w:cs="Arial"/>
          <w:b/>
          <w:i/>
        </w:rPr>
        <w:t xml:space="preserve">carRA </w:t>
      </w:r>
      <w:r w:rsidRPr="00BD66B2">
        <w:rPr>
          <w:rFonts w:ascii="Arial" w:hAnsi="Arial" w:cs="Arial"/>
          <w:b/>
        </w:rPr>
        <w:t>and</w:t>
      </w:r>
      <w:r w:rsidRPr="00BD66B2">
        <w:rPr>
          <w:rFonts w:ascii="Arial" w:hAnsi="Arial" w:cs="Arial"/>
          <w:b/>
          <w:i/>
        </w:rPr>
        <w:t xml:space="preserve"> carB</w:t>
      </w:r>
      <w:r w:rsidRPr="00BD66B2">
        <w:rPr>
          <w:rFonts w:ascii="Arial" w:hAnsi="Arial" w:cs="Arial"/>
          <w:b/>
        </w:rPr>
        <w:t xml:space="preserve"> genes from </w:t>
      </w:r>
      <w:r w:rsidRPr="00BD66B2">
        <w:rPr>
          <w:rFonts w:ascii="Arial" w:hAnsi="Arial" w:cs="Arial"/>
          <w:b/>
          <w:i/>
        </w:rPr>
        <w:t>F. fujikuroi</w:t>
      </w:r>
      <w:r w:rsidRPr="00BD66B2">
        <w:rPr>
          <w:rFonts w:ascii="Arial" w:hAnsi="Arial" w:cs="Arial"/>
          <w:b/>
        </w:rPr>
        <w:t xml:space="preserve"> at the </w:t>
      </w:r>
      <w:r w:rsidRPr="00BD66B2">
        <w:rPr>
          <w:rFonts w:ascii="Arial" w:hAnsi="Arial" w:cs="Arial"/>
          <w:b/>
          <w:i/>
        </w:rPr>
        <w:t>wA</w:t>
      </w:r>
      <w:r w:rsidRPr="00BD66B2">
        <w:rPr>
          <w:rFonts w:ascii="Arial" w:hAnsi="Arial" w:cs="Arial"/>
          <w:b/>
        </w:rPr>
        <w:t xml:space="preserve"> locus in TPMW7.2 and TJSF2.2</w:t>
      </w:r>
    </w:p>
    <w:p w:rsidR="009F45F1" w:rsidRPr="00BD66B2" w:rsidRDefault="009F45F1" w:rsidP="009F45F1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Integration strategy of the </w:t>
      </w:r>
      <w:r w:rsidRPr="00BD66B2">
        <w:rPr>
          <w:rFonts w:ascii="Arial" w:hAnsi="Arial" w:cs="Arial"/>
          <w:i/>
        </w:rPr>
        <w:t>stcA</w:t>
      </w:r>
      <w:r w:rsidRPr="00BD66B2">
        <w:rPr>
          <w:rFonts w:ascii="Arial" w:hAnsi="Arial" w:cs="Arial"/>
        </w:rPr>
        <w:t>/</w:t>
      </w:r>
      <w:r w:rsidRPr="00BD66B2">
        <w:rPr>
          <w:rFonts w:ascii="Arial" w:hAnsi="Arial" w:cs="Arial"/>
          <w:i/>
        </w:rPr>
        <w:t>B</w:t>
      </w:r>
      <w:r w:rsidRPr="00BD66B2">
        <w:rPr>
          <w:rFonts w:ascii="Arial" w:hAnsi="Arial" w:cs="Arial"/>
        </w:rPr>
        <w:t xml:space="preserve">-promoter-driven </w:t>
      </w:r>
      <w:r w:rsidRPr="00BD66B2">
        <w:rPr>
          <w:rFonts w:ascii="Arial" w:hAnsi="Arial" w:cs="Arial"/>
          <w:i/>
        </w:rPr>
        <w:t>carRA</w:t>
      </w:r>
      <w:r w:rsidRPr="00BD66B2">
        <w:rPr>
          <w:rFonts w:ascii="Arial" w:hAnsi="Arial" w:cs="Arial"/>
        </w:rPr>
        <w:t xml:space="preserve"> and </w:t>
      </w:r>
      <w:r w:rsidRPr="00BD66B2">
        <w:rPr>
          <w:rFonts w:ascii="Arial" w:hAnsi="Arial" w:cs="Arial"/>
          <w:i/>
        </w:rPr>
        <w:t>carB</w:t>
      </w:r>
      <w:r w:rsidRPr="00BD66B2">
        <w:rPr>
          <w:rFonts w:ascii="Arial" w:hAnsi="Arial" w:cs="Arial"/>
        </w:rPr>
        <w:t xml:space="preserve"> gene construct and the control construct at the </w:t>
      </w:r>
      <w:r w:rsidRPr="00BD66B2">
        <w:rPr>
          <w:rFonts w:ascii="Arial" w:hAnsi="Arial" w:cs="Arial"/>
          <w:i/>
        </w:rPr>
        <w:t>wA</w:t>
      </w:r>
      <w:r w:rsidRPr="00BD66B2">
        <w:rPr>
          <w:rFonts w:ascii="Arial" w:hAnsi="Arial" w:cs="Arial"/>
        </w:rPr>
        <w:t xml:space="preserve"> cluster locus in TPMW7.2 and TJSF2.2, respectively. </w:t>
      </w:r>
      <w:r w:rsidRPr="00BD66B2">
        <w:rPr>
          <w:rFonts w:ascii="Arial" w:hAnsi="Arial" w:cs="Arial"/>
          <w:i/>
        </w:rPr>
        <w:t>Nco</w:t>
      </w:r>
      <w:r w:rsidRPr="00BD66B2">
        <w:rPr>
          <w:rFonts w:ascii="Arial" w:hAnsi="Arial" w:cs="Arial"/>
        </w:rPr>
        <w:t>I restriction sites are indicated in all strains and the flank used for hybridization is highlighted in bold.</w:t>
      </w:r>
    </w:p>
    <w:p w:rsidR="009F45F1" w:rsidRPr="00BD66B2" w:rsidRDefault="009F45F1" w:rsidP="009F45F1">
      <w:pPr>
        <w:numPr>
          <w:ilvl w:val="0"/>
          <w:numId w:val="4"/>
        </w:numPr>
        <w:spacing w:line="480" w:lineRule="auto"/>
        <w:contextualSpacing/>
        <w:jc w:val="both"/>
        <w:rPr>
          <w:rFonts w:ascii="Arial" w:hAnsi="Arial" w:cs="Arial"/>
        </w:rPr>
      </w:pPr>
      <w:r w:rsidRPr="00BD66B2">
        <w:rPr>
          <w:rFonts w:ascii="Arial" w:hAnsi="Arial" w:cs="Arial"/>
        </w:rPr>
        <w:t xml:space="preserve">Southern blot analysis of indicated strains. Restriction </w:t>
      </w:r>
      <w:r>
        <w:rPr>
          <w:rFonts w:ascii="Arial" w:hAnsi="Arial" w:cs="Arial"/>
        </w:rPr>
        <w:t xml:space="preserve">digest </w:t>
      </w:r>
      <w:r w:rsidRPr="00BD66B2">
        <w:rPr>
          <w:rFonts w:ascii="Arial" w:hAnsi="Arial" w:cs="Arial"/>
        </w:rPr>
        <w:t xml:space="preserve">was carried out with </w:t>
      </w:r>
      <w:r w:rsidRPr="00BD66B2">
        <w:rPr>
          <w:rFonts w:ascii="Arial" w:hAnsi="Arial" w:cs="Arial"/>
          <w:i/>
        </w:rPr>
        <w:t>Nco</w:t>
      </w:r>
      <w:r w:rsidRPr="00BD66B2">
        <w:rPr>
          <w:rFonts w:ascii="Arial" w:hAnsi="Arial" w:cs="Arial"/>
        </w:rPr>
        <w:t>I and blots were hybridized with the indicated flank shown in panel A.</w:t>
      </w:r>
    </w:p>
    <w:p w:rsidR="009F45F1" w:rsidRPr="00BD66B2" w:rsidRDefault="009F45F1" w:rsidP="009F45F1">
      <w:pPr>
        <w:spacing w:line="480" w:lineRule="auto"/>
        <w:rPr>
          <w:rFonts w:ascii="Arial" w:hAnsi="Arial" w:cs="Arial"/>
        </w:rPr>
      </w:pPr>
    </w:p>
    <w:p w:rsidR="009F45F1" w:rsidRDefault="009F45F1"/>
    <w:sectPr w:rsidR="009F45F1" w:rsidSect="00BD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41E"/>
    <w:multiLevelType w:val="multilevel"/>
    <w:tmpl w:val="A30A5DFA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E1159"/>
    <w:multiLevelType w:val="multilevel"/>
    <w:tmpl w:val="1F929E5C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74F2D"/>
    <w:multiLevelType w:val="multilevel"/>
    <w:tmpl w:val="73F024D0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57838"/>
    <w:multiLevelType w:val="multilevel"/>
    <w:tmpl w:val="A3BE5544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F1"/>
    <w:rsid w:val="001F6481"/>
    <w:rsid w:val="009F45F1"/>
    <w:rsid w:val="00BD05C0"/>
    <w:rsid w:val="00C7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2BF1E"/>
  <w15:chartTrackingRefBased/>
  <w15:docId w15:val="{EBE42001-AE7B-AB41-A6B4-D43265D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Keller</dc:creator>
  <cp:keywords/>
  <dc:description/>
  <cp:lastModifiedBy>Nancy Keller</cp:lastModifiedBy>
  <cp:revision>1</cp:revision>
  <dcterms:created xsi:type="dcterms:W3CDTF">2018-03-02T14:15:00Z</dcterms:created>
  <dcterms:modified xsi:type="dcterms:W3CDTF">2018-03-02T14:15:00Z</dcterms:modified>
</cp:coreProperties>
</file>