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DCE8D" w14:textId="77777777" w:rsidR="00B315C2" w:rsidRPr="00334658" w:rsidRDefault="00B315C2" w:rsidP="00B315C2">
      <w:pPr>
        <w:spacing w:after="0" w:line="480" w:lineRule="auto"/>
        <w:rPr>
          <w:rFonts w:ascii="Arial" w:eastAsia="Calibri" w:hAnsi="Arial" w:cs="Arial"/>
          <w:b/>
          <w:sz w:val="18"/>
          <w:szCs w:val="18"/>
          <w:lang w:val="en-GB"/>
        </w:rPr>
      </w:pPr>
      <w:bookmarkStart w:id="0" w:name="_GoBack"/>
      <w:r w:rsidRPr="00334658">
        <w:rPr>
          <w:rFonts w:ascii="Arial" w:eastAsia="Calibri" w:hAnsi="Arial" w:cs="Arial"/>
          <w:b/>
          <w:sz w:val="18"/>
          <w:szCs w:val="18"/>
          <w:lang w:val="en-GB"/>
        </w:rPr>
        <w:t>Table</w:t>
      </w:r>
      <w:r>
        <w:rPr>
          <w:rFonts w:ascii="Arial" w:eastAsia="Calibri" w:hAnsi="Arial" w:cs="Arial"/>
          <w:b/>
          <w:sz w:val="18"/>
          <w:szCs w:val="18"/>
          <w:lang w:val="en-GB"/>
        </w:rPr>
        <w:t xml:space="preserve"> S3</w:t>
      </w:r>
      <w:r w:rsidRPr="00334658">
        <w:rPr>
          <w:rFonts w:ascii="Arial" w:eastAsia="Calibri" w:hAnsi="Arial" w:cs="Arial"/>
          <w:b/>
          <w:sz w:val="18"/>
          <w:szCs w:val="18"/>
          <w:lang w:val="en-GB"/>
        </w:rPr>
        <w:t>. List of strains used in this study</w:t>
      </w:r>
    </w:p>
    <w:tbl>
      <w:tblPr>
        <w:tblStyle w:val="PlainTable2"/>
        <w:tblW w:w="9407" w:type="dxa"/>
        <w:tblLook w:val="04A0" w:firstRow="1" w:lastRow="0" w:firstColumn="1" w:lastColumn="0" w:noHBand="0" w:noVBand="1"/>
      </w:tblPr>
      <w:tblGrid>
        <w:gridCol w:w="1295"/>
        <w:gridCol w:w="2814"/>
        <w:gridCol w:w="1017"/>
        <w:gridCol w:w="1257"/>
        <w:gridCol w:w="3024"/>
      </w:tblGrid>
      <w:tr w:rsidR="00B315C2" w:rsidRPr="00334658" w14:paraId="3173C22D" w14:textId="77777777" w:rsidTr="00114CBB">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164" w:type="dxa"/>
          </w:tcPr>
          <w:p w14:paraId="37B9ACCC" w14:textId="77777777" w:rsidR="00B315C2" w:rsidRPr="00334658" w:rsidRDefault="00B315C2" w:rsidP="004E280C">
            <w:pPr>
              <w:spacing w:line="276" w:lineRule="auto"/>
              <w:jc w:val="both"/>
              <w:rPr>
                <w:rFonts w:ascii="Arial" w:eastAsia="Calibri" w:hAnsi="Arial" w:cs="Arial"/>
                <w:sz w:val="20"/>
                <w:szCs w:val="20"/>
                <w:lang w:val="en-GB"/>
              </w:rPr>
            </w:pPr>
            <w:r w:rsidRPr="00334658">
              <w:rPr>
                <w:rFonts w:ascii="Arial" w:eastAsia="Calibri" w:hAnsi="Arial" w:cs="Arial"/>
                <w:sz w:val="20"/>
                <w:szCs w:val="20"/>
                <w:lang w:val="en-GB"/>
              </w:rPr>
              <w:t>Name</w:t>
            </w:r>
          </w:p>
        </w:tc>
        <w:tc>
          <w:tcPr>
            <w:tcW w:w="2863" w:type="dxa"/>
          </w:tcPr>
          <w:p w14:paraId="6926E313" w14:textId="77777777" w:rsidR="00B315C2" w:rsidRPr="00334658" w:rsidRDefault="00B315C2" w:rsidP="004E280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Genotype</w:t>
            </w:r>
          </w:p>
        </w:tc>
        <w:tc>
          <w:tcPr>
            <w:tcW w:w="1017" w:type="dxa"/>
          </w:tcPr>
          <w:p w14:paraId="13E24F5C" w14:textId="77777777" w:rsidR="00B315C2" w:rsidRPr="00334658" w:rsidRDefault="00B315C2" w:rsidP="004E280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Parental strain</w:t>
            </w:r>
          </w:p>
        </w:tc>
        <w:tc>
          <w:tcPr>
            <w:tcW w:w="1260" w:type="dxa"/>
          </w:tcPr>
          <w:p w14:paraId="6C0B2EC5" w14:textId="77777777" w:rsidR="00B315C2" w:rsidRPr="00334658" w:rsidRDefault="00B315C2" w:rsidP="004E280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Reference</w:t>
            </w:r>
          </w:p>
        </w:tc>
        <w:tc>
          <w:tcPr>
            <w:tcW w:w="3103" w:type="dxa"/>
          </w:tcPr>
          <w:p w14:paraId="040E3E2C" w14:textId="77777777" w:rsidR="00B315C2" w:rsidRPr="00334658" w:rsidRDefault="00B315C2" w:rsidP="004E280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Pr>
                <w:rFonts w:ascii="Arial" w:eastAsia="Calibri" w:hAnsi="Arial" w:cs="Arial"/>
                <w:sz w:val="20"/>
                <w:szCs w:val="20"/>
                <w:lang w:val="en-GB"/>
              </w:rPr>
              <w:t>Extra info strain</w:t>
            </w:r>
          </w:p>
        </w:tc>
      </w:tr>
      <w:tr w:rsidR="00B315C2" w:rsidRPr="00334658" w14:paraId="60173D42"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40ED07EC" w14:textId="77777777" w:rsidR="00B315C2" w:rsidRPr="00334658" w:rsidRDefault="00B315C2" w:rsidP="004E280C">
            <w:pPr>
              <w:spacing w:line="276" w:lineRule="auto"/>
              <w:jc w:val="both"/>
              <w:rPr>
                <w:rFonts w:ascii="Arial" w:eastAsia="Calibri" w:hAnsi="Arial" w:cs="Arial"/>
                <w:b w:val="0"/>
                <w:sz w:val="20"/>
                <w:szCs w:val="20"/>
                <w:lang w:val="en-GB"/>
              </w:rPr>
            </w:pPr>
            <w:r w:rsidRPr="00334658">
              <w:rPr>
                <w:rFonts w:ascii="Arial" w:eastAsia="Calibri" w:hAnsi="Arial" w:cs="Arial"/>
                <w:b w:val="0"/>
                <w:sz w:val="20"/>
                <w:szCs w:val="20"/>
                <w:lang w:val="en-GB"/>
              </w:rPr>
              <w:t>N402</w:t>
            </w:r>
          </w:p>
        </w:tc>
        <w:tc>
          <w:tcPr>
            <w:tcW w:w="2863" w:type="dxa"/>
          </w:tcPr>
          <w:p w14:paraId="6055BED3"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i/>
                <w:iCs/>
                <w:sz w:val="20"/>
                <w:szCs w:val="20"/>
              </w:rPr>
              <w:t xml:space="preserve">cspA1, </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p>
        </w:tc>
        <w:tc>
          <w:tcPr>
            <w:tcW w:w="1017" w:type="dxa"/>
          </w:tcPr>
          <w:p w14:paraId="5486998A"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w:t>
            </w:r>
          </w:p>
        </w:tc>
        <w:tc>
          <w:tcPr>
            <w:tcW w:w="1260" w:type="dxa"/>
          </w:tcPr>
          <w:p w14:paraId="4ABD2AC2"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r>
            <w:r>
              <w:rPr>
                <w:rFonts w:ascii="Arial" w:hAnsi="Arial" w:cs="Arial"/>
              </w:rPr>
              <w:instrText xml:space="preserve"> ADDIN ZOTERO_ITEM CSL_CITATION {"citationID":"PksdIQne","properties":{"formattedCitation":"(67)","plainCitation":"(67)","noteIndex":0},"citationItems":[{"id":"KQba8FHz/mFhPUz90","uris":["http://zotero.org/users/local/D46hh4y4/items/KNGTLSZC"],"itemData":{"id":178,"type":"article-journal","abstract":"A start has been made on establishing a collection of Aspergillus niger colour and auxotrophic mutants with an isogenic background for use as a source of genetic markers. All strains have short conidiophores (cspAl ), which makes them easy to handle on test plates. Genetic markers were combined stepwise by somatic recombination. Somatic diploids were obtained at frequencies of 10−6-10−5 with conidiospores collected from a heterokaryon. The haploidization of heterozygous diploids was induced by benomyl. For unlinked markers, the frequency of recombinants varied from 35%–65%. Low frequencies of recombinants were found between markers on a same chromosome, but this was sometimes disturbed by mitotic crossing-over during an early stage of the diploid. Master strains were constructed having markers for six linkage groups.","container-title":"Current Genetics","DOI":"10.1007/BF00521266","ISSN":"1432-0983","issue":"5","journalAbbreviation":"Curr Genet","language":"en","page":"437-443","source":"Springer Link","title":"Genetic analysis and the construction of master strains for assignment of genes to six linkage groups in Aspergillus niger","volume":"14","author":[{"family":"Bos","given":"C. J."},{"family":"Debets","given":"A. J. M."},{"family":"Swart","given":"K."},{"family":"Huybers","given":"A."},{"family":"Kobus","given":"G."},{"family":"Slakhorst","given":"S. M."}],"issued":{"date-parts":[["1988",11,1]]}}}],"schema":"https://github.com/citation-style-language/schema/raw/master/csl-citation.json"} </w:instrText>
            </w:r>
            <w:r>
              <w:rPr>
                <w:rFonts w:ascii="Arial" w:hAnsi="Arial" w:cs="Arial"/>
              </w:rPr>
              <w:fldChar w:fldCharType="separate"/>
            </w:r>
            <w:r w:rsidRPr="00B46D93">
              <w:rPr>
                <w:rFonts w:ascii="Arial" w:hAnsi="Arial" w:cs="Arial"/>
              </w:rPr>
              <w:t>(67)</w:t>
            </w:r>
            <w:r>
              <w:rPr>
                <w:rFonts w:ascii="Arial" w:hAnsi="Arial" w:cs="Arial"/>
              </w:rPr>
              <w:fldChar w:fldCharType="end"/>
            </w:r>
          </w:p>
        </w:tc>
        <w:tc>
          <w:tcPr>
            <w:tcW w:w="3103" w:type="dxa"/>
          </w:tcPr>
          <w:p w14:paraId="561E3655" w14:textId="4D0233AB" w:rsidR="00B315C2" w:rsidRPr="00114CBB" w:rsidRDefault="00114CBB"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Wild type</w:t>
            </w:r>
          </w:p>
        </w:tc>
      </w:tr>
      <w:tr w:rsidR="00B315C2" w:rsidRPr="00334658" w14:paraId="2D54F9EB"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7695F9C5" w14:textId="77777777" w:rsidR="00B315C2" w:rsidRPr="00334658" w:rsidRDefault="00B315C2" w:rsidP="004E280C">
            <w:pPr>
              <w:spacing w:line="276" w:lineRule="auto"/>
              <w:jc w:val="both"/>
              <w:rPr>
                <w:rFonts w:ascii="Arial" w:eastAsia="Calibri" w:hAnsi="Arial" w:cs="Arial"/>
                <w:b w:val="0"/>
                <w:sz w:val="20"/>
                <w:szCs w:val="20"/>
                <w:lang w:val="en-GB"/>
              </w:rPr>
            </w:pPr>
            <w:r w:rsidRPr="00334658">
              <w:rPr>
                <w:rFonts w:ascii="Arial" w:eastAsia="Calibri" w:hAnsi="Arial" w:cs="Arial"/>
                <w:b w:val="0"/>
                <w:sz w:val="20"/>
                <w:szCs w:val="20"/>
                <w:lang w:val="en-GB"/>
              </w:rPr>
              <w:t>MA234.1</w:t>
            </w:r>
          </w:p>
        </w:tc>
        <w:tc>
          <w:tcPr>
            <w:tcW w:w="2863" w:type="dxa"/>
          </w:tcPr>
          <w:p w14:paraId="729BF0E0"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5F19A0">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p>
        </w:tc>
        <w:tc>
          <w:tcPr>
            <w:tcW w:w="1017" w:type="dxa"/>
          </w:tcPr>
          <w:p w14:paraId="6374BA62"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73A1">
              <w:rPr>
                <w:rFonts w:ascii="Arial" w:hAnsi="Arial" w:cs="Arial"/>
                <w:sz w:val="20"/>
                <w:szCs w:val="20"/>
              </w:rPr>
              <w:t>N402</w:t>
            </w:r>
          </w:p>
        </w:tc>
        <w:tc>
          <w:tcPr>
            <w:tcW w:w="1260" w:type="dxa"/>
          </w:tcPr>
          <w:p w14:paraId="101F28EE" w14:textId="77777777" w:rsidR="00B315C2" w:rsidRPr="000078F7"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fldChar w:fldCharType="begin"/>
            </w:r>
            <w:r>
              <w:rPr>
                <w:rFonts w:ascii="Arial" w:hAnsi="Arial" w:cs="Arial"/>
                <w:lang w:val="en-US"/>
              </w:rPr>
              <w:instrText xml:space="preserve"> ADDIN ZOTERO_ITEM CSL_CITATION {"citationID":"50v3G3oH","properties":{"formattedCitation":"(55)","plainCitation":"(55)","noteIndex":0},"citationItems":[{"id":"KQba8FHz/zvluV5tx","uris":["http://zotero.org/users/local/D46hh4y4/items/H85EL2KM"],"itemData":{"id":291,"type":"article-journal","abstract":"The biosynthesis of cell surface-located galactofuranose (Galf)-containing glycostructures such as galactomannan, N-glycans and O-glycans in filamentous fungi is important to secure the integrity of the cell wall. UgmA encodes an UDP-galactopyranose mutase, which is essential for the formation of Galf. Consequently, the ΔugmA mutant lacks Galf-containing molecules. Our previous work in Aspergillus niger work suggested that loss of function of ugmA results in activation of the cell wall integrity (CWI) pathway which is characterized by increased expression of the agsA gene, encoding an α-glucan synthase. In this study, the transcriptional response of the ΔugmA mutant was further linked to the CWI pathway by showing the induced and constitutive phosphorylation of the CWI-MAP kinase in the ΔugmA mutant. To identify genes involved in cell wall remodelling in response to the absence of galactofuranose biosynthesis, a genome-wide expression analysis was performed using RNAseq. Over 400 genes were higher expressed in the ΔugmA mutant compared to the wild-type. These include genes that encode enzymes involved in chitin (gfaB, gnsA, chsA) and α-glucan synthesis (agsA), and in β-glucan remodelling (bgxA, gelF and dfgC), and also include several glycosylphosphatidylinositol (GPI)-anchored cell wall protein-encoding genes. In silico analysis of the 1-kb promoter regions of the up-regulated genes in the ΔugmA mutant indicated overrepresentation of genes with RlmA, MsnA, PacC and SteA-binding sites. The importance of these transcription factors for survival of the ΔugmA mutant was analysed by constructing the respective double mutants. The ΔugmA/ΔrlmA and ΔugmA/ΔmsnA double mutants showed strong synthetic growth defects, indicating the importance of these transcription factors to maintain cell wall integrity in the absence of Galf biosynthesis.","container-title":"Cellular Microbiology","DOI":"10.1111/cmi.12624","ISSN":"1462-5822","issue":"9","language":"en","note":"_eprint: https://onlinelibrary.wiley.com/doi/pdf/10.1111/cmi.12624","page":"1268-1284","source":"Wiley Online Library","title":"Transcriptomic and molecular genetic analysis of the cell wall salvage response of Aspergillus niger to the absence of galactofuranose synthesis","volume":"18","author":[{"family":"Park","given":"Joohae"},{"family":"Hulsman","given":"Mark"},{"family":"Arentshorst","given":"Mark"},{"family":"Breeman","given":"Matthijs"},{"family":"Alazi","given":"Ebru"},{"family":"Lagendijk","given":"Ellen L."},{"family":"Rocha","given":"Marina C."},{"family":"Malavazi","given":"Iran"},{"family":"Nitsche","given":"Benjamin M."},{"family":"Hondel","given":"Cees A.M.J.J.","non-dropping-particle":"van den"},{"family":"Meyer","given":"Vera"},{"family":"Ram","given":"Arthur F. J."}],"issued":{"date-parts":[["2016"]]}}}],"schema":"https://github.com/citation-style-language/schema/raw/master/csl-citation.json"} </w:instrText>
            </w:r>
            <w:r>
              <w:rPr>
                <w:rFonts w:ascii="Arial" w:hAnsi="Arial" w:cs="Arial"/>
                <w:lang w:val="en-US"/>
              </w:rPr>
              <w:fldChar w:fldCharType="separate"/>
            </w:r>
            <w:r w:rsidRPr="00B46D93">
              <w:rPr>
                <w:rFonts w:ascii="Arial" w:hAnsi="Arial" w:cs="Arial"/>
              </w:rPr>
              <w:t>(55)</w:t>
            </w:r>
            <w:r>
              <w:rPr>
                <w:rFonts w:ascii="Arial" w:hAnsi="Arial" w:cs="Arial"/>
                <w:lang w:val="en-US"/>
              </w:rPr>
              <w:fldChar w:fldCharType="end"/>
            </w:r>
          </w:p>
        </w:tc>
        <w:tc>
          <w:tcPr>
            <w:tcW w:w="3103" w:type="dxa"/>
          </w:tcPr>
          <w:p w14:paraId="1671F872"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315C2" w:rsidRPr="00334658" w14:paraId="2B5CF21A"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3004714E" w14:textId="77777777" w:rsidR="00B315C2" w:rsidRPr="003673A1" w:rsidRDefault="00B315C2" w:rsidP="004E280C">
            <w:pPr>
              <w:spacing w:line="276" w:lineRule="auto"/>
              <w:jc w:val="both"/>
              <w:rPr>
                <w:rFonts w:ascii="Arial" w:eastAsia="Calibri" w:hAnsi="Arial" w:cs="Arial"/>
                <w:b w:val="0"/>
                <w:bCs w:val="0"/>
                <w:sz w:val="20"/>
                <w:szCs w:val="20"/>
                <w:lang w:val="en-GB"/>
              </w:rPr>
            </w:pPr>
            <w:r w:rsidRPr="003673A1">
              <w:rPr>
                <w:rFonts w:ascii="Arial" w:hAnsi="Arial" w:cs="Arial"/>
                <w:b w:val="0"/>
                <w:bCs w:val="0"/>
                <w:sz w:val="20"/>
                <w:szCs w:val="20"/>
              </w:rPr>
              <w:t>SJS143</w:t>
            </w:r>
          </w:p>
        </w:tc>
        <w:tc>
          <w:tcPr>
            <w:tcW w:w="2863" w:type="dxa"/>
          </w:tcPr>
          <w:p w14:paraId="357B9B5F"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iCs/>
                <w:sz w:val="20"/>
                <w:szCs w:val="20"/>
              </w:rPr>
            </w:pPr>
            <w:r w:rsidRPr="005F19A0">
              <w:rPr>
                <w:rFonts w:ascii="Arial" w:hAnsi="Arial" w:cs="Arial"/>
                <w:sz w:val="20"/>
                <w:szCs w:val="20"/>
              </w:rPr>
              <w:t>Δ</w:t>
            </w:r>
            <w:r w:rsidRPr="003673A1">
              <w:rPr>
                <w:rFonts w:ascii="Arial" w:hAnsi="Arial" w:cs="Arial"/>
                <w:i/>
                <w:iCs/>
                <w:sz w:val="20"/>
                <w:szCs w:val="20"/>
              </w:rPr>
              <w:t>NRRL3_01479; ‘</w:t>
            </w:r>
            <w:proofErr w:type="spellStart"/>
            <w:r w:rsidRPr="005F19A0">
              <w:rPr>
                <w:rFonts w:ascii="Arial" w:hAnsi="Arial" w:cs="Arial"/>
                <w:sz w:val="20"/>
                <w:szCs w:val="20"/>
              </w:rPr>
              <w:t>Δ</w:t>
            </w:r>
            <w:r w:rsidRPr="003673A1">
              <w:rPr>
                <w:rFonts w:ascii="Arial" w:hAnsi="Arial" w:cs="Arial"/>
                <w:i/>
                <w:iCs/>
                <w:sz w:val="20"/>
                <w:szCs w:val="20"/>
              </w:rPr>
              <w:t>dprA</w:t>
            </w:r>
            <w:proofErr w:type="spellEnd"/>
            <w:r w:rsidRPr="003673A1">
              <w:rPr>
                <w:rFonts w:ascii="Arial" w:hAnsi="Arial" w:cs="Arial"/>
                <w:i/>
                <w:iCs/>
                <w:sz w:val="20"/>
                <w:szCs w:val="20"/>
              </w:rPr>
              <w:t>’</w:t>
            </w:r>
          </w:p>
        </w:tc>
        <w:tc>
          <w:tcPr>
            <w:tcW w:w="1017" w:type="dxa"/>
          </w:tcPr>
          <w:p w14:paraId="620463C7"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73A1">
              <w:rPr>
                <w:rFonts w:ascii="Arial" w:hAnsi="Arial" w:cs="Arial"/>
                <w:sz w:val="20"/>
                <w:szCs w:val="20"/>
              </w:rPr>
              <w:t>MA234.1</w:t>
            </w:r>
          </w:p>
        </w:tc>
        <w:tc>
          <w:tcPr>
            <w:tcW w:w="1260" w:type="dxa"/>
          </w:tcPr>
          <w:p w14:paraId="5D74A215"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73A1">
              <w:rPr>
                <w:rFonts w:ascii="Arial" w:hAnsi="Arial" w:cs="Arial"/>
                <w:sz w:val="20"/>
                <w:szCs w:val="20"/>
                <w:lang w:val="en-US"/>
              </w:rPr>
              <w:t>This study</w:t>
            </w:r>
          </w:p>
        </w:tc>
        <w:tc>
          <w:tcPr>
            <w:tcW w:w="3103" w:type="dxa"/>
          </w:tcPr>
          <w:p w14:paraId="5E7AE2D5"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673A1">
              <w:rPr>
                <w:rFonts w:ascii="Arial" w:hAnsi="Arial" w:cs="Arial"/>
                <w:sz w:val="20"/>
                <w:szCs w:val="20"/>
                <w:lang w:val="en-US"/>
              </w:rPr>
              <w:t xml:space="preserve">Strain lacking a gene coding for a putative dehydrin-like protein </w:t>
            </w:r>
            <w:r>
              <w:rPr>
                <w:rFonts w:ascii="Arial" w:hAnsi="Arial" w:cs="Arial"/>
                <w:sz w:val="20"/>
                <w:szCs w:val="20"/>
                <w:lang w:val="en-US"/>
              </w:rPr>
              <w:fldChar w:fldCharType="begin"/>
            </w:r>
            <w:r>
              <w:rPr>
                <w:rFonts w:ascii="Arial" w:hAnsi="Arial" w:cs="Arial"/>
                <w:sz w:val="20"/>
                <w:szCs w:val="20"/>
                <w:lang w:val="en-US"/>
              </w:rPr>
              <w:instrText xml:space="preserve"> ADDIN ZOTERO_ITEM CSL_CITATION {"citationID":"GlTH1zZl","properties":{"formattedCitation":"(45)","plainCitation":"(45)","noteIndex":0},"citationItems":[{"id":65,"uris":["http://zotero.org/users/local/Xpd0W7OM/items/VMS24LJV"],"itemData":{"id":65,"type":"article-journal","abstract":"This article identifies novel stress-protective proteins that belong to the family of intrinsically unstructured proteins, DprA and DprB, which are associated with the cytosol and the peroxisomes in Aspergillus fumigatus.,  During a search for genes controlling conidial dormancy in Aspergillus fumigatus, two dehydrin-like genes, DprA and DprB, were identified. The deduced proteins had repeated stretches of 23 amino acids that contained a conserved dehydrin-like protein (DPR) motif. Disrupted DprAΔ mutants were hypersensitive to oxidative stress and to phagocytic killing, whereas DprBΔ mutants were impaired in osmotic and pH stress responses. However, no effect was observed on their pathogenicity in our experimental models of invasive aspergillosis. Molecular dissection of the signaling pathways acting upstream showed that expression of DprA was dependent on the stress-activated kinase SakA and the cyclic AMP-protein kinase A (cAMP-PKA) pathways, which activate the bZIP transcription factor AtfA, while expression of DprB was dependent on the SakA mitogen-activated protein kinase (MAPK) pathway, and the zinc finger transcription factor PacC. Fluorescent protein fusions showed that both proteins were associated with peroxisomes and the cytosol. Accordingly, DprA and DprB were important for peroxisome function. Our findings reveal a novel family of stress-protective proteins in A. fumigatus and, potentially, in filamentous ascomycetes.","container-title":"Molecular Biology of the Cell","DOI":"10.1091/mbc.E10-11-0914","ISSN":"1059-1524","issue":"11","journalAbbreviation":"Mol Biol Cell","note":"PMID: 21490150\nPMCID: PMC3103405","page":"1896-1906","source":"PubMed Central","title":"A novel family of dehydrin-like proteins is involved in stress response in the human fungal pathogen Aspergillus fumigatus","volume":"22","author":[{"family":"Hoi","given":"Joanne Wong Sak"},{"family":"Lamarre","given":"Claude"},{"family":"Beau","given":"Rémi"},{"family":"Meneau","given":"Isabelle"},{"family":"Berepiki","given":"Adokiye"},{"family":"Barre","given":"Annick"},{"family":"Mellado","given":"Emilia"},{"family":"Read","given":"Nick D."},{"family":"Latgé","given":"Jean-Paul"}],"issued":{"date-parts":[["2011",6,1]]}}}],"schema":"https://github.com/citation-style-language/schema/raw/master/csl-citation.json"} </w:instrText>
            </w:r>
            <w:r>
              <w:rPr>
                <w:rFonts w:ascii="Arial" w:hAnsi="Arial" w:cs="Arial"/>
                <w:sz w:val="20"/>
                <w:szCs w:val="20"/>
                <w:lang w:val="en-US"/>
              </w:rPr>
              <w:fldChar w:fldCharType="separate"/>
            </w:r>
            <w:r w:rsidRPr="00B46D93">
              <w:rPr>
                <w:rFonts w:ascii="Arial" w:hAnsi="Arial" w:cs="Arial"/>
                <w:sz w:val="20"/>
              </w:rPr>
              <w:t>(45)</w:t>
            </w:r>
            <w:r>
              <w:rPr>
                <w:rFonts w:ascii="Arial" w:hAnsi="Arial" w:cs="Arial"/>
                <w:sz w:val="20"/>
                <w:szCs w:val="20"/>
                <w:lang w:val="en-US"/>
              </w:rPr>
              <w:fldChar w:fldCharType="end"/>
            </w:r>
          </w:p>
        </w:tc>
      </w:tr>
      <w:tr w:rsidR="00B315C2" w:rsidRPr="003673A1" w14:paraId="1DC77BA4"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27C0986D" w14:textId="77777777" w:rsidR="00B315C2" w:rsidRPr="003673A1" w:rsidRDefault="00B315C2" w:rsidP="004E280C">
            <w:pPr>
              <w:spacing w:line="276" w:lineRule="auto"/>
              <w:jc w:val="both"/>
              <w:rPr>
                <w:rFonts w:ascii="Arial" w:eastAsia="Calibri" w:hAnsi="Arial" w:cs="Arial"/>
                <w:b w:val="0"/>
                <w:bCs w:val="0"/>
                <w:sz w:val="20"/>
                <w:szCs w:val="20"/>
                <w:lang w:val="en-US"/>
              </w:rPr>
            </w:pPr>
            <w:r w:rsidRPr="003673A1">
              <w:rPr>
                <w:rFonts w:ascii="Arial" w:hAnsi="Arial" w:cs="Arial"/>
                <w:b w:val="0"/>
                <w:bCs w:val="0"/>
                <w:sz w:val="20"/>
                <w:szCs w:val="20"/>
              </w:rPr>
              <w:t>SJS144</w:t>
            </w:r>
          </w:p>
        </w:tc>
        <w:tc>
          <w:tcPr>
            <w:tcW w:w="2863" w:type="dxa"/>
          </w:tcPr>
          <w:p w14:paraId="22A4644B"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US"/>
              </w:rPr>
            </w:pPr>
            <w:r w:rsidRPr="005F19A0">
              <w:rPr>
                <w:rFonts w:ascii="Arial" w:hAnsi="Arial" w:cs="Arial"/>
                <w:sz w:val="20"/>
                <w:szCs w:val="20"/>
              </w:rPr>
              <w:t>Δ</w:t>
            </w:r>
            <w:r w:rsidRPr="003673A1">
              <w:rPr>
                <w:rFonts w:ascii="Arial" w:hAnsi="Arial" w:cs="Arial"/>
                <w:i/>
                <w:iCs/>
                <w:sz w:val="20"/>
                <w:szCs w:val="20"/>
              </w:rPr>
              <w:t>NRRL3_01479; ‘</w:t>
            </w:r>
            <w:proofErr w:type="spellStart"/>
            <w:r w:rsidRPr="005F19A0">
              <w:rPr>
                <w:rFonts w:ascii="Arial" w:hAnsi="Arial" w:cs="Arial"/>
                <w:sz w:val="20"/>
                <w:szCs w:val="20"/>
              </w:rPr>
              <w:t>Δ</w:t>
            </w:r>
            <w:r w:rsidRPr="003673A1">
              <w:rPr>
                <w:rFonts w:ascii="Arial" w:hAnsi="Arial" w:cs="Arial"/>
                <w:i/>
                <w:iCs/>
                <w:sz w:val="20"/>
                <w:szCs w:val="20"/>
              </w:rPr>
              <w:t>dprB</w:t>
            </w:r>
            <w:proofErr w:type="spellEnd"/>
            <w:r w:rsidRPr="003673A1">
              <w:rPr>
                <w:rFonts w:ascii="Arial" w:hAnsi="Arial" w:cs="Arial"/>
                <w:i/>
                <w:iCs/>
                <w:sz w:val="20"/>
                <w:szCs w:val="20"/>
              </w:rPr>
              <w:t>’</w:t>
            </w:r>
          </w:p>
        </w:tc>
        <w:tc>
          <w:tcPr>
            <w:tcW w:w="1017" w:type="dxa"/>
          </w:tcPr>
          <w:p w14:paraId="17A84ACB"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US"/>
              </w:rPr>
            </w:pPr>
            <w:r w:rsidRPr="003673A1">
              <w:rPr>
                <w:rFonts w:ascii="Arial" w:hAnsi="Arial" w:cs="Arial"/>
                <w:sz w:val="20"/>
                <w:szCs w:val="20"/>
              </w:rPr>
              <w:t>MA234.1</w:t>
            </w:r>
          </w:p>
        </w:tc>
        <w:tc>
          <w:tcPr>
            <w:tcW w:w="1260" w:type="dxa"/>
          </w:tcPr>
          <w:p w14:paraId="2E4A1468"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US"/>
              </w:rPr>
            </w:pPr>
            <w:r w:rsidRPr="003673A1">
              <w:rPr>
                <w:rFonts w:ascii="Arial" w:hAnsi="Arial" w:cs="Arial"/>
                <w:sz w:val="20"/>
                <w:szCs w:val="20"/>
                <w:lang w:val="en-US"/>
              </w:rPr>
              <w:t>This study</w:t>
            </w:r>
          </w:p>
        </w:tc>
        <w:tc>
          <w:tcPr>
            <w:tcW w:w="3103" w:type="dxa"/>
          </w:tcPr>
          <w:p w14:paraId="6AFD9845"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673A1">
              <w:rPr>
                <w:rFonts w:ascii="Arial" w:hAnsi="Arial" w:cs="Arial"/>
                <w:sz w:val="20"/>
                <w:szCs w:val="20"/>
                <w:lang w:val="en-US"/>
              </w:rPr>
              <w:t xml:space="preserve">Strain lacking a gene coding for a putative dehydrin-like protein </w:t>
            </w:r>
            <w:r>
              <w:rPr>
                <w:rFonts w:ascii="Arial" w:hAnsi="Arial" w:cs="Arial"/>
                <w:sz w:val="20"/>
                <w:szCs w:val="20"/>
                <w:lang w:val="en-US"/>
              </w:rPr>
              <w:fldChar w:fldCharType="begin"/>
            </w:r>
            <w:r>
              <w:rPr>
                <w:rFonts w:ascii="Arial" w:hAnsi="Arial" w:cs="Arial"/>
                <w:sz w:val="20"/>
                <w:szCs w:val="20"/>
                <w:lang w:val="en-US"/>
              </w:rPr>
              <w:instrText xml:space="preserve"> ADDIN ZOTERO_ITEM CSL_CITATION {"citationID":"VHFtoM4o","properties":{"formattedCitation":"(45)","plainCitation":"(45)","noteIndex":0},"citationItems":[{"id":65,"uris":["http://zotero.org/users/local/Xpd0W7OM/items/VMS24LJV"],"itemData":{"id":65,"type":"article-journal","abstract":"This article identifies novel stress-protective proteins that belong to the family of intrinsically unstructured proteins, DprA and DprB, which are associated with the cytosol and the peroxisomes in Aspergillus fumigatus.,  During a search for genes controlling conidial dormancy in Aspergillus fumigatus, two dehydrin-like genes, DprA and DprB, were identified. The deduced proteins had repeated stretches of 23 amino acids that contained a conserved dehydrin-like protein (DPR) motif. Disrupted DprAΔ mutants were hypersensitive to oxidative stress and to phagocytic killing, whereas DprBΔ mutants were impaired in osmotic and pH stress responses. However, no effect was observed on their pathogenicity in our experimental models of invasive aspergillosis. Molecular dissection of the signaling pathways acting upstream showed that expression of DprA was dependent on the stress-activated kinase SakA and the cyclic AMP-protein kinase A (cAMP-PKA) pathways, which activate the bZIP transcription factor AtfA, while expression of DprB was dependent on the SakA mitogen-activated protein kinase (MAPK) pathway, and the zinc finger transcription factor PacC. Fluorescent protein fusions showed that both proteins were associated with peroxisomes and the cytosol. Accordingly, DprA and DprB were important for peroxisome function. Our findings reveal a novel family of stress-protective proteins in A. fumigatus and, potentially, in filamentous ascomycetes.","container-title":"Molecular Biology of the Cell","DOI":"10.1091/mbc.E10-11-0914","ISSN":"1059-1524","issue":"11","journalAbbreviation":"Mol Biol Cell","note":"PMID: 21490150\nPMCID: PMC3103405","page":"1896-1906","source":"PubMed Central","title":"A novel family of dehydrin-like proteins is involved in stress response in the human fungal pathogen Aspergillus fumigatus","volume":"22","author":[{"family":"Hoi","given":"Joanne Wong Sak"},{"family":"Lamarre","given":"Claude"},{"family":"Beau","given":"Rémi"},{"family":"Meneau","given":"Isabelle"},{"family":"Berepiki","given":"Adokiye"},{"family":"Barre","given":"Annick"},{"family":"Mellado","given":"Emilia"},{"family":"Read","given":"Nick D."},{"family":"Latgé","given":"Jean-Paul"}],"issued":{"date-parts":[["2011",6,1]]}}}],"schema":"https://github.com/citation-style-language/schema/raw/master/csl-citation.json"} </w:instrText>
            </w:r>
            <w:r>
              <w:rPr>
                <w:rFonts w:ascii="Arial" w:hAnsi="Arial" w:cs="Arial"/>
                <w:sz w:val="20"/>
                <w:szCs w:val="20"/>
                <w:lang w:val="en-US"/>
              </w:rPr>
              <w:fldChar w:fldCharType="separate"/>
            </w:r>
            <w:r w:rsidRPr="00B46D93">
              <w:rPr>
                <w:rFonts w:ascii="Arial" w:hAnsi="Arial" w:cs="Arial"/>
                <w:sz w:val="20"/>
              </w:rPr>
              <w:t>(45)</w:t>
            </w:r>
            <w:r>
              <w:rPr>
                <w:rFonts w:ascii="Arial" w:hAnsi="Arial" w:cs="Arial"/>
                <w:sz w:val="20"/>
                <w:szCs w:val="20"/>
                <w:lang w:val="en-US"/>
              </w:rPr>
              <w:fldChar w:fldCharType="end"/>
            </w:r>
          </w:p>
        </w:tc>
      </w:tr>
      <w:tr w:rsidR="00B315C2" w:rsidRPr="00334658" w14:paraId="63011A76"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08DEFDB3" w14:textId="77777777" w:rsidR="00B315C2" w:rsidRPr="003673A1" w:rsidRDefault="00B315C2" w:rsidP="004E280C">
            <w:pPr>
              <w:spacing w:line="276" w:lineRule="auto"/>
              <w:jc w:val="both"/>
              <w:rPr>
                <w:rFonts w:ascii="Arial" w:eastAsia="Calibri" w:hAnsi="Arial" w:cs="Arial"/>
                <w:b w:val="0"/>
                <w:bCs w:val="0"/>
                <w:sz w:val="20"/>
                <w:szCs w:val="20"/>
                <w:lang w:val="en-US"/>
              </w:rPr>
            </w:pPr>
            <w:r w:rsidRPr="003673A1">
              <w:rPr>
                <w:rFonts w:ascii="Arial" w:hAnsi="Arial" w:cs="Arial"/>
                <w:b w:val="0"/>
                <w:bCs w:val="0"/>
                <w:sz w:val="20"/>
                <w:szCs w:val="20"/>
              </w:rPr>
              <w:t>SJS145</w:t>
            </w:r>
          </w:p>
        </w:tc>
        <w:tc>
          <w:tcPr>
            <w:tcW w:w="2863" w:type="dxa"/>
          </w:tcPr>
          <w:p w14:paraId="6DB77B90"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US"/>
              </w:rPr>
            </w:pPr>
            <w:r w:rsidRPr="005F19A0">
              <w:rPr>
                <w:rFonts w:ascii="Arial" w:hAnsi="Arial" w:cs="Arial"/>
                <w:sz w:val="20"/>
                <w:szCs w:val="20"/>
              </w:rPr>
              <w:t>Δ</w:t>
            </w:r>
            <w:r w:rsidRPr="003673A1">
              <w:rPr>
                <w:rFonts w:ascii="Arial" w:hAnsi="Arial" w:cs="Arial"/>
                <w:i/>
                <w:iCs/>
                <w:sz w:val="20"/>
                <w:szCs w:val="20"/>
              </w:rPr>
              <w:t xml:space="preserve">NRRL3_01479, </w:t>
            </w:r>
            <w:r w:rsidRPr="005F19A0">
              <w:rPr>
                <w:rFonts w:ascii="Arial" w:hAnsi="Arial" w:cs="Arial"/>
                <w:sz w:val="20"/>
                <w:szCs w:val="20"/>
              </w:rPr>
              <w:t>Δ</w:t>
            </w:r>
            <w:r w:rsidRPr="003673A1">
              <w:rPr>
                <w:rFonts w:ascii="Arial" w:hAnsi="Arial" w:cs="Arial"/>
                <w:i/>
                <w:iCs/>
                <w:sz w:val="20"/>
                <w:szCs w:val="20"/>
              </w:rPr>
              <w:t>NRRL3_01479; ‘</w:t>
            </w:r>
            <w:proofErr w:type="spellStart"/>
            <w:r w:rsidRPr="005F19A0">
              <w:rPr>
                <w:rFonts w:ascii="Arial" w:hAnsi="Arial" w:cs="Arial"/>
                <w:sz w:val="20"/>
                <w:szCs w:val="20"/>
              </w:rPr>
              <w:t>Δ</w:t>
            </w:r>
            <w:r w:rsidRPr="003673A1">
              <w:rPr>
                <w:rFonts w:ascii="Arial" w:hAnsi="Arial" w:cs="Arial"/>
                <w:i/>
                <w:iCs/>
                <w:sz w:val="20"/>
                <w:szCs w:val="20"/>
              </w:rPr>
              <w:t>dprAB</w:t>
            </w:r>
            <w:proofErr w:type="spellEnd"/>
            <w:r w:rsidRPr="003673A1">
              <w:rPr>
                <w:rFonts w:ascii="Arial" w:hAnsi="Arial" w:cs="Arial"/>
                <w:i/>
                <w:iCs/>
                <w:sz w:val="20"/>
                <w:szCs w:val="20"/>
              </w:rPr>
              <w:t>’</w:t>
            </w:r>
          </w:p>
        </w:tc>
        <w:tc>
          <w:tcPr>
            <w:tcW w:w="1017" w:type="dxa"/>
          </w:tcPr>
          <w:p w14:paraId="330C44B7"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US"/>
              </w:rPr>
            </w:pPr>
            <w:r w:rsidRPr="003673A1">
              <w:rPr>
                <w:rFonts w:ascii="Arial" w:hAnsi="Arial" w:cs="Arial"/>
                <w:sz w:val="20"/>
                <w:szCs w:val="20"/>
              </w:rPr>
              <w:t>MA234.1</w:t>
            </w:r>
          </w:p>
        </w:tc>
        <w:tc>
          <w:tcPr>
            <w:tcW w:w="1260" w:type="dxa"/>
          </w:tcPr>
          <w:p w14:paraId="78B4EEA1"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673A1">
              <w:rPr>
                <w:rFonts w:ascii="Arial" w:hAnsi="Arial" w:cs="Arial"/>
                <w:sz w:val="20"/>
                <w:szCs w:val="20"/>
                <w:lang w:val="en-US"/>
              </w:rPr>
              <w:t>This study</w:t>
            </w:r>
          </w:p>
        </w:tc>
        <w:tc>
          <w:tcPr>
            <w:tcW w:w="3103" w:type="dxa"/>
          </w:tcPr>
          <w:p w14:paraId="503381A3"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673A1">
              <w:rPr>
                <w:rFonts w:ascii="Arial" w:hAnsi="Arial" w:cs="Arial"/>
                <w:sz w:val="20"/>
                <w:szCs w:val="20"/>
                <w:lang w:val="en-US"/>
              </w:rPr>
              <w:t xml:space="preserve">Strain lacking both putative dehydrin-like proteins </w:t>
            </w:r>
            <w:r>
              <w:rPr>
                <w:rFonts w:ascii="Arial" w:hAnsi="Arial" w:cs="Arial"/>
                <w:sz w:val="20"/>
                <w:szCs w:val="20"/>
                <w:lang w:val="en-US"/>
              </w:rPr>
              <w:fldChar w:fldCharType="begin"/>
            </w:r>
            <w:r>
              <w:rPr>
                <w:rFonts w:ascii="Arial" w:hAnsi="Arial" w:cs="Arial"/>
                <w:sz w:val="20"/>
                <w:szCs w:val="20"/>
                <w:lang w:val="en-US"/>
              </w:rPr>
              <w:instrText xml:space="preserve"> ADDIN ZOTERO_ITEM CSL_CITATION {"citationID":"DK6Hl4Js","properties":{"formattedCitation":"(45)","plainCitation":"(45)","noteIndex":0},"citationItems":[{"id":65,"uris":["http://zotero.org/users/local/Xpd0W7OM/items/VMS24LJV"],"itemData":{"id":65,"type":"article-journal","abstract":"This article identifies novel stress-protective proteins that belong to the family of intrinsically unstructured proteins, DprA and DprB, which are associated with the cytosol and the peroxisomes in Aspergillus fumigatus.,  During a search for genes controlling conidial dormancy in Aspergillus fumigatus, two dehydrin-like genes, DprA and DprB, were identified. The deduced proteins had repeated stretches of 23 amino acids that contained a conserved dehydrin-like protein (DPR) motif. Disrupted DprAΔ mutants were hypersensitive to oxidative stress and to phagocytic killing, whereas DprBΔ mutants were impaired in osmotic and pH stress responses. However, no effect was observed on their pathogenicity in our experimental models of invasive aspergillosis. Molecular dissection of the signaling pathways acting upstream showed that expression of DprA was dependent on the stress-activated kinase SakA and the cyclic AMP-protein kinase A (cAMP-PKA) pathways, which activate the bZIP transcription factor AtfA, while expression of DprB was dependent on the SakA mitogen-activated protein kinase (MAPK) pathway, and the zinc finger transcription factor PacC. Fluorescent protein fusions showed that both proteins were associated with peroxisomes and the cytosol. Accordingly, DprA and DprB were important for peroxisome function. Our findings reveal a novel family of stress-protective proteins in A. fumigatus and, potentially, in filamentous ascomycetes.","container-title":"Molecular Biology of the Cell","DOI":"10.1091/mbc.E10-11-0914","ISSN":"1059-1524","issue":"11","journalAbbreviation":"Mol Biol Cell","note":"PMID: 21490150\nPMCID: PMC3103405","page":"1896-1906","source":"PubMed Central","title":"A novel family of dehydrin-like proteins is involved in stress response in the human fungal pathogen Aspergillus fumigatus","volume":"22","author":[{"family":"Hoi","given":"Joanne Wong Sak"},{"family":"Lamarre","given":"Claude"},{"family":"Beau","given":"Rémi"},{"family":"Meneau","given":"Isabelle"},{"family":"Berepiki","given":"Adokiye"},{"family":"Barre","given":"Annick"},{"family":"Mellado","given":"Emilia"},{"family":"Read","given":"Nick D."},{"family":"Latgé","given":"Jean-Paul"}],"issued":{"date-parts":[["2011",6,1]]}}}],"schema":"https://github.com/citation-style-language/schema/raw/master/csl-citation.json"} </w:instrText>
            </w:r>
            <w:r>
              <w:rPr>
                <w:rFonts w:ascii="Arial" w:hAnsi="Arial" w:cs="Arial"/>
                <w:sz w:val="20"/>
                <w:szCs w:val="20"/>
                <w:lang w:val="en-US"/>
              </w:rPr>
              <w:fldChar w:fldCharType="separate"/>
            </w:r>
            <w:r w:rsidRPr="00B46D93">
              <w:rPr>
                <w:rFonts w:ascii="Arial" w:hAnsi="Arial" w:cs="Arial"/>
                <w:sz w:val="20"/>
              </w:rPr>
              <w:t>(45)</w:t>
            </w:r>
            <w:r>
              <w:rPr>
                <w:rFonts w:ascii="Arial" w:hAnsi="Arial" w:cs="Arial"/>
                <w:sz w:val="20"/>
                <w:szCs w:val="20"/>
                <w:lang w:val="en-US"/>
              </w:rPr>
              <w:fldChar w:fldCharType="end"/>
            </w:r>
          </w:p>
        </w:tc>
      </w:tr>
      <w:tr w:rsidR="00B315C2" w:rsidRPr="00334658" w14:paraId="1D20D9FF"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3C610F50" w14:textId="77777777" w:rsidR="00B315C2" w:rsidRPr="003673A1" w:rsidRDefault="00B315C2" w:rsidP="004E280C">
            <w:pPr>
              <w:spacing w:line="276" w:lineRule="auto"/>
              <w:jc w:val="both"/>
              <w:rPr>
                <w:rFonts w:ascii="Arial" w:eastAsia="Calibri" w:hAnsi="Arial" w:cs="Arial"/>
                <w:b w:val="0"/>
                <w:bCs w:val="0"/>
                <w:sz w:val="20"/>
                <w:szCs w:val="20"/>
              </w:rPr>
            </w:pPr>
            <w:r w:rsidRPr="003673A1">
              <w:rPr>
                <w:rFonts w:ascii="Arial" w:hAnsi="Arial" w:cs="Arial"/>
                <w:b w:val="0"/>
                <w:bCs w:val="0"/>
                <w:sz w:val="20"/>
                <w:szCs w:val="20"/>
              </w:rPr>
              <w:t>SJS146</w:t>
            </w:r>
          </w:p>
        </w:tc>
        <w:tc>
          <w:tcPr>
            <w:tcW w:w="2863" w:type="dxa"/>
          </w:tcPr>
          <w:p w14:paraId="72953FDC"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5F19A0">
              <w:rPr>
                <w:rFonts w:ascii="Arial" w:hAnsi="Arial" w:cs="Arial"/>
                <w:sz w:val="20"/>
                <w:szCs w:val="20"/>
              </w:rPr>
              <w:t>Δ</w:t>
            </w:r>
            <w:r w:rsidRPr="003673A1">
              <w:rPr>
                <w:rFonts w:ascii="Arial" w:hAnsi="Arial" w:cs="Arial"/>
                <w:i/>
                <w:iCs/>
                <w:sz w:val="20"/>
                <w:szCs w:val="20"/>
              </w:rPr>
              <w:t>NRRL3_05684; ‘</w:t>
            </w:r>
            <w:r w:rsidRPr="005F19A0">
              <w:rPr>
                <w:rFonts w:ascii="Arial" w:hAnsi="Arial" w:cs="Arial"/>
                <w:sz w:val="20"/>
                <w:szCs w:val="20"/>
              </w:rPr>
              <w:t>Δ</w:t>
            </w:r>
            <w:r w:rsidRPr="003673A1">
              <w:rPr>
                <w:rFonts w:ascii="Arial" w:hAnsi="Arial" w:cs="Arial"/>
                <w:i/>
                <w:iCs/>
                <w:sz w:val="20"/>
                <w:szCs w:val="20"/>
              </w:rPr>
              <w:t>LEA3-like’</w:t>
            </w:r>
          </w:p>
        </w:tc>
        <w:tc>
          <w:tcPr>
            <w:tcW w:w="1017" w:type="dxa"/>
          </w:tcPr>
          <w:p w14:paraId="62BFC5EB"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673A1">
              <w:rPr>
                <w:rFonts w:ascii="Arial" w:hAnsi="Arial" w:cs="Arial"/>
                <w:sz w:val="20"/>
                <w:szCs w:val="20"/>
              </w:rPr>
              <w:t>MA234.1</w:t>
            </w:r>
          </w:p>
        </w:tc>
        <w:tc>
          <w:tcPr>
            <w:tcW w:w="1260" w:type="dxa"/>
          </w:tcPr>
          <w:p w14:paraId="7218B0E5"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673A1">
              <w:rPr>
                <w:rFonts w:ascii="Arial" w:hAnsi="Arial" w:cs="Arial"/>
                <w:sz w:val="20"/>
                <w:szCs w:val="20"/>
                <w:lang w:val="en-US"/>
              </w:rPr>
              <w:t>This study</w:t>
            </w:r>
          </w:p>
        </w:tc>
        <w:tc>
          <w:tcPr>
            <w:tcW w:w="3103" w:type="dxa"/>
          </w:tcPr>
          <w:p w14:paraId="384729F1"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673A1">
              <w:rPr>
                <w:rFonts w:ascii="Arial" w:hAnsi="Arial" w:cs="Arial"/>
                <w:sz w:val="20"/>
                <w:szCs w:val="20"/>
                <w:lang w:val="en-US"/>
              </w:rPr>
              <w:t xml:space="preserve">Strain lacking a LEA3-like protein thought to be involved in the cell stress response </w:t>
            </w:r>
            <w:r>
              <w:rPr>
                <w:rFonts w:ascii="Arial" w:hAnsi="Arial" w:cs="Arial"/>
                <w:sz w:val="20"/>
                <w:szCs w:val="20"/>
                <w:lang w:val="en-US"/>
              </w:rPr>
              <w:fldChar w:fldCharType="begin"/>
            </w:r>
            <w:r>
              <w:rPr>
                <w:rFonts w:ascii="Arial" w:hAnsi="Arial" w:cs="Arial"/>
                <w:sz w:val="20"/>
                <w:szCs w:val="20"/>
                <w:lang w:val="en-US"/>
              </w:rPr>
              <w:instrText xml:space="preserve"> ADDIN ZOTERO_ITEM CSL_CITATION {"citationID":"qEAPC95n","properties":{"formattedCitation":"(26, 68)","plainCitation":"(26, 68)","noteIndex":0},"citationItems":[{"id":"KQba8FHz/6Vfhh4I2","uris":["http://zotero.org/users/local/D46hh4y4/items/BQ2GJS8V"],"itemData":{"id":167,"type":"article-journal","abstract":"The transcriptome of conidia of Aspergillus niger was analysed during the first 8 h of germination. Dormant conidia started to grow isotropically two h after inoculation in liquid medium. Isotropic growth changed to polarised growth after 6 h, which coincided with one round of\nmitosis. Dormant conidia contained transcripts from 4 626 genes. The number of genes with transcripts decreased to 3 557 after 2 h of germination, after which an increase was observed with 4 780 expressed genes 8 h after inoculation. The RNA composition of dormant conidia was substantially\ndifferent than all the subsequent stages of germination. The correlation coefficient between the RNA profiles of 0 h and 8 h was 0.46. They were between 0.76–0.93 when profiles of 2, 4 and 6 h were compared with that of 8 h. Dormant conidia were characterised by high levels of transcripts\nof genes involved in the formation of protecting components such as trehalose, mannitol, protective proteins (e.g. heat shock proteins and catalase). Transcripts belonging to the Functional Gene Categories (FunCat) protein synthesis, cell cycle and DNA processing and respiration were\nover-represented in the up-regulated genes at 2 h, whereas metabolism and cell cycle and DNA processing were over-represented in the up-regulated genes at 4 h. At 6 h and 8 h no functional gene classes were over- or under-represented in the differentially expressed genes. Taken together, it\nis concluded that the transcriptome of conidia changes dramatically during the first two h and that initiation of protein synthesis and respiration are important during early stages of germination.","container-title":"Studies in Mycology","DOI":"10.3114/sim0009","issue":"1","journalAbbreviation":"Studies in Mycology","page":"59-70","source":"IngentaConnect","title":"Germination of conidia of Aspergillus niger is accompanied by major changes in RNA profiles","volume":"74","author":[{"family":"Leeuwen","given":"M.R.","non-dropping-particle":"van"},{"family":"Krijgsheld","given":"P."},{"family":"Bleichrodt","given":"R."},{"family":"Menke","given":"H."},{"family":"Stam","given":"H."},{"family":"Stark","given":"J."},{"family":"Wösten","given":"H.A.B."},{"family":"Dijksterhuis","given":"J."}],"issued":{"date-parts":[["2013",3,1]]}}},{"id":"KQba8FHz/hMnzFoY7","uris":["http://zotero.org/users/local/D46hh4y4/items/ZPKH5ET4"],"itemData":{"id":305,"type":"article-journal","abstract":"The initial characterization of the Aspergillus niger isolate JSC-093350089, collected from U.S. segment surfaces of the International Space Station (ISS), is reported, along with a comparison to the extensively studied strain ATCC 1015. Whole-genome sequencing of the ISS isolate enabled its phylogenetic placement within the A. niger/welwitschiae/lacticoffeatus clade and revealed that the genome of JSC-093350089 is within the observed genetic variance of other sequenced A. niger strains. The ISS isolate exhibited an increased rate of growth and pigment distribution compared to a terrestrial strain. Analysis of the isolate’s proteome revealed significant differences in the molecular phenotype of JSC-093350089, including increased abundance of proteins involved in the A. niger starvation response, oxidative stress resistance, cell wall modulation, and nutrient acquisition. Together, these data reveal the existence of a distinct strain of A. niger on board the ISS and provide insight into the characteristics of melanized fungal species inhabiting spacecraft environments.\nIMPORTANCE A thorough understanding of how fungi respond and adapt to the various stimuli encountered during spaceflight presents many economic benefits and is imperative for the health of crew. As A. niger is a predominant ISS isolate frequently detected in built environments, studies of A. niger strains inhabiting closed systems may reveal information fundamental to the success of long-duration space missions. This investigation provides valuable insights into the adaptive mechanisms of fungi in extreme environments as well as countermeasures to eradicate unfavorable microbes. Further, it enhances understanding of host-microbe interactions in closed systems, which can help NASA’s Human Research Program maintain a habitat healthy for crew during long-term manned space missions.","container-title":"mSystems","DOI":"10.1128/mSystems.00112-18","issue":"5","note":"publisher: American Society for Microbiology","page":"e00112-18","source":"journals.asm.org (Atypon)","title":"Characterization of Aspergillus niger Isolated from the International Space Station","volume":"3","author":[{"family":"Romsdahl","given":"Jillian"},{"family":"Blachowicz","given":"Adriana"},{"family":"Chiang","given":"Abby J."},{"family":"Singh","given":"Nitin"},{"family":"Stajich","given":"Jason E."},{"family":"Kalkum","given":"Markus"},{"family":"Venkateswaran","given":"Kasthuri"},{"family":"Wang","given":"Clay C. C."}],"issued":{"date-parts":[["2018",9,18]]}}}],"schema":"https://github.com/citation-style-language/schema/raw/master/csl-citation.json"} </w:instrText>
            </w:r>
            <w:r>
              <w:rPr>
                <w:rFonts w:ascii="Arial" w:hAnsi="Arial" w:cs="Arial"/>
                <w:sz w:val="20"/>
                <w:szCs w:val="20"/>
                <w:lang w:val="en-US"/>
              </w:rPr>
              <w:fldChar w:fldCharType="separate"/>
            </w:r>
            <w:r w:rsidRPr="00B46D93">
              <w:rPr>
                <w:rFonts w:ascii="Arial" w:hAnsi="Arial" w:cs="Arial"/>
                <w:sz w:val="20"/>
              </w:rPr>
              <w:t>(26, 68)</w:t>
            </w:r>
            <w:r>
              <w:rPr>
                <w:rFonts w:ascii="Arial" w:hAnsi="Arial" w:cs="Arial"/>
                <w:sz w:val="20"/>
                <w:szCs w:val="20"/>
                <w:lang w:val="en-US"/>
              </w:rPr>
              <w:fldChar w:fldCharType="end"/>
            </w:r>
          </w:p>
        </w:tc>
      </w:tr>
      <w:tr w:rsidR="00B315C2" w:rsidRPr="00334658" w14:paraId="0475D49D"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1057BE24" w14:textId="77777777" w:rsidR="00B315C2" w:rsidRPr="003673A1" w:rsidRDefault="00B315C2" w:rsidP="004E280C">
            <w:pPr>
              <w:spacing w:line="276" w:lineRule="auto"/>
              <w:jc w:val="both"/>
              <w:rPr>
                <w:rFonts w:ascii="Arial" w:eastAsia="Calibri" w:hAnsi="Arial" w:cs="Arial"/>
                <w:b w:val="0"/>
                <w:bCs w:val="0"/>
                <w:sz w:val="20"/>
                <w:szCs w:val="20"/>
              </w:rPr>
            </w:pPr>
            <w:r w:rsidRPr="003673A1">
              <w:rPr>
                <w:rFonts w:ascii="Arial" w:hAnsi="Arial" w:cs="Arial"/>
                <w:b w:val="0"/>
                <w:bCs w:val="0"/>
                <w:sz w:val="20"/>
                <w:szCs w:val="20"/>
              </w:rPr>
              <w:t>SJS147.2</w:t>
            </w:r>
          </w:p>
        </w:tc>
        <w:tc>
          <w:tcPr>
            <w:tcW w:w="2863" w:type="dxa"/>
          </w:tcPr>
          <w:p w14:paraId="11262EE4"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F19A0">
              <w:rPr>
                <w:rFonts w:ascii="Arial" w:hAnsi="Arial" w:cs="Arial"/>
                <w:sz w:val="20"/>
                <w:szCs w:val="20"/>
              </w:rPr>
              <w:t>Δ</w:t>
            </w:r>
            <w:r w:rsidRPr="003673A1">
              <w:rPr>
                <w:rFonts w:ascii="Arial" w:hAnsi="Arial" w:cs="Arial"/>
                <w:i/>
                <w:iCs/>
                <w:sz w:val="20"/>
                <w:szCs w:val="20"/>
              </w:rPr>
              <w:t>NRRL3_02511, ‘</w:t>
            </w:r>
            <w:proofErr w:type="spellStart"/>
            <w:r w:rsidRPr="005F19A0">
              <w:rPr>
                <w:rFonts w:ascii="Arial" w:hAnsi="Arial" w:cs="Arial"/>
                <w:sz w:val="20"/>
                <w:szCs w:val="20"/>
              </w:rPr>
              <w:t>Δ</w:t>
            </w:r>
            <w:r w:rsidRPr="003673A1">
              <w:rPr>
                <w:rFonts w:ascii="Arial" w:hAnsi="Arial" w:cs="Arial"/>
                <w:i/>
                <w:iCs/>
                <w:sz w:val="20"/>
                <w:szCs w:val="20"/>
              </w:rPr>
              <w:t>conJ</w:t>
            </w:r>
            <w:proofErr w:type="spellEnd"/>
            <w:r w:rsidRPr="003673A1">
              <w:rPr>
                <w:rFonts w:ascii="Arial" w:hAnsi="Arial" w:cs="Arial"/>
                <w:i/>
                <w:iCs/>
                <w:sz w:val="20"/>
                <w:szCs w:val="20"/>
              </w:rPr>
              <w:t>’</w:t>
            </w:r>
          </w:p>
        </w:tc>
        <w:tc>
          <w:tcPr>
            <w:tcW w:w="1017" w:type="dxa"/>
          </w:tcPr>
          <w:p w14:paraId="00E1A312"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673A1">
              <w:rPr>
                <w:rFonts w:ascii="Arial" w:hAnsi="Arial" w:cs="Arial"/>
                <w:sz w:val="20"/>
                <w:szCs w:val="20"/>
              </w:rPr>
              <w:t>MA234.1</w:t>
            </w:r>
          </w:p>
        </w:tc>
        <w:tc>
          <w:tcPr>
            <w:tcW w:w="1260" w:type="dxa"/>
          </w:tcPr>
          <w:p w14:paraId="6B398C87"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673A1">
              <w:rPr>
                <w:rFonts w:ascii="Arial" w:hAnsi="Arial" w:cs="Arial"/>
                <w:sz w:val="20"/>
                <w:szCs w:val="20"/>
                <w:lang w:val="en-US"/>
              </w:rPr>
              <w:t>This study</w:t>
            </w:r>
          </w:p>
        </w:tc>
        <w:tc>
          <w:tcPr>
            <w:tcW w:w="3103" w:type="dxa"/>
          </w:tcPr>
          <w:p w14:paraId="19D11095"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673A1">
              <w:rPr>
                <w:rFonts w:ascii="Arial" w:hAnsi="Arial" w:cs="Arial"/>
                <w:sz w:val="20"/>
                <w:szCs w:val="20"/>
                <w:lang w:val="en-US"/>
              </w:rPr>
              <w:t xml:space="preserve">Strain lacking a homologue of </w:t>
            </w:r>
            <w:proofErr w:type="spellStart"/>
            <w:r w:rsidRPr="003673A1">
              <w:rPr>
                <w:rFonts w:ascii="Arial" w:hAnsi="Arial" w:cs="Arial"/>
                <w:i/>
                <w:iCs/>
                <w:sz w:val="20"/>
                <w:szCs w:val="20"/>
                <w:lang w:val="en-US"/>
              </w:rPr>
              <w:t>conJ</w:t>
            </w:r>
            <w:proofErr w:type="spellEnd"/>
            <w:r w:rsidRPr="003673A1">
              <w:rPr>
                <w:rFonts w:ascii="Arial" w:hAnsi="Arial" w:cs="Arial"/>
                <w:sz w:val="20"/>
                <w:szCs w:val="20"/>
                <w:lang w:val="en-US"/>
              </w:rPr>
              <w:t xml:space="preserve"> </w:t>
            </w:r>
            <w:r>
              <w:rPr>
                <w:rFonts w:ascii="Arial" w:hAnsi="Arial" w:cs="Arial"/>
                <w:sz w:val="20"/>
                <w:szCs w:val="20"/>
                <w:lang w:val="en-US"/>
              </w:rPr>
              <w:t xml:space="preserve">as </w:t>
            </w:r>
            <w:r w:rsidRPr="003673A1">
              <w:rPr>
                <w:rFonts w:ascii="Arial" w:hAnsi="Arial" w:cs="Arial"/>
                <w:sz w:val="20"/>
                <w:szCs w:val="20"/>
                <w:lang w:val="en-US"/>
              </w:rPr>
              <w:t xml:space="preserve">described in </w:t>
            </w:r>
            <w:r w:rsidRPr="003673A1">
              <w:rPr>
                <w:rFonts w:ascii="Arial" w:hAnsi="Arial" w:cs="Arial"/>
                <w:i/>
                <w:iCs/>
                <w:sz w:val="20"/>
                <w:szCs w:val="20"/>
                <w:lang w:val="en-US"/>
              </w:rPr>
              <w:t xml:space="preserve">A. </w:t>
            </w:r>
            <w:proofErr w:type="spellStart"/>
            <w:r w:rsidRPr="003673A1">
              <w:rPr>
                <w:rFonts w:ascii="Arial" w:hAnsi="Arial" w:cs="Arial"/>
                <w:i/>
                <w:iCs/>
                <w:sz w:val="20"/>
                <w:szCs w:val="20"/>
                <w:lang w:val="en-US"/>
              </w:rPr>
              <w:t>nidulans</w:t>
            </w:r>
            <w:proofErr w:type="spellEnd"/>
            <w:r w:rsidRPr="003673A1">
              <w:rPr>
                <w:rFonts w:ascii="Arial" w:hAnsi="Arial" w:cs="Arial"/>
                <w:i/>
                <w:iCs/>
                <w:sz w:val="20"/>
                <w:szCs w:val="20"/>
                <w:lang w:val="en-US"/>
              </w:rPr>
              <w:t xml:space="preserve"> </w:t>
            </w:r>
            <w:r w:rsidRPr="003673A1">
              <w:rPr>
                <w:rFonts w:ascii="Arial" w:hAnsi="Arial" w:cs="Arial"/>
                <w:sz w:val="20"/>
                <w:szCs w:val="20"/>
                <w:lang w:val="en-US"/>
              </w:rPr>
              <w:t xml:space="preserve">involved in stress response </w:t>
            </w:r>
            <w:r>
              <w:rPr>
                <w:rFonts w:ascii="Arial" w:hAnsi="Arial" w:cs="Arial"/>
                <w:sz w:val="20"/>
                <w:szCs w:val="20"/>
                <w:lang w:val="en-US"/>
              </w:rPr>
              <w:fldChar w:fldCharType="begin"/>
            </w:r>
            <w:r>
              <w:rPr>
                <w:rFonts w:ascii="Arial" w:hAnsi="Arial" w:cs="Arial"/>
                <w:sz w:val="20"/>
                <w:szCs w:val="20"/>
                <w:lang w:val="en-US"/>
              </w:rPr>
              <w:instrText xml:space="preserve"> ADDIN ZOTERO_ITEM CSL_CITATION {"citationID":"oG0iq81S","properties":{"formattedCitation":"(46)","plainCitation":"(46)","noteIndex":0},"citationItems":[{"id":68,"uris":["http://zotero.org/users/local/Xpd0W7OM/items/2ADENLJG"],"itemData":{"id":68,"type":"article-journal","abstract":"Light induces various responses in fungi including formation of asexual and sexual reproductive structures. The formation of conidia in the filamentous fungus Aspergillus nidulans is regulated by red and blue light receptors. Expression of conidia associated con genes, which are widely spread in the fungal kingdom, increases upon exposure to light. We have characterized the light-inducible conF and conJ genes of A. nidulans which are homologs of con-6 and con-10 of Neurospora crassa. con genes are expressed during conidia formation in asexual development. Five minutes light exposure are sufficient to induce conF or conJ expression in vegetative mycelia. Similar to N. crassa there were no significant phenotypes of single con mutations. A double conF and conJ deletion resulted in significantly increased cellular amounts of glycerol or erythritol. This leads to a delayed germination phenotype combined with increased resistance against desiccation. These defects were rescued by complementation of the double mutant strain with either conF or conJ. This suggests that fungal con genes exhibit redundant functions in controlling conidia germination and adjusting cellular levels of substances which protect conidia against dryness.","container-title":"Fungal Genetics and Biology","DOI":"10.1016/j.fgb.2013.04.008","ISSN":"1087-1845","journalAbbreviation":"Fungal Genetics and Biology","language":"en","page":"42-53","source":"ScienceDirect","title":"conF and conJ contribute to conidia germination and stress response in the filamentous fungus Aspergillus nidulans","volume":"56","author":[{"family":"Suzuki","given":"Satoshi"},{"family":"Sarikaya Bayram","given":"Özlem"},{"family":"Bayram","given":"Özgür"},{"family":"Braus","given":"Gerhard H."}],"issued":{"date-parts":[["2013",7,1]]}}}],"schema":"https://github.com/citation-style-language/schema/raw/master/csl-citation.json"} </w:instrText>
            </w:r>
            <w:r>
              <w:rPr>
                <w:rFonts w:ascii="Arial" w:hAnsi="Arial" w:cs="Arial"/>
                <w:sz w:val="20"/>
                <w:szCs w:val="20"/>
                <w:lang w:val="en-US"/>
              </w:rPr>
              <w:fldChar w:fldCharType="separate"/>
            </w:r>
            <w:r w:rsidRPr="00B46D93">
              <w:rPr>
                <w:rFonts w:ascii="Arial" w:hAnsi="Arial" w:cs="Arial"/>
                <w:sz w:val="20"/>
              </w:rPr>
              <w:t>(46)</w:t>
            </w:r>
            <w:r>
              <w:rPr>
                <w:rFonts w:ascii="Arial" w:hAnsi="Arial" w:cs="Arial"/>
                <w:sz w:val="20"/>
                <w:szCs w:val="20"/>
                <w:lang w:val="en-US"/>
              </w:rPr>
              <w:fldChar w:fldCharType="end"/>
            </w:r>
          </w:p>
        </w:tc>
      </w:tr>
      <w:tr w:rsidR="00B315C2" w:rsidRPr="00334658" w14:paraId="26CEE027" w14:textId="77777777" w:rsidTr="00114CBB">
        <w:trPr>
          <w:trHeight w:val="674"/>
        </w:trPr>
        <w:tc>
          <w:tcPr>
            <w:cnfStyle w:val="001000000000" w:firstRow="0" w:lastRow="0" w:firstColumn="1" w:lastColumn="0" w:oddVBand="0" w:evenVBand="0" w:oddHBand="0" w:evenHBand="0" w:firstRowFirstColumn="0" w:firstRowLastColumn="0" w:lastRowFirstColumn="0" w:lastRowLastColumn="0"/>
            <w:tcW w:w="1164" w:type="dxa"/>
          </w:tcPr>
          <w:p w14:paraId="376A2C28" w14:textId="77777777" w:rsidR="00B315C2" w:rsidRPr="003673A1" w:rsidRDefault="00B315C2" w:rsidP="004E280C">
            <w:pPr>
              <w:spacing w:line="276" w:lineRule="auto"/>
              <w:jc w:val="both"/>
              <w:rPr>
                <w:rFonts w:ascii="Arial" w:eastAsia="Calibri" w:hAnsi="Arial" w:cs="Arial"/>
                <w:b w:val="0"/>
                <w:bCs w:val="0"/>
                <w:sz w:val="20"/>
                <w:szCs w:val="20"/>
              </w:rPr>
            </w:pPr>
            <w:r w:rsidRPr="003673A1">
              <w:rPr>
                <w:rFonts w:ascii="Arial" w:hAnsi="Arial" w:cs="Arial"/>
                <w:b w:val="0"/>
                <w:bCs w:val="0"/>
                <w:sz w:val="20"/>
                <w:szCs w:val="20"/>
              </w:rPr>
              <w:t>JZ2.1</w:t>
            </w:r>
          </w:p>
        </w:tc>
        <w:tc>
          <w:tcPr>
            <w:tcW w:w="2863" w:type="dxa"/>
          </w:tcPr>
          <w:p w14:paraId="7F2CB8F1"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5F19A0">
              <w:rPr>
                <w:rFonts w:ascii="Arial" w:hAnsi="Arial" w:cs="Arial"/>
                <w:sz w:val="20"/>
                <w:szCs w:val="20"/>
              </w:rPr>
              <w:t>Δ</w:t>
            </w:r>
            <w:r w:rsidRPr="003673A1">
              <w:rPr>
                <w:rFonts w:ascii="Arial" w:hAnsi="Arial" w:cs="Arial"/>
                <w:i/>
                <w:iCs/>
                <w:sz w:val="20"/>
                <w:szCs w:val="20"/>
              </w:rPr>
              <w:t>NRRL3_11620; ‘</w:t>
            </w:r>
            <w:r w:rsidRPr="005F19A0">
              <w:rPr>
                <w:rFonts w:ascii="Arial" w:hAnsi="Arial" w:cs="Arial"/>
                <w:sz w:val="20"/>
                <w:szCs w:val="20"/>
              </w:rPr>
              <w:t>Δ</w:t>
            </w:r>
            <w:r w:rsidRPr="003673A1">
              <w:rPr>
                <w:rFonts w:ascii="Arial" w:hAnsi="Arial" w:cs="Arial"/>
                <w:i/>
                <w:iCs/>
                <w:sz w:val="20"/>
                <w:szCs w:val="20"/>
              </w:rPr>
              <w:t>hsp9/12’</w:t>
            </w:r>
          </w:p>
        </w:tc>
        <w:tc>
          <w:tcPr>
            <w:tcW w:w="1017" w:type="dxa"/>
          </w:tcPr>
          <w:p w14:paraId="71C00184"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673A1">
              <w:rPr>
                <w:rFonts w:ascii="Arial" w:hAnsi="Arial" w:cs="Arial"/>
                <w:sz w:val="20"/>
                <w:szCs w:val="20"/>
              </w:rPr>
              <w:t>MA234.1</w:t>
            </w:r>
          </w:p>
        </w:tc>
        <w:tc>
          <w:tcPr>
            <w:tcW w:w="1260" w:type="dxa"/>
          </w:tcPr>
          <w:p w14:paraId="6E070A7A"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673A1">
              <w:rPr>
                <w:rFonts w:ascii="Arial" w:hAnsi="Arial" w:cs="Arial"/>
                <w:sz w:val="20"/>
                <w:szCs w:val="20"/>
                <w:lang w:val="en-US"/>
              </w:rPr>
              <w:t>This study</w:t>
            </w:r>
          </w:p>
        </w:tc>
        <w:tc>
          <w:tcPr>
            <w:tcW w:w="3103" w:type="dxa"/>
          </w:tcPr>
          <w:p w14:paraId="1F29EF52" w14:textId="77777777" w:rsidR="00B315C2" w:rsidRPr="003673A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673A1">
              <w:rPr>
                <w:rFonts w:ascii="Arial" w:hAnsi="Arial" w:cs="Arial"/>
                <w:sz w:val="20"/>
                <w:szCs w:val="20"/>
                <w:lang w:val="en-US"/>
              </w:rPr>
              <w:t xml:space="preserve">Strain lacking putative </w:t>
            </w:r>
            <w:r w:rsidRPr="003673A1">
              <w:rPr>
                <w:rFonts w:ascii="Arial" w:hAnsi="Arial" w:cs="Arial"/>
                <w:i/>
                <w:iCs/>
                <w:sz w:val="20"/>
                <w:szCs w:val="20"/>
                <w:lang w:val="en-US"/>
              </w:rPr>
              <w:t>hsp12</w:t>
            </w:r>
            <w:r w:rsidRPr="003673A1">
              <w:rPr>
                <w:rFonts w:ascii="Arial" w:hAnsi="Arial" w:cs="Arial"/>
                <w:sz w:val="20"/>
                <w:szCs w:val="20"/>
                <w:lang w:val="en-US"/>
              </w:rPr>
              <w:t xml:space="preserve"> homologue, important for plasma membrane stability in </w:t>
            </w:r>
            <w:r w:rsidRPr="003673A1">
              <w:rPr>
                <w:rFonts w:ascii="Arial" w:hAnsi="Arial" w:cs="Arial"/>
                <w:i/>
                <w:iCs/>
                <w:sz w:val="20"/>
                <w:szCs w:val="20"/>
                <w:lang w:val="en-US"/>
              </w:rPr>
              <w:t xml:space="preserve">S. cerevisiae </w:t>
            </w:r>
            <w:r>
              <w:rPr>
                <w:rFonts w:ascii="Arial" w:hAnsi="Arial" w:cs="Arial"/>
                <w:i/>
                <w:iCs/>
                <w:sz w:val="20"/>
                <w:szCs w:val="20"/>
                <w:lang w:val="en-US"/>
              </w:rPr>
              <w:fldChar w:fldCharType="begin"/>
            </w:r>
            <w:r>
              <w:rPr>
                <w:rFonts w:ascii="Arial" w:hAnsi="Arial" w:cs="Arial"/>
                <w:i/>
                <w:iCs/>
                <w:sz w:val="20"/>
                <w:szCs w:val="20"/>
                <w:lang w:val="en-US"/>
              </w:rPr>
              <w:instrText xml:space="preserve"> ADDIN ZOTERO_ITEM CSL_CITATION {"citationID":"xtF43RbL","properties":{"formattedCitation":"(47, 48)","plainCitation":"(47, 48)","noteIndex":0},"citationItems":[{"id":71,"uris":["http://zotero.org/users/local/Xpd0W7OM/items/KT7V43GY"],"itemData":{"id":71,"type":"article-journal","abstract":"The HSP12 gene encodes one of the two major small heat-shock proteins of Saccharomyces cerevisiae and is induced under different conditions, such as low and high temperatures, osmotic or oxidative stress and high sugar or ethanol concentrations. However, few studies could demonstrate any correlation between HSP12 deletion or overexpression and a phenotype of sensitivity/resistance, making it difficult to attribute a role for Hsp12p under several of these stress conditions. We investigated the possible role of Hsp12p in yeast freezing tolerance. Contrary to what would be expected, the hsp12 null mutant when subjected to prolonged storage at −20 °C showed an increased resistance to freezing when compared with the isogenic wild-type strain. Because the mutant strain displayed a higher intracellular trehalose concentration than the wild-type, which could mask the effect of manipulating HSP12, we overexpressed the HSP12 gene in a trehalose-6-phosphate synthase (TPS1) null mutant. The tps1Δ strain overexpressing HSP12 showed an increase in resistance to freezing storage, indicating that Hsp12p plays a role in freezing tolerance in a way that seems to be interchangeable with trehalose. In addition, we show that overexpression of HSP12 in this tps1Δ strain also increased resistance to heat shock and that absence of HSP12 compromises the ability of yeast cells to accumulate high levels of trehalose in response to a mild heat stress.","container-title":"Microbiology","DOI":"10.1099/mic.0.025981-0","ISSN":"1465-2080","issue":"6","note":"publisher: Microbiology Society,","page":"2021-2028","source":"Microbiology Society Journals","title":"Small heat-shock protein Hsp12 contributes to yeast tolerance to freezing stress","volume":"155","author":[{"family":"Pacheco","given":"A."},{"family":"Pereira","given":"C."},{"family":"Almeida","given":"M. J."},{"family":"Sousa","given":"M. J."}],"issued":{"date-parts":[["2009"]]}}},{"id":73,"uris":["http://zotero.org/users/local/Xpd0W7OM/items/K47JZX5W"],"itemData":{"id":73,"type":"article-journal","abstract":"The LEA-like protein HSP 12 was identified as having a plasma membrane location in yeast. Gold particles, indicative of the presence of HSP 12, were observed on the external side of the plasma membrane when yeast grown to stationary phase were subjected to immunocytochemical analysis. Growth of yeast in the osmolyte mannitol resulted in an increased number of gold particles that were now observed to be present on both sides of the plasma membrane. No gold particles were observed using a mutant strain of the same yeast that did not express HSP 12. A model liposome system encapsulating the fluorescent dye calcein was used to investigate the protection by HSP 12 of membranes during desiccation. HSP 12 was found to act in an analogous manner to trehalose and protect liposomal membrane integrity against desiccation. The interaction between HSP 12 and the liposomal membrane was judged to be electrostatic as membrane protection was only observed with positively charged liposomes and not with either neutral or negatively charged liposomes. The ability of the wild-type and mutant yeast to grow in media containing ethanol was compared. It was found that yeast not expressing the HSP 12 protein were less able to grow in media containing ethanol. HSP 12 was shown to confer increased integrity on the liposomal membrane in the presence of ethanol. Ethanol, like mannitol, was found to induce HSP 12 protein synthesis. However, yeast grown in both ethanol and mannitol showed a decreased HSP 12 response compared with yeast grown in the presence of either osmolyte alone.","container-title":"Biochimica et Biophysica Acta (BBA) - Biomembranes","DOI":"10.1016/S0005-2736(99)00215-1","ISSN":"0005-2736","issue":"2","journalAbbreviation":"Biochimica et Biophysica Acta (BBA) - Biomembranes","language":"en","page":"267-278","source":"ScienceDirect","title":"The LEA-like protein HSP 12 in Saccharomyces cerevisiae has a plasma membrane location and protects membranes against desiccation and ethanol-induced stress","volume":"1463","author":[{"family":"Sales","given":"Kurt"},{"family":"Brandt","given":"Wolf"},{"family":"Rumbak","given":"Elaine"},{"family":"Lindsey","given":"George"}],"issued":{"date-parts":[["2000",2,15]]}}}],"schema":"https://github.com/citation-style-language/schema/raw/master/csl-citation.json"} </w:instrText>
            </w:r>
            <w:r>
              <w:rPr>
                <w:rFonts w:ascii="Arial" w:hAnsi="Arial" w:cs="Arial"/>
                <w:i/>
                <w:iCs/>
                <w:sz w:val="20"/>
                <w:szCs w:val="20"/>
                <w:lang w:val="en-US"/>
              </w:rPr>
              <w:fldChar w:fldCharType="separate"/>
            </w:r>
            <w:r w:rsidRPr="00B46D93">
              <w:rPr>
                <w:rFonts w:ascii="Arial" w:hAnsi="Arial" w:cs="Arial"/>
                <w:sz w:val="20"/>
              </w:rPr>
              <w:t>(47, 48)</w:t>
            </w:r>
            <w:r>
              <w:rPr>
                <w:rFonts w:ascii="Arial" w:hAnsi="Arial" w:cs="Arial"/>
                <w:i/>
                <w:iCs/>
                <w:sz w:val="20"/>
                <w:szCs w:val="20"/>
                <w:lang w:val="en-US"/>
              </w:rPr>
              <w:fldChar w:fldCharType="end"/>
            </w:r>
          </w:p>
        </w:tc>
      </w:tr>
      <w:tr w:rsidR="00B315C2" w:rsidRPr="00334658" w14:paraId="4FBFBFA1"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6979F6F5" w14:textId="77777777" w:rsidR="00B315C2" w:rsidRPr="003673A1" w:rsidRDefault="00B315C2" w:rsidP="004E280C">
            <w:pPr>
              <w:spacing w:line="276" w:lineRule="auto"/>
              <w:jc w:val="both"/>
              <w:rPr>
                <w:rFonts w:ascii="Arial" w:eastAsia="Calibri" w:hAnsi="Arial" w:cs="Arial"/>
                <w:b w:val="0"/>
                <w:bCs w:val="0"/>
                <w:sz w:val="20"/>
                <w:szCs w:val="20"/>
              </w:rPr>
            </w:pPr>
            <w:r w:rsidRPr="003673A1">
              <w:rPr>
                <w:rFonts w:ascii="Arial" w:hAnsi="Arial" w:cs="Arial"/>
                <w:b w:val="0"/>
                <w:bCs w:val="0"/>
                <w:sz w:val="20"/>
                <w:szCs w:val="20"/>
              </w:rPr>
              <w:t>JZ3.1</w:t>
            </w:r>
          </w:p>
        </w:tc>
        <w:tc>
          <w:tcPr>
            <w:tcW w:w="2863" w:type="dxa"/>
          </w:tcPr>
          <w:p w14:paraId="0703F717"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F19A0">
              <w:rPr>
                <w:rFonts w:ascii="Arial" w:hAnsi="Arial" w:cs="Arial"/>
                <w:sz w:val="20"/>
                <w:szCs w:val="20"/>
              </w:rPr>
              <w:t>Δ</w:t>
            </w:r>
            <w:r w:rsidRPr="003673A1">
              <w:rPr>
                <w:rFonts w:ascii="Arial" w:hAnsi="Arial" w:cs="Arial"/>
                <w:i/>
                <w:iCs/>
                <w:sz w:val="20"/>
                <w:szCs w:val="20"/>
              </w:rPr>
              <w:t>NRRL3_02725; ‘</w:t>
            </w:r>
            <w:r w:rsidRPr="005F19A0">
              <w:rPr>
                <w:rFonts w:ascii="Arial" w:hAnsi="Arial" w:cs="Arial"/>
                <w:sz w:val="20"/>
                <w:szCs w:val="20"/>
              </w:rPr>
              <w:t>Δ</w:t>
            </w:r>
            <w:r w:rsidRPr="003673A1">
              <w:rPr>
                <w:rFonts w:ascii="Arial" w:hAnsi="Arial" w:cs="Arial"/>
                <w:i/>
                <w:iCs/>
                <w:sz w:val="20"/>
                <w:szCs w:val="20"/>
              </w:rPr>
              <w:t>hsp104’</w:t>
            </w:r>
          </w:p>
        </w:tc>
        <w:tc>
          <w:tcPr>
            <w:tcW w:w="1017" w:type="dxa"/>
          </w:tcPr>
          <w:p w14:paraId="3E2AD7EA"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673A1">
              <w:rPr>
                <w:rFonts w:ascii="Arial" w:hAnsi="Arial" w:cs="Arial"/>
                <w:sz w:val="20"/>
                <w:szCs w:val="20"/>
              </w:rPr>
              <w:t>MA234.1</w:t>
            </w:r>
          </w:p>
        </w:tc>
        <w:tc>
          <w:tcPr>
            <w:tcW w:w="1260" w:type="dxa"/>
          </w:tcPr>
          <w:p w14:paraId="0CAA0C72"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673A1">
              <w:rPr>
                <w:rFonts w:ascii="Arial" w:hAnsi="Arial" w:cs="Arial"/>
                <w:sz w:val="20"/>
                <w:szCs w:val="20"/>
                <w:lang w:val="en-US"/>
              </w:rPr>
              <w:t>This study</w:t>
            </w:r>
          </w:p>
        </w:tc>
        <w:tc>
          <w:tcPr>
            <w:tcW w:w="3103" w:type="dxa"/>
          </w:tcPr>
          <w:p w14:paraId="72AC1C1F" w14:textId="77777777" w:rsidR="00B315C2" w:rsidRPr="003673A1"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673A1">
              <w:rPr>
                <w:rFonts w:ascii="Arial" w:hAnsi="Arial" w:cs="Arial"/>
                <w:sz w:val="20"/>
                <w:szCs w:val="20"/>
                <w:lang w:val="en-US"/>
              </w:rPr>
              <w:t xml:space="preserve">Strain lacking putative </w:t>
            </w:r>
            <w:r w:rsidRPr="003673A1">
              <w:rPr>
                <w:rFonts w:ascii="Arial" w:hAnsi="Arial" w:cs="Arial"/>
                <w:i/>
                <w:iCs/>
                <w:sz w:val="20"/>
                <w:szCs w:val="20"/>
                <w:lang w:val="en-US"/>
              </w:rPr>
              <w:t>hsp104</w:t>
            </w:r>
            <w:r w:rsidRPr="003673A1">
              <w:rPr>
                <w:rFonts w:ascii="Arial" w:hAnsi="Arial" w:cs="Arial"/>
                <w:sz w:val="20"/>
                <w:szCs w:val="20"/>
                <w:lang w:val="en-US"/>
              </w:rPr>
              <w:t xml:space="preserve"> homologue, important for heat resistance in </w:t>
            </w:r>
            <w:r w:rsidRPr="003673A1">
              <w:rPr>
                <w:rFonts w:ascii="Arial" w:hAnsi="Arial" w:cs="Arial"/>
                <w:i/>
                <w:iCs/>
                <w:sz w:val="20"/>
                <w:szCs w:val="20"/>
                <w:lang w:val="en-US"/>
              </w:rPr>
              <w:t>S. cerevisiae</w:t>
            </w:r>
            <w:r>
              <w:rPr>
                <w:rFonts w:ascii="Arial" w:hAnsi="Arial" w:cs="Arial"/>
                <w:i/>
                <w:iCs/>
                <w:sz w:val="20"/>
                <w:szCs w:val="20"/>
                <w:lang w:val="en-US"/>
              </w:rPr>
              <w:t xml:space="preserve"> </w:t>
            </w:r>
            <w:r>
              <w:rPr>
                <w:rFonts w:ascii="Arial" w:hAnsi="Arial" w:cs="Arial"/>
                <w:i/>
                <w:iCs/>
                <w:sz w:val="20"/>
                <w:szCs w:val="20"/>
                <w:lang w:val="en-US"/>
              </w:rPr>
              <w:fldChar w:fldCharType="begin"/>
            </w:r>
            <w:r>
              <w:rPr>
                <w:rFonts w:ascii="Arial" w:hAnsi="Arial" w:cs="Arial"/>
                <w:i/>
                <w:iCs/>
                <w:sz w:val="20"/>
                <w:szCs w:val="20"/>
                <w:lang w:val="en-US"/>
              </w:rPr>
              <w:instrText xml:space="preserve"> ADDIN ZOTERO_ITEM CSL_CITATION {"citationID":"7om9BFvs","properties":{"formattedCitation":"(49, 50, 69)","plainCitation":"(49, 50, 69)","noteIndex":0},"citationItems":[{"id":79,"uris":["http://zotero.org/users/local/Xpd0W7OM/items/DVCBNC2A"],"itemData":{"id":79,"type":"article-journal","abstract":"We isolated a mutant strain unable to acquire heat shock resistance in stationary phase. Two mutations contributed to this phenotype. One mutation was at the TPS2locus, which encodes trehalose-6-phosphate phosphatase. The mutant fails to make trehalose and accumulates trehalose-6-phosphate. The other mutation was at the HSP104 locus. Gene disruptions showed that tps2 and hsp104 null mutants each produced moderate heat shock sensitivity in stationary phase cells. The two mutations were synergistic and the double mutant had little or no stationary phase-induced heat shock resistance. The same effect was seen in the tps1 (trehalose-6-phosphate synthase) hsp104 double mutant, suggesting that the extreme heat shock sensitivity was due mainly to a lack of trehalose rather than to the presence of trehalose-6-phosphate. However, accumulation of trehalose-6-phosphate did cause some phenotypes in the tps2 mutant, such as temperature sensitivity for growth. Finally, we isolated a high copy number suppressor of the temperature sensitivity of tps2, which we call PMU1, which reduced the levels of trehalose-6-phosphate in tps2 mutants. The encoded protein has a region homologous to the active site of phosphomutases.","container-title":"Genetics","ISSN":"0016-6731","issue":"3","journalAbbreviation":"Genetics","note":"PMID: 8913738\nPMCID: PMC1207632","page":"923-933","source":"PubMed Central","title":"Synergy between Trehalose and Hsp104 for Thermotolerance in Saccharomyces Cerevisiae","volume":"144","author":[{"family":"Elliott","given":"B."},{"family":"Haltiwanger","given":"R. S."},{"family":"Futcher","given":"B."}],"issued":{"date-parts":[["1996",11]]}}},{"id":78,"uris":["http://zotero.org/users/local/Xpd0W7OM/items/GDBRZCHK"],"itemData":{"id":78,"type":"article-journal","abstract":"A heat shock protein gene, HSP104, was isolated from Saccharomyces cerevisiae and a deletion mutation was introduced into yeast cells. Mutant cells grew at the same rate as wild-type cells and died at the same rate when exposed directly to high temperatures. However, when given a mild pre-heat treatment, the mutant cells did not acquire tolerance to heat, as did wild-type cells. Transformation with the wild-type gene rescued the defect of mutant cells. The results demonstrate that a particular heat shock protein plays a critical role in cell survival at extreme temperatures.","container-title":"Science","DOI":"10.1126/science.2188365","issue":"4959","note":"publisher: American Association for the Advancement of Science","page":"1112-1115","source":"science.org (Atypon)","title":"HSP104 Required for Induced Thermotolerance","volume":"248","author":[{"family":"Sanchez","given":"Yolanda"},{"family":"Lindquist","given":"Susan L."}],"issued":{"date-parts":[["1990",6]]}}},{"id":"KQba8FHz/EnKMM8gb","uris":["http://zotero.org/users/local/D46hh4y4/items/92A2ZEJK"],"itemData":{"id":257,"type":"article-journal","abstract":"Heat-shock proteins (hsps) are induced by many types of stress. In Saccharomyces cerevisiae, a mutation in the HSP104 gene, a member of the highly conserved hsp100 gene family, reduces the ability of log-phase fermenting cells to withstand high temperatures after mild, conditioning pretreatments. Here, we examine the expression of hsp104 and its importance for survival under many different conditions. Hsp104 is expressed at a higher level in respiring cells than in fermenting cells and is required for the unusually high basal thermotolerance of respiring cells. Its expression in stationary phase cells and spores is crucial for the naturally high thermotolerance of these cell types and for their long-term viability at low temperatures. The protein is of critical importance in tolerance to ethanol and of moderate importance in tolerance to sodium arsenite. Thus, the hsp104 mutation establishes the validity of a long-standing hypothesis in the heat-shock field, namely, that hsps have broadly protective functions. Further, that a single protein is responsible for tolerance to heat, ethanol, arsenite and long-term storage in the cold indicates that the underlying causes of lethality are similar in an extraordinary variety of circumstances. Finally, the protein is of little or no importance in tolerance to copper and cadmium, suggesting that the lethal lesions produced by these agents are fundamentally different from those produced by heat.","container-title":"The EMBO Journal","DOI":"10.1002/j.1460-2075.1992.tb05295.x","ISSN":"0261-4189","issue":"6","note":"publisher: John Wiley &amp; Sons, Ltd","page":"2357-2364","source":"embopress.org (Atypon)","title":"Hsp104 is required for tolerance to many forms of stress.","volume":"11","author":[{"family":"Sanchez","given":"Y."},{"family":"Taulien","given":"J."},{"family":"Borkovich","given":"K.a."},{"family":"Lindquist","given":"S."}],"issued":{"date-parts":[["1992",6]]}}}],"schema":"https://github.com/citation-style-language/schema/raw/master/csl-citation.json"} </w:instrText>
            </w:r>
            <w:r>
              <w:rPr>
                <w:rFonts w:ascii="Arial" w:hAnsi="Arial" w:cs="Arial"/>
                <w:i/>
                <w:iCs/>
                <w:sz w:val="20"/>
                <w:szCs w:val="20"/>
                <w:lang w:val="en-US"/>
              </w:rPr>
              <w:fldChar w:fldCharType="separate"/>
            </w:r>
            <w:r w:rsidRPr="00B46D93">
              <w:rPr>
                <w:rFonts w:ascii="Arial" w:hAnsi="Arial" w:cs="Arial"/>
                <w:sz w:val="20"/>
              </w:rPr>
              <w:t>(49, 50, 69)</w:t>
            </w:r>
            <w:r>
              <w:rPr>
                <w:rFonts w:ascii="Arial" w:hAnsi="Arial" w:cs="Arial"/>
                <w:i/>
                <w:iCs/>
                <w:sz w:val="20"/>
                <w:szCs w:val="20"/>
                <w:lang w:val="en-US"/>
              </w:rPr>
              <w:fldChar w:fldCharType="end"/>
            </w:r>
          </w:p>
        </w:tc>
      </w:tr>
      <w:tr w:rsidR="00B315C2" w:rsidRPr="00334658" w14:paraId="51ADCB03"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0A2772C3"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SJS123</w:t>
            </w:r>
          </w:p>
        </w:tc>
        <w:tc>
          <w:tcPr>
            <w:tcW w:w="2863" w:type="dxa"/>
          </w:tcPr>
          <w:p w14:paraId="266A4C34"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 xml:space="preserve">DR,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w:t>
            </w:r>
            <w:proofErr w:type="spellEnd"/>
          </w:p>
        </w:tc>
        <w:tc>
          <w:tcPr>
            <w:tcW w:w="1017" w:type="dxa"/>
          </w:tcPr>
          <w:p w14:paraId="56FA248E"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SJS121</w:t>
            </w:r>
          </w:p>
        </w:tc>
        <w:tc>
          <w:tcPr>
            <w:tcW w:w="1260" w:type="dxa"/>
          </w:tcPr>
          <w:p w14:paraId="5559483B"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5D34E7CF"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B315C2" w:rsidRPr="00334658" w14:paraId="0933A53C"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135211A0"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SJS124</w:t>
            </w:r>
          </w:p>
        </w:tc>
        <w:tc>
          <w:tcPr>
            <w:tcW w:w="2863" w:type="dxa"/>
          </w:tcPr>
          <w:p w14:paraId="4E7AF14E"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 xml:space="preserve">DR,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tpsAC</w:t>
            </w:r>
            <w:proofErr w:type="spellEnd"/>
          </w:p>
        </w:tc>
        <w:tc>
          <w:tcPr>
            <w:tcW w:w="1017" w:type="dxa"/>
          </w:tcPr>
          <w:p w14:paraId="5D88106E"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MA234.1</w:t>
            </w:r>
          </w:p>
        </w:tc>
        <w:tc>
          <w:tcPr>
            <w:tcW w:w="1260" w:type="dxa"/>
          </w:tcPr>
          <w:p w14:paraId="47EB36A9"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259CBE0C"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B315C2" w:rsidRPr="00334658" w14:paraId="71BD91DD"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1D569E3B"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SJS125</w:t>
            </w:r>
          </w:p>
        </w:tc>
        <w:tc>
          <w:tcPr>
            <w:tcW w:w="2863" w:type="dxa"/>
          </w:tcPr>
          <w:p w14:paraId="1F00F016"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 xml:space="preserve">DR,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tpsBC</w:t>
            </w:r>
            <w:proofErr w:type="spellEnd"/>
          </w:p>
        </w:tc>
        <w:tc>
          <w:tcPr>
            <w:tcW w:w="1017" w:type="dxa"/>
          </w:tcPr>
          <w:p w14:paraId="02074DBE"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SJS121</w:t>
            </w:r>
          </w:p>
        </w:tc>
        <w:tc>
          <w:tcPr>
            <w:tcW w:w="1260" w:type="dxa"/>
          </w:tcPr>
          <w:p w14:paraId="6D3E2C04"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052B85ED"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B315C2" w:rsidRPr="00334658" w14:paraId="09FA907F"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1091B10A"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SJS126</w:t>
            </w:r>
          </w:p>
        </w:tc>
        <w:tc>
          <w:tcPr>
            <w:tcW w:w="2863" w:type="dxa"/>
          </w:tcPr>
          <w:p w14:paraId="404199E2"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 xml:space="preserve">DR,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tpsABC</w:t>
            </w:r>
            <w:proofErr w:type="spellEnd"/>
          </w:p>
        </w:tc>
        <w:tc>
          <w:tcPr>
            <w:tcW w:w="1017" w:type="dxa"/>
          </w:tcPr>
          <w:p w14:paraId="2FB9575B"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SJS121</w:t>
            </w:r>
          </w:p>
        </w:tc>
        <w:tc>
          <w:tcPr>
            <w:tcW w:w="1260" w:type="dxa"/>
          </w:tcPr>
          <w:p w14:paraId="7459193E"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192A61E7"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B315C2" w:rsidRPr="00334658" w14:paraId="174DBE88"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6C8606BD"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SJS127</w:t>
            </w:r>
          </w:p>
        </w:tc>
        <w:tc>
          <w:tcPr>
            <w:tcW w:w="2863" w:type="dxa"/>
          </w:tcPr>
          <w:p w14:paraId="6CBD801C"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mpdA</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w:t>
            </w:r>
            <w:proofErr w:type="spellEnd"/>
          </w:p>
        </w:tc>
        <w:tc>
          <w:tcPr>
            <w:tcW w:w="1017" w:type="dxa"/>
          </w:tcPr>
          <w:p w14:paraId="3CE8B153"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SJS123</w:t>
            </w:r>
          </w:p>
        </w:tc>
        <w:tc>
          <w:tcPr>
            <w:tcW w:w="1260" w:type="dxa"/>
          </w:tcPr>
          <w:p w14:paraId="45E7A06F"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62028FA6"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B315C2" w:rsidRPr="00334658" w14:paraId="0A1E24B2"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1C93181D"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SJS128</w:t>
            </w:r>
          </w:p>
        </w:tc>
        <w:tc>
          <w:tcPr>
            <w:tcW w:w="2863" w:type="dxa"/>
          </w:tcPr>
          <w:p w14:paraId="5210C68F"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mpdA</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tpsABC</w:t>
            </w:r>
            <w:proofErr w:type="spellEnd"/>
          </w:p>
        </w:tc>
        <w:tc>
          <w:tcPr>
            <w:tcW w:w="1017" w:type="dxa"/>
          </w:tcPr>
          <w:p w14:paraId="689E345D"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SJS126</w:t>
            </w:r>
          </w:p>
        </w:tc>
        <w:tc>
          <w:tcPr>
            <w:tcW w:w="1260" w:type="dxa"/>
          </w:tcPr>
          <w:p w14:paraId="184BBA84"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2C3F0E8E"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B315C2" w:rsidRPr="00334658" w14:paraId="2B2C5B47"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4172829A"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SJS129</w:t>
            </w:r>
          </w:p>
        </w:tc>
        <w:tc>
          <w:tcPr>
            <w:tcW w:w="2863" w:type="dxa"/>
          </w:tcPr>
          <w:p w14:paraId="610921CA"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mtdB</w:t>
            </w:r>
            <w:proofErr w:type="spellEnd"/>
          </w:p>
        </w:tc>
        <w:tc>
          <w:tcPr>
            <w:tcW w:w="1017" w:type="dxa"/>
          </w:tcPr>
          <w:p w14:paraId="3662260A"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MA234.1</w:t>
            </w:r>
          </w:p>
        </w:tc>
        <w:tc>
          <w:tcPr>
            <w:tcW w:w="1260" w:type="dxa"/>
          </w:tcPr>
          <w:p w14:paraId="6E5A176F"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1141FA4F"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B315C2" w:rsidRPr="00334658" w14:paraId="687496C9"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5FB67D92"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SJS130</w:t>
            </w:r>
          </w:p>
        </w:tc>
        <w:tc>
          <w:tcPr>
            <w:tcW w:w="2863" w:type="dxa"/>
          </w:tcPr>
          <w:p w14:paraId="76FC2E84"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mtdB</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mpdA</w:t>
            </w:r>
            <w:proofErr w:type="spellEnd"/>
          </w:p>
        </w:tc>
        <w:tc>
          <w:tcPr>
            <w:tcW w:w="1017" w:type="dxa"/>
          </w:tcPr>
          <w:p w14:paraId="43916E0C"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VO2</w:t>
            </w:r>
          </w:p>
        </w:tc>
        <w:tc>
          <w:tcPr>
            <w:tcW w:w="1260" w:type="dxa"/>
          </w:tcPr>
          <w:p w14:paraId="3D379202"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17E933CA"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B315C2" w:rsidRPr="00334658" w14:paraId="632FF3FE"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5BC98505"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SJS131</w:t>
            </w:r>
          </w:p>
        </w:tc>
        <w:tc>
          <w:tcPr>
            <w:tcW w:w="2863" w:type="dxa"/>
          </w:tcPr>
          <w:p w14:paraId="5D00EF26"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mtdB</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w:t>
            </w:r>
            <w:proofErr w:type="spellEnd"/>
          </w:p>
        </w:tc>
        <w:tc>
          <w:tcPr>
            <w:tcW w:w="1017" w:type="dxa"/>
          </w:tcPr>
          <w:p w14:paraId="07E378F3"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SJS123</w:t>
            </w:r>
          </w:p>
        </w:tc>
        <w:tc>
          <w:tcPr>
            <w:tcW w:w="1260" w:type="dxa"/>
          </w:tcPr>
          <w:p w14:paraId="3CA3A438"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6CDFDD0C"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B315C2" w:rsidRPr="00334658" w14:paraId="44F02105"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41B040FF"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SJS132</w:t>
            </w:r>
          </w:p>
        </w:tc>
        <w:tc>
          <w:tcPr>
            <w:tcW w:w="2863" w:type="dxa"/>
          </w:tcPr>
          <w:p w14:paraId="21BA5BCB"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mtdB</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tpsABC</w:t>
            </w:r>
            <w:proofErr w:type="spellEnd"/>
          </w:p>
        </w:tc>
        <w:tc>
          <w:tcPr>
            <w:tcW w:w="1017" w:type="dxa"/>
          </w:tcPr>
          <w:p w14:paraId="05603678"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SJS126</w:t>
            </w:r>
          </w:p>
        </w:tc>
        <w:tc>
          <w:tcPr>
            <w:tcW w:w="1260" w:type="dxa"/>
          </w:tcPr>
          <w:p w14:paraId="57164427"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0C416C9B"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B315C2" w:rsidRPr="00334658" w14:paraId="187204D9"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4B2F84D2"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SJS133</w:t>
            </w:r>
          </w:p>
        </w:tc>
        <w:tc>
          <w:tcPr>
            <w:tcW w:w="2863" w:type="dxa"/>
          </w:tcPr>
          <w:p w14:paraId="79075B7B"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mtdB</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mpdA</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w:t>
            </w:r>
            <w:proofErr w:type="spellEnd"/>
          </w:p>
        </w:tc>
        <w:tc>
          <w:tcPr>
            <w:tcW w:w="1017" w:type="dxa"/>
          </w:tcPr>
          <w:p w14:paraId="2A4D6CCE"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SJS127</w:t>
            </w:r>
          </w:p>
        </w:tc>
        <w:tc>
          <w:tcPr>
            <w:tcW w:w="1260" w:type="dxa"/>
          </w:tcPr>
          <w:p w14:paraId="7753DCB2"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67468BE7"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B315C2" w:rsidRPr="00334658" w14:paraId="5578DE3A"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6930A9D5"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SJS134</w:t>
            </w:r>
          </w:p>
        </w:tc>
        <w:tc>
          <w:tcPr>
            <w:tcW w:w="2863" w:type="dxa"/>
          </w:tcPr>
          <w:p w14:paraId="0AF048A4"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mtdB</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mpdA</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tpsABC</w:t>
            </w:r>
            <w:proofErr w:type="spellEnd"/>
          </w:p>
        </w:tc>
        <w:tc>
          <w:tcPr>
            <w:tcW w:w="1017" w:type="dxa"/>
          </w:tcPr>
          <w:p w14:paraId="3F1F8382"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SJS128</w:t>
            </w:r>
          </w:p>
        </w:tc>
        <w:tc>
          <w:tcPr>
            <w:tcW w:w="1260" w:type="dxa"/>
          </w:tcPr>
          <w:p w14:paraId="3704FA74"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55090104"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B315C2" w:rsidRPr="00334658" w14:paraId="15E9CC2C"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18F246DE"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SJS135</w:t>
            </w:r>
          </w:p>
        </w:tc>
        <w:tc>
          <w:tcPr>
            <w:tcW w:w="2863" w:type="dxa"/>
          </w:tcPr>
          <w:p w14:paraId="2195666D"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
                <w:iCs/>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 xml:space="preserve">DR,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w:t>
            </w:r>
            <w:proofErr w:type="spellEnd"/>
            <w:r w:rsidRPr="00334658">
              <w:rPr>
                <w:rFonts w:ascii="Arial" w:eastAsia="Calibri" w:hAnsi="Arial" w:cs="Arial"/>
                <w:i/>
                <w:iCs/>
                <w:sz w:val="20"/>
                <w:szCs w:val="20"/>
              </w:rPr>
              <w:t>,</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mtdA</w:t>
            </w:r>
            <w:proofErr w:type="spellEnd"/>
          </w:p>
        </w:tc>
        <w:tc>
          <w:tcPr>
            <w:tcW w:w="1017" w:type="dxa"/>
          </w:tcPr>
          <w:p w14:paraId="7B872AC7"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SJS123</w:t>
            </w:r>
          </w:p>
        </w:tc>
        <w:tc>
          <w:tcPr>
            <w:tcW w:w="1260" w:type="dxa"/>
          </w:tcPr>
          <w:p w14:paraId="0B810391"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6F727B1C"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B315C2" w:rsidRPr="00334658" w14:paraId="5DB79EE8"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454A7625"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SJS136</w:t>
            </w:r>
          </w:p>
        </w:tc>
        <w:tc>
          <w:tcPr>
            <w:tcW w:w="2863" w:type="dxa"/>
          </w:tcPr>
          <w:p w14:paraId="54A35231"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iCs/>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 xml:space="preserve">DR,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tpsABC</w:t>
            </w:r>
            <w:proofErr w:type="spellEnd"/>
            <w:r w:rsidRPr="00334658">
              <w:rPr>
                <w:rFonts w:ascii="Arial" w:eastAsia="Calibri" w:hAnsi="Arial" w:cs="Arial"/>
                <w:i/>
                <w:iCs/>
                <w:sz w:val="20"/>
                <w:szCs w:val="20"/>
              </w:rPr>
              <w:t>,</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mtdA</w:t>
            </w:r>
            <w:proofErr w:type="spellEnd"/>
          </w:p>
        </w:tc>
        <w:tc>
          <w:tcPr>
            <w:tcW w:w="1017" w:type="dxa"/>
          </w:tcPr>
          <w:p w14:paraId="1894F918"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SJS126</w:t>
            </w:r>
          </w:p>
        </w:tc>
        <w:tc>
          <w:tcPr>
            <w:tcW w:w="1260" w:type="dxa"/>
          </w:tcPr>
          <w:p w14:paraId="2624D8A6"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6E98245B"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B315C2" w:rsidRPr="00334658" w14:paraId="00EDF17B"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68582131"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SJS137</w:t>
            </w:r>
          </w:p>
        </w:tc>
        <w:tc>
          <w:tcPr>
            <w:tcW w:w="2863" w:type="dxa"/>
          </w:tcPr>
          <w:p w14:paraId="17FE38C2"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
                <w:iCs/>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tpsABC</w:t>
            </w:r>
            <w:proofErr w:type="spellEnd"/>
            <w:r w:rsidRPr="00334658">
              <w:rPr>
                <w:rFonts w:ascii="Arial" w:eastAsia="Calibri" w:hAnsi="Arial" w:cs="Arial"/>
                <w:i/>
                <w:iCs/>
                <w:sz w:val="20"/>
                <w:szCs w:val="20"/>
              </w:rPr>
              <w:t>,</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mpdA</w:t>
            </w:r>
            <w:proofErr w:type="spellEnd"/>
            <w:r w:rsidRPr="00334658">
              <w:rPr>
                <w:rFonts w:ascii="Arial" w:eastAsia="Calibri" w:hAnsi="Arial" w:cs="Arial"/>
                <w:i/>
                <w:iCs/>
                <w:sz w:val="20"/>
                <w:szCs w:val="20"/>
              </w:rPr>
              <w:t>,</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mtdA</w:t>
            </w:r>
            <w:proofErr w:type="spellEnd"/>
          </w:p>
        </w:tc>
        <w:tc>
          <w:tcPr>
            <w:tcW w:w="1017" w:type="dxa"/>
          </w:tcPr>
          <w:p w14:paraId="0ED429CB"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SJS128</w:t>
            </w:r>
          </w:p>
        </w:tc>
        <w:tc>
          <w:tcPr>
            <w:tcW w:w="1260" w:type="dxa"/>
          </w:tcPr>
          <w:p w14:paraId="7C5416E0"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40FE902D"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B315C2" w:rsidRPr="00334658" w14:paraId="074EB730"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4355BB13"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SJS138</w:t>
            </w:r>
          </w:p>
        </w:tc>
        <w:tc>
          <w:tcPr>
            <w:tcW w:w="2863" w:type="dxa"/>
          </w:tcPr>
          <w:p w14:paraId="4AF69501"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iCs/>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mtdAB</w:t>
            </w:r>
            <w:proofErr w:type="spellEnd"/>
          </w:p>
        </w:tc>
        <w:tc>
          <w:tcPr>
            <w:tcW w:w="1017" w:type="dxa"/>
          </w:tcPr>
          <w:p w14:paraId="70BF2924"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SJS129</w:t>
            </w:r>
          </w:p>
        </w:tc>
        <w:tc>
          <w:tcPr>
            <w:tcW w:w="1260" w:type="dxa"/>
          </w:tcPr>
          <w:p w14:paraId="709A4BDA"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6A5CDB1C"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B315C2" w:rsidRPr="00334658" w14:paraId="76C825D0"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71D66322"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SJS139</w:t>
            </w:r>
          </w:p>
        </w:tc>
        <w:tc>
          <w:tcPr>
            <w:tcW w:w="2863" w:type="dxa"/>
          </w:tcPr>
          <w:p w14:paraId="48A6001E"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
                <w:iCs/>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mtdAB</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mpdA</w:t>
            </w:r>
            <w:proofErr w:type="spellEnd"/>
          </w:p>
        </w:tc>
        <w:tc>
          <w:tcPr>
            <w:tcW w:w="1017" w:type="dxa"/>
          </w:tcPr>
          <w:p w14:paraId="235F66FA"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SJS130</w:t>
            </w:r>
          </w:p>
        </w:tc>
        <w:tc>
          <w:tcPr>
            <w:tcW w:w="1260" w:type="dxa"/>
          </w:tcPr>
          <w:p w14:paraId="1DFE43C3"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3E7A597F"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B315C2" w:rsidRPr="00334658" w14:paraId="2A4ACAF0"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775FA41B"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SJS141</w:t>
            </w:r>
          </w:p>
        </w:tc>
        <w:tc>
          <w:tcPr>
            <w:tcW w:w="2863" w:type="dxa"/>
          </w:tcPr>
          <w:p w14:paraId="2B279047"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iCs/>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mtdAB</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tpsABC</w:t>
            </w:r>
            <w:proofErr w:type="spellEnd"/>
          </w:p>
        </w:tc>
        <w:tc>
          <w:tcPr>
            <w:tcW w:w="1017" w:type="dxa"/>
          </w:tcPr>
          <w:p w14:paraId="27D6BFFF"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SJS132</w:t>
            </w:r>
          </w:p>
        </w:tc>
        <w:tc>
          <w:tcPr>
            <w:tcW w:w="1260" w:type="dxa"/>
          </w:tcPr>
          <w:p w14:paraId="7490690F"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631B52F7"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B315C2" w:rsidRPr="00334658" w14:paraId="4A604E68"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125820AC"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SJS142</w:t>
            </w:r>
          </w:p>
        </w:tc>
        <w:tc>
          <w:tcPr>
            <w:tcW w:w="2863" w:type="dxa"/>
          </w:tcPr>
          <w:p w14:paraId="59EA24E6"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
                <w:iCs/>
                <w:sz w:val="20"/>
                <w:szCs w:val="20"/>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mtdAB</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mpdA</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tpsABC</w:t>
            </w:r>
            <w:proofErr w:type="spellEnd"/>
          </w:p>
        </w:tc>
        <w:tc>
          <w:tcPr>
            <w:tcW w:w="1017" w:type="dxa"/>
          </w:tcPr>
          <w:p w14:paraId="06967129"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SJS134</w:t>
            </w:r>
          </w:p>
        </w:tc>
        <w:tc>
          <w:tcPr>
            <w:tcW w:w="1260" w:type="dxa"/>
          </w:tcPr>
          <w:p w14:paraId="547FF10F"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4B4FAB02"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B315C2" w:rsidRPr="00334658" w14:paraId="16F185D6"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6BACCE16"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SJS149.2</w:t>
            </w:r>
          </w:p>
        </w:tc>
        <w:tc>
          <w:tcPr>
            <w:tcW w:w="2863" w:type="dxa"/>
          </w:tcPr>
          <w:p w14:paraId="5F6B07D1" w14:textId="77777777" w:rsidR="00B315C2" w:rsidRPr="00B315C2"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fr-CH"/>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B315C2">
              <w:rPr>
                <w:rFonts w:ascii="Arial" w:eastAsia="Calibri" w:hAnsi="Arial" w:cs="Arial"/>
                <w:sz w:val="20"/>
                <w:szCs w:val="20"/>
                <w:lang w:val="fr-CH"/>
              </w:rPr>
              <w:t xml:space="preserve">, </w:t>
            </w:r>
            <w:proofErr w:type="spellStart"/>
            <w:r w:rsidRPr="00B315C2">
              <w:rPr>
                <w:rFonts w:ascii="Arial" w:eastAsia="Calibri" w:hAnsi="Arial" w:cs="Arial"/>
                <w:i/>
                <w:iCs/>
                <w:sz w:val="20"/>
                <w:szCs w:val="20"/>
                <w:lang w:val="fr-CH"/>
              </w:rPr>
              <w:t>mpdA</w:t>
            </w:r>
            <w:proofErr w:type="spellEnd"/>
            <w:r w:rsidRPr="00B315C2">
              <w:rPr>
                <w:rFonts w:ascii="Arial" w:eastAsia="Calibri" w:hAnsi="Arial" w:cs="Arial"/>
                <w:i/>
                <w:iCs/>
                <w:sz w:val="20"/>
                <w:szCs w:val="20"/>
                <w:lang w:val="fr-CH"/>
              </w:rPr>
              <w:t xml:space="preserve"> </w:t>
            </w:r>
            <w:r w:rsidRPr="00B315C2">
              <w:rPr>
                <w:rFonts w:ascii="Arial" w:eastAsia="Calibri" w:hAnsi="Arial" w:cs="Arial"/>
                <w:sz w:val="20"/>
                <w:szCs w:val="20"/>
                <w:lang w:val="fr-CH"/>
              </w:rPr>
              <w:t>T669A, T672G</w:t>
            </w:r>
          </w:p>
        </w:tc>
        <w:tc>
          <w:tcPr>
            <w:tcW w:w="1017" w:type="dxa"/>
          </w:tcPr>
          <w:p w14:paraId="2817D76F"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VO2</w:t>
            </w:r>
          </w:p>
        </w:tc>
        <w:tc>
          <w:tcPr>
            <w:tcW w:w="1260" w:type="dxa"/>
          </w:tcPr>
          <w:p w14:paraId="35B0967D"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528A1918"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B315C2" w:rsidRPr="00334658" w14:paraId="79FB31A8"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4AA82D98"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SJS152.3</w:t>
            </w:r>
          </w:p>
        </w:tc>
        <w:tc>
          <w:tcPr>
            <w:tcW w:w="2863" w:type="dxa"/>
          </w:tcPr>
          <w:p w14:paraId="30EA0BAB" w14:textId="77777777" w:rsidR="00B315C2" w:rsidRPr="00B315C2"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fr-CH"/>
              </w:rPr>
            </w:pPr>
            <w:r w:rsidRPr="00334658">
              <w:rPr>
                <w:rFonts w:ascii="Arial" w:eastAsia="Calibri" w:hAnsi="Arial" w:cs="Arial"/>
                <w:i/>
                <w:iCs/>
                <w:sz w:val="20"/>
                <w:szCs w:val="20"/>
              </w:rPr>
              <w:t xml:space="preserve">cspA1, </w:t>
            </w:r>
            <w:proofErr w:type="spellStart"/>
            <w:r w:rsidRPr="00334658">
              <w:rPr>
                <w:rFonts w:ascii="Arial" w:eastAsia="Calibri" w:hAnsi="Arial" w:cs="Arial"/>
                <w:i/>
                <w:iCs/>
                <w:sz w:val="20"/>
                <w:szCs w:val="20"/>
              </w:rPr>
              <w:t>ΔkusA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B315C2">
              <w:rPr>
                <w:rFonts w:ascii="Arial" w:eastAsia="Calibri" w:hAnsi="Arial" w:cs="Arial"/>
                <w:i/>
                <w:iCs/>
                <w:sz w:val="20"/>
                <w:szCs w:val="20"/>
                <w:lang w:val="fr-CH"/>
              </w:rPr>
              <w:t xml:space="preserve">, </w:t>
            </w:r>
            <w:proofErr w:type="spellStart"/>
            <w:r w:rsidRPr="00B315C2">
              <w:rPr>
                <w:rFonts w:ascii="Arial" w:eastAsia="Calibri" w:hAnsi="Arial" w:cs="Arial"/>
                <w:i/>
                <w:iCs/>
                <w:sz w:val="20"/>
                <w:szCs w:val="20"/>
                <w:lang w:val="fr-CH"/>
              </w:rPr>
              <w:t>tpsC</w:t>
            </w:r>
            <w:proofErr w:type="spellEnd"/>
            <w:r w:rsidRPr="00B315C2">
              <w:rPr>
                <w:rFonts w:ascii="Arial" w:eastAsia="Calibri" w:hAnsi="Arial" w:cs="Arial"/>
                <w:i/>
                <w:iCs/>
                <w:sz w:val="20"/>
                <w:szCs w:val="20"/>
                <w:lang w:val="fr-CH"/>
              </w:rPr>
              <w:t xml:space="preserve"> </w:t>
            </w:r>
            <w:r w:rsidRPr="00B315C2">
              <w:rPr>
                <w:rFonts w:ascii="Arial" w:eastAsia="Calibri" w:hAnsi="Arial" w:cs="Arial"/>
                <w:sz w:val="20"/>
                <w:szCs w:val="20"/>
                <w:lang w:val="fr-CH"/>
              </w:rPr>
              <w:t>T93A, A96T</w:t>
            </w:r>
          </w:p>
        </w:tc>
        <w:tc>
          <w:tcPr>
            <w:tcW w:w="1017" w:type="dxa"/>
          </w:tcPr>
          <w:p w14:paraId="1DCE64BB"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SJS126</w:t>
            </w:r>
          </w:p>
        </w:tc>
        <w:tc>
          <w:tcPr>
            <w:tcW w:w="1260" w:type="dxa"/>
          </w:tcPr>
          <w:p w14:paraId="11FB29F6"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6B85758A"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B315C2" w:rsidRPr="00334658" w14:paraId="4A6F299D"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34ACE40E"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SJS153</w:t>
            </w:r>
          </w:p>
        </w:tc>
        <w:tc>
          <w:tcPr>
            <w:tcW w:w="2863" w:type="dxa"/>
          </w:tcPr>
          <w:p w14:paraId="67B5C7D2" w14:textId="77777777" w:rsidR="00B315C2" w:rsidRPr="00B315C2"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iCs/>
                <w:sz w:val="20"/>
                <w:szCs w:val="20"/>
                <w:lang w:val="fr-CH"/>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B315C2">
              <w:rPr>
                <w:rFonts w:ascii="Arial" w:eastAsia="Calibri" w:hAnsi="Arial" w:cs="Arial"/>
                <w:i/>
                <w:iCs/>
                <w:sz w:val="20"/>
                <w:szCs w:val="20"/>
                <w:lang w:val="fr-CH"/>
              </w:rPr>
              <w:t xml:space="preserve">, </w:t>
            </w:r>
            <w:proofErr w:type="spellStart"/>
            <w:r w:rsidRPr="00B315C2">
              <w:rPr>
                <w:rFonts w:ascii="Arial" w:eastAsia="Calibri" w:hAnsi="Arial" w:cs="Arial"/>
                <w:i/>
                <w:iCs/>
                <w:sz w:val="20"/>
                <w:szCs w:val="20"/>
                <w:lang w:val="fr-CH"/>
              </w:rPr>
              <w:t>tpsA</w:t>
            </w:r>
            <w:proofErr w:type="spellEnd"/>
            <w:r w:rsidRPr="00B315C2">
              <w:rPr>
                <w:rFonts w:ascii="Arial" w:eastAsia="Calibri" w:hAnsi="Arial" w:cs="Arial"/>
                <w:sz w:val="20"/>
                <w:szCs w:val="20"/>
                <w:lang w:val="fr-CH"/>
              </w:rPr>
              <w:t xml:space="preserve"> T258C, G273A</w:t>
            </w:r>
          </w:p>
        </w:tc>
        <w:tc>
          <w:tcPr>
            <w:tcW w:w="1017" w:type="dxa"/>
          </w:tcPr>
          <w:p w14:paraId="43BFC238"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SJS128</w:t>
            </w:r>
          </w:p>
        </w:tc>
        <w:tc>
          <w:tcPr>
            <w:tcW w:w="1260" w:type="dxa"/>
          </w:tcPr>
          <w:p w14:paraId="2E8AACA5"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190E08AA"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B315C2" w:rsidRPr="00334658" w14:paraId="5025051E"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259C4D4B"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SJS154</w:t>
            </w:r>
          </w:p>
        </w:tc>
        <w:tc>
          <w:tcPr>
            <w:tcW w:w="2863" w:type="dxa"/>
          </w:tcPr>
          <w:p w14:paraId="784E073E" w14:textId="77777777" w:rsidR="00B315C2" w:rsidRPr="00A9427F"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
                <w:iCs/>
                <w:sz w:val="20"/>
                <w:szCs w:val="20"/>
                <w:lang w:val="en-US"/>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Pr>
                <w:rFonts w:ascii="Arial" w:eastAsia="Calibri" w:hAnsi="Arial" w:cs="Arial"/>
                <w:i/>
                <w:iCs/>
                <w:sz w:val="20"/>
                <w:szCs w:val="20"/>
                <w:lang w:val="en-US"/>
              </w:rPr>
              <w:t>,</w:t>
            </w:r>
            <w:r w:rsidRPr="00A9427F">
              <w:rPr>
                <w:rFonts w:ascii="Arial" w:eastAsia="Calibri" w:hAnsi="Arial" w:cs="Arial"/>
                <w:i/>
                <w:iCs/>
                <w:sz w:val="20"/>
                <w:szCs w:val="20"/>
                <w:lang w:val="en-US"/>
              </w:rPr>
              <w:t xml:space="preserve"> </w:t>
            </w:r>
            <w:proofErr w:type="spellStart"/>
            <w:r w:rsidRPr="008072AC">
              <w:rPr>
                <w:rFonts w:ascii="Arial" w:eastAsia="Calibri" w:hAnsi="Arial" w:cs="Arial"/>
                <w:i/>
                <w:iCs/>
                <w:sz w:val="20"/>
                <w:szCs w:val="20"/>
                <w:lang w:val="en-US"/>
              </w:rPr>
              <w:t>tps</w:t>
            </w:r>
            <w:r>
              <w:rPr>
                <w:rFonts w:ascii="Arial" w:eastAsia="Calibri" w:hAnsi="Arial" w:cs="Arial"/>
                <w:i/>
                <w:iCs/>
                <w:sz w:val="20"/>
                <w:szCs w:val="20"/>
                <w:lang w:val="en-US"/>
              </w:rPr>
              <w:t>B</w:t>
            </w:r>
            <w:proofErr w:type="spellEnd"/>
            <w:r w:rsidRPr="008072AC">
              <w:rPr>
                <w:rFonts w:ascii="Arial" w:eastAsia="Calibri" w:hAnsi="Arial" w:cs="Arial"/>
                <w:sz w:val="20"/>
                <w:szCs w:val="20"/>
                <w:lang w:val="en-US"/>
              </w:rPr>
              <w:t xml:space="preserve"> </w:t>
            </w:r>
            <w:r>
              <w:rPr>
                <w:rFonts w:ascii="Arial" w:eastAsia="Calibri" w:hAnsi="Arial" w:cs="Arial"/>
                <w:sz w:val="20"/>
                <w:szCs w:val="20"/>
                <w:lang w:val="en-US"/>
              </w:rPr>
              <w:t>G267A, G270A</w:t>
            </w:r>
          </w:p>
        </w:tc>
        <w:tc>
          <w:tcPr>
            <w:tcW w:w="1017" w:type="dxa"/>
          </w:tcPr>
          <w:p w14:paraId="6478BCEC"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SJS132</w:t>
            </w:r>
          </w:p>
        </w:tc>
        <w:tc>
          <w:tcPr>
            <w:tcW w:w="1260" w:type="dxa"/>
          </w:tcPr>
          <w:p w14:paraId="06F49D0E"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7139C41A"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B315C2" w:rsidRPr="00334658" w14:paraId="4DDFE949"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37422A7D"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SJS155</w:t>
            </w:r>
          </w:p>
        </w:tc>
        <w:tc>
          <w:tcPr>
            <w:tcW w:w="2863" w:type="dxa"/>
          </w:tcPr>
          <w:p w14:paraId="0064C80B" w14:textId="77777777" w:rsidR="00B315C2" w:rsidRPr="00A9427F"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iCs/>
                <w:sz w:val="20"/>
                <w:szCs w:val="20"/>
                <w:lang w:val="en-US"/>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Pr>
                <w:rFonts w:ascii="Arial" w:eastAsia="Calibri" w:hAnsi="Arial" w:cs="Arial"/>
                <w:i/>
                <w:iCs/>
                <w:sz w:val="20"/>
                <w:szCs w:val="20"/>
                <w:lang w:val="en-US"/>
              </w:rPr>
              <w:t>,</w:t>
            </w:r>
            <w:r w:rsidRPr="00A9427F">
              <w:rPr>
                <w:rFonts w:ascii="Arial" w:eastAsia="Calibri" w:hAnsi="Arial" w:cs="Arial"/>
                <w:i/>
                <w:iCs/>
                <w:sz w:val="20"/>
                <w:szCs w:val="20"/>
                <w:lang w:val="en-US"/>
              </w:rPr>
              <w:t xml:space="preserve"> </w:t>
            </w:r>
            <w:proofErr w:type="spellStart"/>
            <w:r w:rsidRPr="008072AC">
              <w:rPr>
                <w:rFonts w:ascii="Arial" w:eastAsia="Calibri" w:hAnsi="Arial" w:cs="Arial"/>
                <w:i/>
                <w:iCs/>
                <w:sz w:val="20"/>
                <w:szCs w:val="20"/>
                <w:lang w:val="en-US"/>
              </w:rPr>
              <w:t>tpsA</w:t>
            </w:r>
            <w:proofErr w:type="spellEnd"/>
            <w:r w:rsidRPr="008072AC">
              <w:rPr>
                <w:rFonts w:ascii="Arial" w:eastAsia="Calibri" w:hAnsi="Arial" w:cs="Arial"/>
                <w:sz w:val="20"/>
                <w:szCs w:val="20"/>
                <w:lang w:val="en-US"/>
              </w:rPr>
              <w:t xml:space="preserve"> </w:t>
            </w:r>
            <w:r>
              <w:rPr>
                <w:rFonts w:ascii="Arial" w:eastAsia="Calibri" w:hAnsi="Arial" w:cs="Arial"/>
                <w:sz w:val="20"/>
                <w:szCs w:val="20"/>
                <w:lang w:val="en-US"/>
              </w:rPr>
              <w:t xml:space="preserve">T258C, G273A, </w:t>
            </w:r>
            <w:proofErr w:type="spellStart"/>
            <w:r>
              <w:rPr>
                <w:rFonts w:ascii="Arial" w:eastAsia="Calibri" w:hAnsi="Arial" w:cs="Arial"/>
                <w:i/>
                <w:iCs/>
                <w:sz w:val="20"/>
                <w:szCs w:val="20"/>
                <w:lang w:val="en-US"/>
              </w:rPr>
              <w:t>tpsB</w:t>
            </w:r>
            <w:proofErr w:type="spellEnd"/>
            <w:r>
              <w:rPr>
                <w:rFonts w:ascii="Arial" w:eastAsia="Calibri" w:hAnsi="Arial" w:cs="Arial"/>
                <w:i/>
                <w:iCs/>
                <w:sz w:val="20"/>
                <w:szCs w:val="20"/>
                <w:lang w:val="en-US"/>
              </w:rPr>
              <w:t xml:space="preserve"> </w:t>
            </w:r>
            <w:r>
              <w:rPr>
                <w:rFonts w:ascii="Arial" w:eastAsia="Calibri" w:hAnsi="Arial" w:cs="Arial"/>
                <w:sz w:val="20"/>
                <w:szCs w:val="20"/>
                <w:lang w:val="en-US"/>
              </w:rPr>
              <w:t>G267A, G270A</w:t>
            </w:r>
          </w:p>
        </w:tc>
        <w:tc>
          <w:tcPr>
            <w:tcW w:w="1017" w:type="dxa"/>
          </w:tcPr>
          <w:p w14:paraId="355AFE2D"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SJS134</w:t>
            </w:r>
          </w:p>
        </w:tc>
        <w:tc>
          <w:tcPr>
            <w:tcW w:w="1260" w:type="dxa"/>
          </w:tcPr>
          <w:p w14:paraId="7ED5D651"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6C8BE513" w14:textId="77777777" w:rsidR="00B315C2" w:rsidRPr="00334658" w:rsidRDefault="00B315C2"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B315C2" w:rsidRPr="00334658" w14:paraId="45D67423"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22057834" w14:textId="77777777" w:rsidR="00B315C2" w:rsidRPr="00334658" w:rsidRDefault="00B315C2" w:rsidP="004E280C">
            <w:pPr>
              <w:spacing w:line="276" w:lineRule="auto"/>
              <w:jc w:val="both"/>
              <w:rPr>
                <w:rFonts w:ascii="Arial" w:eastAsia="Calibri" w:hAnsi="Arial" w:cs="Arial"/>
                <w:b w:val="0"/>
                <w:sz w:val="20"/>
                <w:szCs w:val="20"/>
              </w:rPr>
            </w:pPr>
            <w:r w:rsidRPr="00334658">
              <w:rPr>
                <w:rFonts w:ascii="Arial" w:eastAsia="Calibri" w:hAnsi="Arial" w:cs="Arial"/>
                <w:b w:val="0"/>
                <w:sz w:val="20"/>
                <w:szCs w:val="20"/>
              </w:rPr>
              <w:t>SJS156</w:t>
            </w:r>
          </w:p>
        </w:tc>
        <w:tc>
          <w:tcPr>
            <w:tcW w:w="2863" w:type="dxa"/>
          </w:tcPr>
          <w:p w14:paraId="46E11ED5" w14:textId="77777777" w:rsidR="00B315C2" w:rsidRPr="00F10701"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
                <w:iCs/>
                <w:sz w:val="20"/>
                <w:szCs w:val="20"/>
                <w:lang w:val="nl-NL"/>
              </w:rPr>
            </w:pPr>
            <w:r w:rsidRPr="00334658">
              <w:rPr>
                <w:rFonts w:ascii="Arial" w:eastAsia="Calibri" w:hAnsi="Arial" w:cs="Arial"/>
                <w:i/>
                <w:iCs/>
                <w:sz w:val="20"/>
                <w:szCs w:val="20"/>
              </w:rPr>
              <w:t xml:space="preserve">cspA1, </w:t>
            </w:r>
            <w:proofErr w:type="spellStart"/>
            <w:r w:rsidRPr="00C05FFF">
              <w:rPr>
                <w:rFonts w:ascii="Arial" w:eastAsia="Calibri" w:hAnsi="Arial" w:cs="Arial"/>
                <w:sz w:val="20"/>
                <w:szCs w:val="20"/>
              </w:rPr>
              <w:t>Δ</w:t>
            </w:r>
            <w:r w:rsidRPr="00334658">
              <w:rPr>
                <w:rFonts w:ascii="Arial" w:eastAsia="Calibri" w:hAnsi="Arial" w:cs="Arial"/>
                <w:i/>
                <w:iCs/>
                <w:sz w:val="20"/>
                <w:szCs w:val="20"/>
              </w:rPr>
              <w:t>kusA</w:t>
            </w:r>
            <w:proofErr w:type="spellEnd"/>
            <w:r w:rsidRPr="00334658">
              <w:rPr>
                <w:rFonts w:ascii="Arial" w:eastAsia="Calibri" w:hAnsi="Arial" w:cs="Arial"/>
                <w:i/>
                <w:iCs/>
                <w:sz w:val="20"/>
                <w:szCs w:val="20"/>
              </w:rPr>
              <w:t>::DR</w:t>
            </w:r>
            <w:r w:rsidRPr="00334658">
              <w:rPr>
                <w:rFonts w:ascii="Arial" w:eastAsia="Calibri" w:hAnsi="Arial" w:cs="Arial"/>
                <w:sz w:val="20"/>
                <w:szCs w:val="20"/>
              </w:rPr>
              <w:t>-</w:t>
            </w:r>
            <w:proofErr w:type="spellStart"/>
            <w:r w:rsidRPr="00334658">
              <w:rPr>
                <w:rFonts w:ascii="Arial" w:eastAsia="Calibri" w:hAnsi="Arial" w:cs="Arial"/>
                <w:i/>
                <w:iCs/>
                <w:sz w:val="20"/>
                <w:szCs w:val="20"/>
              </w:rPr>
              <w:t>amdS</w:t>
            </w:r>
            <w:proofErr w:type="spellEnd"/>
            <w:r w:rsidRPr="00334658">
              <w:rPr>
                <w:rFonts w:ascii="Arial" w:eastAsia="Calibri" w:hAnsi="Arial" w:cs="Arial"/>
                <w:sz w:val="20"/>
                <w:szCs w:val="20"/>
              </w:rPr>
              <w:t>-</w:t>
            </w:r>
            <w:r w:rsidRPr="00334658">
              <w:rPr>
                <w:rFonts w:ascii="Arial" w:eastAsia="Calibri" w:hAnsi="Arial" w:cs="Arial"/>
                <w:i/>
                <w:iCs/>
                <w:sz w:val="20"/>
                <w:szCs w:val="20"/>
              </w:rPr>
              <w:t>DR</w:t>
            </w:r>
            <w:r w:rsidRPr="00F10701">
              <w:rPr>
                <w:rFonts w:ascii="Arial" w:eastAsia="Calibri" w:hAnsi="Arial" w:cs="Arial"/>
                <w:i/>
                <w:iCs/>
                <w:sz w:val="20"/>
                <w:szCs w:val="20"/>
                <w:lang w:val="nl-NL"/>
              </w:rPr>
              <w:t>,</w:t>
            </w:r>
            <w:r>
              <w:rPr>
                <w:rFonts w:ascii="Arial" w:eastAsia="Calibri" w:hAnsi="Arial" w:cs="Arial"/>
                <w:i/>
                <w:iCs/>
                <w:sz w:val="20"/>
                <w:szCs w:val="20"/>
                <w:lang w:val="nl-NL"/>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mpdA</w:t>
            </w:r>
            <w:proofErr w:type="spellEnd"/>
            <w:r w:rsidRPr="00334658">
              <w:rPr>
                <w:rFonts w:ascii="Arial" w:eastAsia="Calibri" w:hAnsi="Arial" w:cs="Arial"/>
                <w:i/>
                <w:sz w:val="20"/>
                <w:szCs w:val="20"/>
              </w:rPr>
              <w:t xml:space="preserve">, </w:t>
            </w:r>
            <w:r w:rsidRPr="00C05FFF">
              <w:rPr>
                <w:rFonts w:ascii="Arial" w:eastAsia="Calibri" w:hAnsi="Arial" w:cs="Arial"/>
                <w:iCs/>
                <w:sz w:val="20"/>
                <w:szCs w:val="20"/>
                <w:lang w:val="en-GB"/>
              </w:rPr>
              <w:t>Δ</w:t>
            </w:r>
            <w:proofErr w:type="spellStart"/>
            <w:r w:rsidRPr="00334658">
              <w:rPr>
                <w:rFonts w:ascii="Arial" w:eastAsia="Calibri" w:hAnsi="Arial" w:cs="Arial"/>
                <w:i/>
                <w:sz w:val="20"/>
                <w:szCs w:val="20"/>
              </w:rPr>
              <w:t>tpsABC</w:t>
            </w:r>
            <w:proofErr w:type="spellEnd"/>
          </w:p>
        </w:tc>
        <w:tc>
          <w:tcPr>
            <w:tcW w:w="1017" w:type="dxa"/>
          </w:tcPr>
          <w:p w14:paraId="4568B735"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SJS134</w:t>
            </w:r>
          </w:p>
        </w:tc>
        <w:tc>
          <w:tcPr>
            <w:tcW w:w="1260" w:type="dxa"/>
          </w:tcPr>
          <w:p w14:paraId="5D494052"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This study</w:t>
            </w:r>
          </w:p>
        </w:tc>
        <w:tc>
          <w:tcPr>
            <w:tcW w:w="3103" w:type="dxa"/>
          </w:tcPr>
          <w:p w14:paraId="5E358259" w14:textId="77777777" w:rsidR="00B315C2" w:rsidRPr="00334658" w:rsidRDefault="00B315C2"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rsidR="00114CBB" w:rsidRPr="00334658" w14:paraId="2487CE88" w14:textId="77777777" w:rsidTr="0011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2E22C73D" w14:textId="7D9E89E1" w:rsidR="00114CBB" w:rsidRPr="00114CBB" w:rsidRDefault="00114CBB" w:rsidP="00114CBB">
            <w:pPr>
              <w:spacing w:line="276" w:lineRule="auto"/>
              <w:jc w:val="both"/>
              <w:rPr>
                <w:rFonts w:ascii="Arial" w:eastAsia="Calibri" w:hAnsi="Arial" w:cs="Arial"/>
                <w:b w:val="0"/>
                <w:bCs w:val="0"/>
                <w:sz w:val="20"/>
                <w:szCs w:val="20"/>
              </w:rPr>
            </w:pPr>
            <w:r w:rsidRPr="00114CBB">
              <w:rPr>
                <w:rFonts w:ascii="Arial" w:eastAsia="Calibri" w:hAnsi="Arial" w:cs="Arial"/>
                <w:b w:val="0"/>
                <w:bCs w:val="0"/>
                <w:sz w:val="20"/>
                <w:szCs w:val="20"/>
                <w:lang w:val="en-US"/>
              </w:rPr>
              <w:t>CBS112.32</w:t>
            </w:r>
          </w:p>
        </w:tc>
        <w:tc>
          <w:tcPr>
            <w:tcW w:w="2863" w:type="dxa"/>
          </w:tcPr>
          <w:p w14:paraId="074239F1" w14:textId="461C6C75" w:rsidR="00114CBB" w:rsidRPr="00334658" w:rsidRDefault="00114CBB" w:rsidP="00114CB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iCs/>
                <w:sz w:val="20"/>
                <w:szCs w:val="20"/>
              </w:rPr>
            </w:pPr>
            <w:r>
              <w:rPr>
                <w:rFonts w:ascii="Arial" w:eastAsia="Calibri" w:hAnsi="Arial" w:cs="Arial"/>
                <w:sz w:val="20"/>
                <w:szCs w:val="20"/>
                <w:lang w:val="en-US"/>
              </w:rPr>
              <w:t>Wild type</w:t>
            </w:r>
          </w:p>
        </w:tc>
        <w:tc>
          <w:tcPr>
            <w:tcW w:w="1017" w:type="dxa"/>
          </w:tcPr>
          <w:p w14:paraId="12B590AB" w14:textId="4B7997C0" w:rsidR="00114CBB" w:rsidRPr="00334658" w:rsidRDefault="00114CBB" w:rsidP="00114CB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lang w:val="en-US"/>
              </w:rPr>
              <w:t>-</w:t>
            </w:r>
          </w:p>
        </w:tc>
        <w:tc>
          <w:tcPr>
            <w:tcW w:w="1260" w:type="dxa"/>
          </w:tcPr>
          <w:p w14:paraId="5A7BB9D9" w14:textId="12BF7306" w:rsidR="00114CBB" w:rsidRPr="00334658" w:rsidRDefault="00114CBB" w:rsidP="00114CB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lang w:val="en-US"/>
              </w:rPr>
              <w:t>(70)</w:t>
            </w:r>
          </w:p>
        </w:tc>
        <w:tc>
          <w:tcPr>
            <w:tcW w:w="3103" w:type="dxa"/>
          </w:tcPr>
          <w:p w14:paraId="5795AFD8" w14:textId="55AC7197" w:rsidR="00114CBB" w:rsidRPr="00334658" w:rsidRDefault="00114CBB" w:rsidP="00114CB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lang w:val="en-US"/>
              </w:rPr>
              <w:t>Wild isolate</w:t>
            </w:r>
          </w:p>
        </w:tc>
      </w:tr>
      <w:tr w:rsidR="00114CBB" w:rsidRPr="00334658" w14:paraId="44CC0BB8" w14:textId="77777777" w:rsidTr="00114CBB">
        <w:tc>
          <w:tcPr>
            <w:cnfStyle w:val="001000000000" w:firstRow="0" w:lastRow="0" w:firstColumn="1" w:lastColumn="0" w:oddVBand="0" w:evenVBand="0" w:oddHBand="0" w:evenHBand="0" w:firstRowFirstColumn="0" w:firstRowLastColumn="0" w:lastRowFirstColumn="0" w:lastRowLastColumn="0"/>
            <w:tcW w:w="1164" w:type="dxa"/>
          </w:tcPr>
          <w:p w14:paraId="52D31958" w14:textId="538E8179" w:rsidR="00114CBB" w:rsidRPr="00114CBB" w:rsidRDefault="00114CBB" w:rsidP="00114CBB">
            <w:pPr>
              <w:spacing w:line="276" w:lineRule="auto"/>
              <w:jc w:val="both"/>
              <w:rPr>
                <w:rFonts w:ascii="Arial" w:eastAsia="Calibri" w:hAnsi="Arial" w:cs="Arial"/>
                <w:b w:val="0"/>
                <w:bCs w:val="0"/>
                <w:sz w:val="20"/>
                <w:szCs w:val="20"/>
              </w:rPr>
            </w:pPr>
            <w:r w:rsidRPr="00114CBB">
              <w:rPr>
                <w:rFonts w:ascii="Arial" w:eastAsia="Calibri" w:hAnsi="Arial" w:cs="Arial"/>
                <w:b w:val="0"/>
                <w:bCs w:val="0"/>
                <w:sz w:val="20"/>
                <w:szCs w:val="20"/>
                <w:lang w:val="en-US"/>
              </w:rPr>
              <w:t>CSB147347</w:t>
            </w:r>
          </w:p>
        </w:tc>
        <w:tc>
          <w:tcPr>
            <w:tcW w:w="2863" w:type="dxa"/>
          </w:tcPr>
          <w:p w14:paraId="07801B5D" w14:textId="1D09F413" w:rsidR="00114CBB" w:rsidRPr="00334658" w:rsidRDefault="00114CBB" w:rsidP="00114CB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
                <w:iCs/>
                <w:sz w:val="20"/>
                <w:szCs w:val="20"/>
              </w:rPr>
            </w:pPr>
            <w:r>
              <w:rPr>
                <w:rFonts w:ascii="Arial" w:eastAsia="Calibri" w:hAnsi="Arial" w:cs="Arial"/>
                <w:sz w:val="20"/>
                <w:szCs w:val="20"/>
                <w:lang w:val="en-US"/>
              </w:rPr>
              <w:t>Wild type</w:t>
            </w:r>
          </w:p>
        </w:tc>
        <w:tc>
          <w:tcPr>
            <w:tcW w:w="1017" w:type="dxa"/>
          </w:tcPr>
          <w:p w14:paraId="58A682D2" w14:textId="21E52CB5" w:rsidR="00114CBB" w:rsidRPr="00334658" w:rsidRDefault="00114CBB" w:rsidP="00114CB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lang w:val="en-US"/>
              </w:rPr>
              <w:t>-</w:t>
            </w:r>
          </w:p>
        </w:tc>
        <w:tc>
          <w:tcPr>
            <w:tcW w:w="1260" w:type="dxa"/>
          </w:tcPr>
          <w:p w14:paraId="06F5896F" w14:textId="6FF0F13F" w:rsidR="00114CBB" w:rsidRPr="00334658" w:rsidRDefault="00114CBB" w:rsidP="00114CB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lang w:val="en-US"/>
              </w:rPr>
              <w:t>(70)</w:t>
            </w:r>
          </w:p>
        </w:tc>
        <w:tc>
          <w:tcPr>
            <w:tcW w:w="3103" w:type="dxa"/>
          </w:tcPr>
          <w:p w14:paraId="14A62452" w14:textId="0963E165" w:rsidR="00114CBB" w:rsidRPr="00334658" w:rsidRDefault="00114CBB" w:rsidP="00114CB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lang w:val="en-US"/>
              </w:rPr>
              <w:t>Wild isolate</w:t>
            </w:r>
          </w:p>
        </w:tc>
      </w:tr>
      <w:bookmarkEnd w:id="0"/>
    </w:tbl>
    <w:p w14:paraId="5E8B4F38" w14:textId="562894B2" w:rsidR="00B315C2" w:rsidRPr="00B315C2" w:rsidRDefault="00B315C2" w:rsidP="00B315C2">
      <w:pPr>
        <w:spacing w:after="0" w:line="240" w:lineRule="auto"/>
        <w:rPr>
          <w:rFonts w:ascii="Arial" w:eastAsia="Calibri" w:hAnsi="Arial" w:cs="Arial"/>
          <w:b/>
          <w:lang w:val="nl-NL"/>
        </w:rPr>
      </w:pPr>
    </w:p>
    <w:sectPr w:rsidR="00B315C2" w:rsidRPr="00B315C2" w:rsidSect="00AD11DE">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8"/>
  <w:proofState w:spelling="clean" w:grammar="clean"/>
  <w:revisionView w:markup="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C2"/>
    <w:rsid w:val="00114CBB"/>
    <w:rsid w:val="00AD11DE"/>
    <w:rsid w:val="00B315C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8710C"/>
  <w15:chartTrackingRefBased/>
  <w15:docId w15:val="{4F87A767-671E-42BA-A90D-2D981A6B2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5C2"/>
    <w:rPr>
      <w:kern w:val="0"/>
      <w:lang w:val="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B315C2"/>
    <w:pPr>
      <w:spacing w:after="0" w:line="240" w:lineRule="auto"/>
    </w:pPr>
    <w:rPr>
      <w:kern w:val="0"/>
      <w:lang w:val="x-none"/>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4976</Words>
  <Characters>28368</Characters>
  <Application>Microsoft Office Word</Application>
  <DocSecurity>0</DocSecurity>
  <Lines>236</Lines>
  <Paragraphs>66</Paragraphs>
  <ScaleCrop>false</ScaleCrop>
  <Company/>
  <LinksUpToDate>false</LinksUpToDate>
  <CharactersWithSpaces>33278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Sjoerd Seekles</dc:creator>
  <cp:keywords/>
  <dc:description/>
  <cp:lastModifiedBy>Sangeetha Sekar</cp:lastModifiedBy>
  <cp:revision>3</cp:revision>
  <dcterms:created xsi:type="dcterms:W3CDTF">2023-10-19T10:26:00Z</dcterms:created>
  <dcterms:modified xsi:type="dcterms:W3CDTF">2023-10-28T02:45:00Z</dcterms:modified>
</cp:coreProperties>
</file>