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EE541" w14:textId="1CB4F48A" w:rsidR="00F844B3" w:rsidRPr="00F844B3" w:rsidRDefault="00F844B3" w:rsidP="00F844B3">
      <w:pPr>
        <w:pStyle w:val="Caption"/>
        <w:keepNext/>
        <w:rPr>
          <w:rFonts w:ascii="Arial" w:hAnsi="Arial" w:cs="Arial"/>
          <w:b/>
          <w:bCs/>
          <w:sz w:val="24"/>
          <w:szCs w:val="24"/>
          <w:lang w:val="en-US"/>
        </w:rPr>
      </w:pPr>
      <w:r w:rsidRPr="00F844B3">
        <w:rPr>
          <w:rFonts w:ascii="Arial" w:hAnsi="Arial" w:cs="Arial"/>
          <w:b/>
          <w:bCs/>
          <w:sz w:val="24"/>
          <w:szCs w:val="24"/>
          <w:lang w:val="en-US"/>
        </w:rPr>
        <w:t>Table</w:t>
      </w:r>
      <w:r w:rsidR="006E0467">
        <w:rPr>
          <w:rFonts w:ascii="Arial" w:hAnsi="Arial" w:cs="Arial"/>
          <w:b/>
          <w:bCs/>
          <w:sz w:val="24"/>
          <w:szCs w:val="24"/>
          <w:lang w:val="en-US"/>
        </w:rPr>
        <w:t xml:space="preserve"> </w:t>
      </w:r>
      <w:r w:rsidRPr="00F844B3">
        <w:rPr>
          <w:rFonts w:ascii="Arial" w:hAnsi="Arial" w:cs="Arial"/>
          <w:b/>
          <w:bCs/>
          <w:sz w:val="24"/>
          <w:szCs w:val="24"/>
          <w:lang w:val="en-US"/>
        </w:rPr>
        <w:t>S</w:t>
      </w:r>
      <w:r w:rsidR="003F1445">
        <w:rPr>
          <w:rFonts w:ascii="Arial" w:hAnsi="Arial" w:cs="Arial"/>
          <w:b/>
          <w:bCs/>
          <w:sz w:val="24"/>
          <w:szCs w:val="24"/>
          <w:lang w:val="en-US"/>
        </w:rPr>
        <w:t>1</w:t>
      </w:r>
      <w:r w:rsidRPr="00F844B3">
        <w:rPr>
          <w:rFonts w:ascii="Arial" w:hAnsi="Arial" w:cs="Arial"/>
          <w:b/>
          <w:bCs/>
          <w:sz w:val="24"/>
          <w:szCs w:val="24"/>
          <w:lang w:val="en-US"/>
        </w:rPr>
        <w:t xml:space="preserve">: </w:t>
      </w:r>
      <w:r w:rsidR="003F1445">
        <w:rPr>
          <w:rFonts w:ascii="Arial" w:hAnsi="Arial" w:cs="Arial"/>
          <w:b/>
          <w:bCs/>
          <w:sz w:val="24"/>
          <w:szCs w:val="24"/>
          <w:lang w:val="en-US"/>
        </w:rPr>
        <w:t xml:space="preserve">Cpf1 </w:t>
      </w:r>
      <w:r w:rsidR="007302FA">
        <w:rPr>
          <w:rFonts w:ascii="Arial" w:hAnsi="Arial" w:cs="Arial"/>
          <w:b/>
          <w:bCs/>
          <w:sz w:val="24"/>
          <w:szCs w:val="24"/>
          <w:lang w:val="en-US"/>
        </w:rPr>
        <w:t>multiplex expression cassette</w:t>
      </w:r>
      <w:r w:rsidR="003F1445">
        <w:rPr>
          <w:rFonts w:ascii="Arial" w:hAnsi="Arial" w:cs="Arial"/>
          <w:b/>
          <w:bCs/>
          <w:sz w:val="24"/>
          <w:szCs w:val="24"/>
          <w:lang w:val="en-US"/>
        </w:rPr>
        <w:t xml:space="preserve"> features</w:t>
      </w:r>
      <w:r w:rsidRPr="00F844B3">
        <w:rPr>
          <w:rFonts w:ascii="Arial" w:hAnsi="Arial" w:cs="Arial"/>
          <w:b/>
          <w:bCs/>
          <w:sz w:val="24"/>
          <w:szCs w:val="24"/>
          <w:lang w:val="en-US"/>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654"/>
      </w:tblGrid>
      <w:tr w:rsidR="003F1445" w:rsidRPr="00F844B3" w14:paraId="15541933" w14:textId="77777777" w:rsidTr="007B5F74">
        <w:trPr>
          <w:trHeight w:val="397"/>
        </w:trPr>
        <w:tc>
          <w:tcPr>
            <w:tcW w:w="1413" w:type="dxa"/>
          </w:tcPr>
          <w:p w14:paraId="4A324718" w14:textId="02085C52" w:rsidR="003F1445" w:rsidRPr="00F844B3" w:rsidRDefault="003F1445" w:rsidP="00025256">
            <w:pPr>
              <w:rPr>
                <w:rFonts w:ascii="Arial" w:hAnsi="Arial" w:cs="Arial"/>
                <w:b/>
                <w:bCs/>
                <w:sz w:val="18"/>
                <w:szCs w:val="18"/>
              </w:rPr>
            </w:pPr>
            <w:r>
              <w:rPr>
                <w:rFonts w:ascii="Arial" w:hAnsi="Arial" w:cs="Arial"/>
                <w:b/>
                <w:bCs/>
                <w:sz w:val="18"/>
                <w:szCs w:val="18"/>
              </w:rPr>
              <w:t>Feature</w:t>
            </w:r>
          </w:p>
        </w:tc>
        <w:tc>
          <w:tcPr>
            <w:tcW w:w="7654" w:type="dxa"/>
            <w:shd w:val="clear" w:color="auto" w:fill="auto"/>
          </w:tcPr>
          <w:p w14:paraId="05DE38D7" w14:textId="26261A93" w:rsidR="003F1445" w:rsidRPr="00F844B3" w:rsidRDefault="003F1445" w:rsidP="00025256">
            <w:pPr>
              <w:rPr>
                <w:rFonts w:ascii="Arial" w:hAnsi="Arial" w:cs="Arial"/>
                <w:b/>
                <w:bCs/>
                <w:sz w:val="18"/>
                <w:szCs w:val="18"/>
              </w:rPr>
            </w:pPr>
            <w:proofErr w:type="spellStart"/>
            <w:r>
              <w:rPr>
                <w:rFonts w:ascii="Arial" w:hAnsi="Arial" w:cs="Arial"/>
                <w:b/>
                <w:bCs/>
                <w:sz w:val="18"/>
                <w:szCs w:val="18"/>
              </w:rPr>
              <w:t>Nucleotide</w:t>
            </w:r>
            <w:proofErr w:type="spellEnd"/>
            <w:r>
              <w:rPr>
                <w:rFonts w:ascii="Arial" w:hAnsi="Arial" w:cs="Arial"/>
                <w:b/>
                <w:bCs/>
                <w:sz w:val="18"/>
                <w:szCs w:val="18"/>
              </w:rPr>
              <w:t xml:space="preserve"> </w:t>
            </w:r>
            <w:proofErr w:type="spellStart"/>
            <w:r>
              <w:rPr>
                <w:rFonts w:ascii="Arial" w:hAnsi="Arial" w:cs="Arial"/>
                <w:b/>
                <w:bCs/>
                <w:sz w:val="18"/>
                <w:szCs w:val="18"/>
              </w:rPr>
              <w:t>sequence</w:t>
            </w:r>
            <w:proofErr w:type="spellEnd"/>
          </w:p>
        </w:tc>
      </w:tr>
      <w:tr w:rsidR="003F1445" w:rsidRPr="00F844B3" w14:paraId="47C4C9FE" w14:textId="77777777" w:rsidTr="007B5F74">
        <w:trPr>
          <w:trHeight w:val="690"/>
        </w:trPr>
        <w:tc>
          <w:tcPr>
            <w:tcW w:w="1413" w:type="dxa"/>
          </w:tcPr>
          <w:p w14:paraId="56577F49" w14:textId="618DDD48" w:rsidR="003F1445" w:rsidRPr="00F844B3" w:rsidRDefault="00A00D78" w:rsidP="00025256">
            <w:pPr>
              <w:rPr>
                <w:rFonts w:ascii="Arial" w:hAnsi="Arial" w:cs="Arial"/>
                <w:sz w:val="18"/>
                <w:szCs w:val="18"/>
              </w:rPr>
            </w:pPr>
            <w:r>
              <w:rPr>
                <w:rFonts w:ascii="Arial" w:hAnsi="Arial" w:cs="Arial"/>
                <w:i/>
                <w:iCs/>
                <w:sz w:val="18"/>
                <w:szCs w:val="18"/>
              </w:rPr>
              <w:t xml:space="preserve">Aspergillus </w:t>
            </w:r>
            <w:proofErr w:type="spellStart"/>
            <w:r>
              <w:rPr>
                <w:rFonts w:ascii="Arial" w:hAnsi="Arial" w:cs="Arial"/>
                <w:i/>
                <w:iCs/>
                <w:sz w:val="18"/>
                <w:szCs w:val="18"/>
              </w:rPr>
              <w:t>fumigatus</w:t>
            </w:r>
            <w:proofErr w:type="spellEnd"/>
            <w:r w:rsidR="0037621E">
              <w:rPr>
                <w:rFonts w:ascii="Arial" w:hAnsi="Arial" w:cs="Arial"/>
                <w:i/>
                <w:iCs/>
                <w:sz w:val="18"/>
                <w:szCs w:val="18"/>
              </w:rPr>
              <w:t xml:space="preserve"> </w:t>
            </w:r>
            <w:r>
              <w:rPr>
                <w:rFonts w:ascii="Arial" w:hAnsi="Arial" w:cs="Arial"/>
                <w:sz w:val="18"/>
                <w:szCs w:val="18"/>
              </w:rPr>
              <w:t>U3 promoter</w:t>
            </w:r>
          </w:p>
        </w:tc>
        <w:tc>
          <w:tcPr>
            <w:tcW w:w="7654" w:type="dxa"/>
            <w:shd w:val="clear" w:color="auto" w:fill="auto"/>
          </w:tcPr>
          <w:p w14:paraId="75BAF17A" w14:textId="4A037B37" w:rsidR="003F1445" w:rsidRPr="00F844B3" w:rsidRDefault="007415CA" w:rsidP="00025256">
            <w:pPr>
              <w:rPr>
                <w:rFonts w:ascii="Arial" w:hAnsi="Arial" w:cs="Arial"/>
                <w:sz w:val="18"/>
                <w:szCs w:val="18"/>
              </w:rPr>
            </w:pPr>
            <w:r w:rsidRPr="007415CA">
              <w:rPr>
                <w:rFonts w:ascii="Arial" w:hAnsi="Arial" w:cs="Arial"/>
                <w:sz w:val="18"/>
                <w:szCs w:val="18"/>
              </w:rPr>
              <w:t>GATCACATAGATGCTCGGTTGACAGGACCACCTATAGCAAGTACTTTGTAGGAGGTTCTCCTAACGCTTGGCTTCAAATCCAATCAGGATATCAGTGAGTTACTGTTTGTCATCGCATCCTCATGAAGTCGCTCAACAGCCACTGAGAAGCAAATATTTGGGAGACCATCCCTGATGTTGAAATTTTACGCTGGAGCCCATTCACCGGTGAGCTCGGGGACAGTCTGGCCAGTGGAGCGGAAAATCTTCAACTAACTCTGATTGGTACCACAGGTAGCCCCACAGAACAAACCGAGCAAACATGAAAATTTTCGCTTGAGGTTAGCGCACTCGCTAGCGCCTGCCCGCAAATATAAAAGGCCCCGAAATCCCATGCATTTTGGAAATCAAGCGACTCTACGTATGTCATCCCCCTCCCTACCTTTGGGAAAACCTCTCAACTGCAAGTCAGAACATTTTGCTAACAGC</w:t>
            </w:r>
          </w:p>
        </w:tc>
      </w:tr>
      <w:tr w:rsidR="003F1445" w:rsidRPr="00F844B3" w14:paraId="4CA1FEB5" w14:textId="77777777" w:rsidTr="007B5F74">
        <w:trPr>
          <w:trHeight w:val="407"/>
        </w:trPr>
        <w:tc>
          <w:tcPr>
            <w:tcW w:w="1413" w:type="dxa"/>
          </w:tcPr>
          <w:p w14:paraId="6385F33B" w14:textId="1BB7EBCA" w:rsidR="003F1445" w:rsidRPr="00F844B3" w:rsidRDefault="007B5F74" w:rsidP="00025256">
            <w:pPr>
              <w:rPr>
                <w:rFonts w:ascii="Arial" w:hAnsi="Arial" w:cs="Arial"/>
                <w:sz w:val="18"/>
                <w:szCs w:val="18"/>
              </w:rPr>
            </w:pPr>
            <w:r>
              <w:rPr>
                <w:rFonts w:ascii="Arial" w:hAnsi="Arial" w:cs="Arial"/>
                <w:i/>
                <w:iCs/>
                <w:sz w:val="18"/>
                <w:szCs w:val="18"/>
              </w:rPr>
              <w:t xml:space="preserve">Aspergillus </w:t>
            </w:r>
            <w:proofErr w:type="spellStart"/>
            <w:r>
              <w:rPr>
                <w:rFonts w:ascii="Arial" w:hAnsi="Arial" w:cs="Arial"/>
                <w:i/>
                <w:iCs/>
                <w:sz w:val="18"/>
                <w:szCs w:val="18"/>
              </w:rPr>
              <w:t>fumigatus</w:t>
            </w:r>
            <w:proofErr w:type="spellEnd"/>
            <w:r>
              <w:rPr>
                <w:rFonts w:ascii="Arial" w:hAnsi="Arial" w:cs="Arial"/>
                <w:i/>
                <w:iCs/>
                <w:sz w:val="18"/>
                <w:szCs w:val="18"/>
              </w:rPr>
              <w:t xml:space="preserve"> </w:t>
            </w:r>
            <w:r>
              <w:rPr>
                <w:rFonts w:ascii="Arial" w:hAnsi="Arial" w:cs="Arial"/>
                <w:sz w:val="18"/>
                <w:szCs w:val="18"/>
              </w:rPr>
              <w:t xml:space="preserve">U3 </w:t>
            </w:r>
            <w:r>
              <w:rPr>
                <w:rFonts w:ascii="Arial" w:hAnsi="Arial" w:cs="Arial"/>
                <w:sz w:val="18"/>
                <w:szCs w:val="18"/>
              </w:rPr>
              <w:t>terminator</w:t>
            </w:r>
          </w:p>
        </w:tc>
        <w:tc>
          <w:tcPr>
            <w:tcW w:w="7654" w:type="dxa"/>
            <w:shd w:val="clear" w:color="auto" w:fill="auto"/>
          </w:tcPr>
          <w:p w14:paraId="24D11619" w14:textId="106C090D" w:rsidR="003F1445" w:rsidRPr="00F844B3" w:rsidRDefault="007302FA" w:rsidP="00025256">
            <w:pPr>
              <w:rPr>
                <w:rFonts w:ascii="Arial" w:hAnsi="Arial" w:cs="Arial"/>
                <w:sz w:val="18"/>
                <w:szCs w:val="18"/>
              </w:rPr>
            </w:pPr>
            <w:r w:rsidRPr="007302FA">
              <w:rPr>
                <w:rFonts w:ascii="Arial" w:hAnsi="Arial" w:cs="Arial"/>
                <w:sz w:val="18"/>
                <w:szCs w:val="18"/>
              </w:rPr>
              <w:t>TGTCAATTTTTACACTTGATGTTGGTGTAATCAGGCGATCAGAGTTTGCTCAAATTCTCTCTTGTTTTAGATTCTGAAGAATATAATTTTTACATGACTAGTTCATTTTACTTCCAAGTAGACTATTTGTAGATTGAGATTGCCGTCAACTTTATTCATAGAATCACATTAAATTGCTCATTGACCTGCATGTCTATGCACACATTCACATCTATCTTCTCAGGGTA</w:t>
            </w:r>
          </w:p>
        </w:tc>
      </w:tr>
      <w:tr w:rsidR="003F1445" w:rsidRPr="00F844B3" w14:paraId="3AB44232" w14:textId="77777777" w:rsidTr="007B5F74">
        <w:trPr>
          <w:trHeight w:val="397"/>
        </w:trPr>
        <w:tc>
          <w:tcPr>
            <w:tcW w:w="1413" w:type="dxa"/>
          </w:tcPr>
          <w:p w14:paraId="7DB53A92" w14:textId="3615FC3E" w:rsidR="003F1445" w:rsidRPr="0021764A" w:rsidRDefault="0021764A" w:rsidP="00025256">
            <w:pPr>
              <w:rPr>
                <w:rFonts w:ascii="Arial" w:hAnsi="Arial" w:cs="Arial"/>
                <w:sz w:val="18"/>
                <w:szCs w:val="18"/>
              </w:rPr>
            </w:pPr>
            <w:r w:rsidRPr="0021764A">
              <w:rPr>
                <w:rFonts w:ascii="Arial" w:hAnsi="Arial" w:cs="Arial"/>
                <w:i/>
                <w:iCs/>
                <w:sz w:val="18"/>
                <w:szCs w:val="18"/>
              </w:rPr>
              <w:t>LbCas12a</w:t>
            </w:r>
            <w:r>
              <w:rPr>
                <w:rFonts w:ascii="Arial" w:hAnsi="Arial" w:cs="Arial"/>
                <w:i/>
                <w:iCs/>
                <w:sz w:val="18"/>
                <w:szCs w:val="18"/>
              </w:rPr>
              <w:t xml:space="preserve"> </w:t>
            </w:r>
            <w:proofErr w:type="spellStart"/>
            <w:r w:rsidR="00B97DAE" w:rsidRPr="00B97DAE">
              <w:rPr>
                <w:rFonts w:ascii="Arial" w:hAnsi="Arial" w:cs="Arial"/>
                <w:sz w:val="18"/>
                <w:szCs w:val="18"/>
              </w:rPr>
              <w:t>gRNA</w:t>
            </w:r>
            <w:proofErr w:type="spellEnd"/>
            <w:r w:rsidR="00B97DAE">
              <w:rPr>
                <w:rFonts w:ascii="Arial" w:hAnsi="Arial" w:cs="Arial"/>
                <w:i/>
                <w:iCs/>
                <w:sz w:val="18"/>
                <w:szCs w:val="18"/>
              </w:rPr>
              <w:t xml:space="preserve"> </w:t>
            </w:r>
            <w:proofErr w:type="spellStart"/>
            <w:r>
              <w:rPr>
                <w:rFonts w:ascii="Arial" w:hAnsi="Arial" w:cs="Arial"/>
                <w:sz w:val="18"/>
                <w:szCs w:val="18"/>
              </w:rPr>
              <w:t>direct</w:t>
            </w:r>
            <w:proofErr w:type="spellEnd"/>
            <w:r>
              <w:rPr>
                <w:rFonts w:ascii="Arial" w:hAnsi="Arial" w:cs="Arial"/>
                <w:sz w:val="18"/>
                <w:szCs w:val="18"/>
              </w:rPr>
              <w:t xml:space="preserve"> </w:t>
            </w:r>
            <w:proofErr w:type="spellStart"/>
            <w:r>
              <w:rPr>
                <w:rFonts w:ascii="Arial" w:hAnsi="Arial" w:cs="Arial"/>
                <w:sz w:val="18"/>
                <w:szCs w:val="18"/>
              </w:rPr>
              <w:t>repeat</w:t>
            </w:r>
            <w:proofErr w:type="spellEnd"/>
          </w:p>
        </w:tc>
        <w:tc>
          <w:tcPr>
            <w:tcW w:w="7654" w:type="dxa"/>
            <w:shd w:val="clear" w:color="auto" w:fill="auto"/>
          </w:tcPr>
          <w:p w14:paraId="2C94E48F" w14:textId="496B8B2A" w:rsidR="003F1445" w:rsidRPr="00F844B3" w:rsidRDefault="007302FA" w:rsidP="00025256">
            <w:pPr>
              <w:rPr>
                <w:rFonts w:ascii="Arial" w:hAnsi="Arial" w:cs="Arial"/>
                <w:sz w:val="18"/>
                <w:szCs w:val="18"/>
              </w:rPr>
            </w:pPr>
            <w:r w:rsidRPr="007302FA">
              <w:rPr>
                <w:rFonts w:ascii="Arial" w:hAnsi="Arial" w:cs="Arial"/>
                <w:sz w:val="18"/>
                <w:szCs w:val="18"/>
              </w:rPr>
              <w:t>AATTTCTACTAAGTGTAGAT</w:t>
            </w:r>
          </w:p>
        </w:tc>
      </w:tr>
      <w:tr w:rsidR="003F1445" w:rsidRPr="00F844B3" w14:paraId="67FA9089" w14:textId="77777777" w:rsidTr="007B5F74">
        <w:trPr>
          <w:trHeight w:val="397"/>
        </w:trPr>
        <w:tc>
          <w:tcPr>
            <w:tcW w:w="1413" w:type="dxa"/>
          </w:tcPr>
          <w:p w14:paraId="305C4B1C" w14:textId="0CEDF2AF" w:rsidR="003F1445" w:rsidRPr="0021764A" w:rsidRDefault="0021764A" w:rsidP="00025256">
            <w:pPr>
              <w:rPr>
                <w:rFonts w:ascii="Arial" w:hAnsi="Arial" w:cs="Arial"/>
                <w:sz w:val="18"/>
                <w:szCs w:val="18"/>
              </w:rPr>
            </w:pPr>
            <w:r>
              <w:rPr>
                <w:rFonts w:ascii="Arial" w:hAnsi="Arial" w:cs="Arial"/>
                <w:i/>
                <w:iCs/>
                <w:sz w:val="18"/>
                <w:szCs w:val="18"/>
              </w:rPr>
              <w:t xml:space="preserve">Aspergillus </w:t>
            </w:r>
            <w:proofErr w:type="spellStart"/>
            <w:r>
              <w:rPr>
                <w:rFonts w:ascii="Arial" w:hAnsi="Arial" w:cs="Arial"/>
                <w:i/>
                <w:iCs/>
                <w:sz w:val="18"/>
                <w:szCs w:val="18"/>
              </w:rPr>
              <w:t>nidulans</w:t>
            </w:r>
            <w:proofErr w:type="spellEnd"/>
            <w:r>
              <w:rPr>
                <w:rFonts w:ascii="Arial" w:hAnsi="Arial" w:cs="Arial"/>
                <w:i/>
                <w:iCs/>
                <w:sz w:val="18"/>
                <w:szCs w:val="18"/>
              </w:rPr>
              <w:t xml:space="preserve"> </w:t>
            </w:r>
            <w:proofErr w:type="spellStart"/>
            <w:r w:rsidR="00E4507B">
              <w:rPr>
                <w:rFonts w:ascii="Arial" w:hAnsi="Arial" w:cs="Arial"/>
                <w:sz w:val="18"/>
                <w:szCs w:val="18"/>
              </w:rPr>
              <w:t>tRNA</w:t>
            </w:r>
            <w:r w:rsidR="00E4507B" w:rsidRPr="00E4507B">
              <w:rPr>
                <w:rFonts w:ascii="Arial" w:hAnsi="Arial" w:cs="Arial"/>
                <w:sz w:val="18"/>
                <w:szCs w:val="18"/>
                <w:vertAlign w:val="superscript"/>
              </w:rPr>
              <w:t>gly</w:t>
            </w:r>
            <w:proofErr w:type="spellEnd"/>
          </w:p>
        </w:tc>
        <w:tc>
          <w:tcPr>
            <w:tcW w:w="7654" w:type="dxa"/>
            <w:shd w:val="clear" w:color="auto" w:fill="auto"/>
          </w:tcPr>
          <w:p w14:paraId="5FBA4DEE" w14:textId="5EB883E5" w:rsidR="003F1445" w:rsidRPr="00F844B3" w:rsidRDefault="00C30A30" w:rsidP="00025256">
            <w:pPr>
              <w:rPr>
                <w:rFonts w:ascii="Arial" w:hAnsi="Arial" w:cs="Arial"/>
                <w:sz w:val="18"/>
                <w:szCs w:val="18"/>
              </w:rPr>
            </w:pPr>
            <w:r w:rsidRPr="00C30A30">
              <w:rPr>
                <w:rFonts w:ascii="Arial" w:hAnsi="Arial" w:cs="Arial"/>
                <w:sz w:val="18"/>
                <w:szCs w:val="18"/>
              </w:rPr>
              <w:t>GCATCATTGGTCTAGTGGTAGAATTCATCGTTGCCATCGATGAGGCCCGTGTTCGATTCACGGATGATGCA</w:t>
            </w:r>
          </w:p>
        </w:tc>
      </w:tr>
    </w:tbl>
    <w:p w14:paraId="700A9068" w14:textId="292ACA08" w:rsidR="006702D0" w:rsidRPr="00091600" w:rsidRDefault="006702D0" w:rsidP="00091600">
      <w:pPr>
        <w:autoSpaceDE w:val="0"/>
        <w:autoSpaceDN w:val="0"/>
        <w:ind w:left="640" w:hanging="640"/>
        <w:rPr>
          <w:rFonts w:ascii="Arial" w:eastAsia="Times New Roman" w:hAnsi="Arial" w:cs="Arial"/>
          <w:color w:val="000000"/>
          <w:lang w:val="en-US"/>
        </w:rPr>
      </w:pPr>
    </w:p>
    <w:sectPr w:rsidR="006702D0" w:rsidRPr="000916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B3"/>
    <w:rsid w:val="00035F17"/>
    <w:rsid w:val="00091600"/>
    <w:rsid w:val="000C7146"/>
    <w:rsid w:val="001D514C"/>
    <w:rsid w:val="001E2833"/>
    <w:rsid w:val="001E2A81"/>
    <w:rsid w:val="001E6700"/>
    <w:rsid w:val="0021764A"/>
    <w:rsid w:val="00293F95"/>
    <w:rsid w:val="0037621E"/>
    <w:rsid w:val="003F1445"/>
    <w:rsid w:val="004E285E"/>
    <w:rsid w:val="005242B1"/>
    <w:rsid w:val="005C2692"/>
    <w:rsid w:val="006666D6"/>
    <w:rsid w:val="006702D0"/>
    <w:rsid w:val="006A3171"/>
    <w:rsid w:val="006E0467"/>
    <w:rsid w:val="00721871"/>
    <w:rsid w:val="007302FA"/>
    <w:rsid w:val="007415CA"/>
    <w:rsid w:val="007B5F74"/>
    <w:rsid w:val="007D5B47"/>
    <w:rsid w:val="0081240E"/>
    <w:rsid w:val="008F59B3"/>
    <w:rsid w:val="00901236"/>
    <w:rsid w:val="009C4559"/>
    <w:rsid w:val="00A00D78"/>
    <w:rsid w:val="00A32F2A"/>
    <w:rsid w:val="00A75226"/>
    <w:rsid w:val="00B97DAE"/>
    <w:rsid w:val="00BC2F07"/>
    <w:rsid w:val="00BE0469"/>
    <w:rsid w:val="00BE79F9"/>
    <w:rsid w:val="00BF6B99"/>
    <w:rsid w:val="00C30A30"/>
    <w:rsid w:val="00CB3CDB"/>
    <w:rsid w:val="00CF0119"/>
    <w:rsid w:val="00DB0E64"/>
    <w:rsid w:val="00E12FEE"/>
    <w:rsid w:val="00E4507B"/>
    <w:rsid w:val="00E61160"/>
    <w:rsid w:val="00E86AB7"/>
    <w:rsid w:val="00EE0447"/>
    <w:rsid w:val="00EE048C"/>
    <w:rsid w:val="00F30929"/>
    <w:rsid w:val="00F844B3"/>
    <w:rsid w:val="00FD08C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BA508"/>
  <w15:chartTrackingRefBased/>
  <w15:docId w15:val="{0712818B-8D29-42DF-AB78-A1A805114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4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4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4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4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4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4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4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4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4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4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4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4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4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4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4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4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4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4B3"/>
    <w:rPr>
      <w:rFonts w:eastAsiaTheme="majorEastAsia" w:cstheme="majorBidi"/>
      <w:color w:val="272727" w:themeColor="text1" w:themeTint="D8"/>
    </w:rPr>
  </w:style>
  <w:style w:type="paragraph" w:styleId="Title">
    <w:name w:val="Title"/>
    <w:basedOn w:val="Normal"/>
    <w:next w:val="Normal"/>
    <w:link w:val="TitleChar"/>
    <w:uiPriority w:val="10"/>
    <w:qFormat/>
    <w:rsid w:val="00F84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4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4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4B3"/>
    <w:pPr>
      <w:spacing w:before="160"/>
      <w:jc w:val="center"/>
    </w:pPr>
    <w:rPr>
      <w:i/>
      <w:iCs/>
      <w:color w:val="404040" w:themeColor="text1" w:themeTint="BF"/>
    </w:rPr>
  </w:style>
  <w:style w:type="character" w:customStyle="1" w:styleId="QuoteChar">
    <w:name w:val="Quote Char"/>
    <w:basedOn w:val="DefaultParagraphFont"/>
    <w:link w:val="Quote"/>
    <w:uiPriority w:val="29"/>
    <w:rsid w:val="00F844B3"/>
    <w:rPr>
      <w:i/>
      <w:iCs/>
      <w:color w:val="404040" w:themeColor="text1" w:themeTint="BF"/>
    </w:rPr>
  </w:style>
  <w:style w:type="paragraph" w:styleId="ListParagraph">
    <w:name w:val="List Paragraph"/>
    <w:basedOn w:val="Normal"/>
    <w:uiPriority w:val="34"/>
    <w:qFormat/>
    <w:rsid w:val="00F844B3"/>
    <w:pPr>
      <w:ind w:left="720"/>
      <w:contextualSpacing/>
    </w:pPr>
  </w:style>
  <w:style w:type="character" w:styleId="IntenseEmphasis">
    <w:name w:val="Intense Emphasis"/>
    <w:basedOn w:val="DefaultParagraphFont"/>
    <w:uiPriority w:val="21"/>
    <w:qFormat/>
    <w:rsid w:val="00F844B3"/>
    <w:rPr>
      <w:i/>
      <w:iCs/>
      <w:color w:val="0F4761" w:themeColor="accent1" w:themeShade="BF"/>
    </w:rPr>
  </w:style>
  <w:style w:type="paragraph" w:styleId="IntenseQuote">
    <w:name w:val="Intense Quote"/>
    <w:basedOn w:val="Normal"/>
    <w:next w:val="Normal"/>
    <w:link w:val="IntenseQuoteChar"/>
    <w:uiPriority w:val="30"/>
    <w:qFormat/>
    <w:rsid w:val="00F844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4B3"/>
    <w:rPr>
      <w:i/>
      <w:iCs/>
      <w:color w:val="0F4761" w:themeColor="accent1" w:themeShade="BF"/>
    </w:rPr>
  </w:style>
  <w:style w:type="character" w:styleId="IntenseReference">
    <w:name w:val="Intense Reference"/>
    <w:basedOn w:val="DefaultParagraphFont"/>
    <w:uiPriority w:val="32"/>
    <w:qFormat/>
    <w:rsid w:val="00F844B3"/>
    <w:rPr>
      <w:b/>
      <w:bCs/>
      <w:smallCaps/>
      <w:color w:val="0F4761" w:themeColor="accent1" w:themeShade="BF"/>
      <w:spacing w:val="5"/>
    </w:rPr>
  </w:style>
  <w:style w:type="paragraph" w:styleId="Caption">
    <w:name w:val="caption"/>
    <w:basedOn w:val="Normal"/>
    <w:next w:val="Normal"/>
    <w:uiPriority w:val="35"/>
    <w:unhideWhenUsed/>
    <w:qFormat/>
    <w:rsid w:val="00F844B3"/>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F844B3"/>
    <w:rPr>
      <w:color w:val="666666"/>
    </w:rPr>
  </w:style>
  <w:style w:type="character" w:styleId="Hyperlink">
    <w:name w:val="Hyperlink"/>
    <w:basedOn w:val="DefaultParagraphFont"/>
    <w:uiPriority w:val="99"/>
    <w:unhideWhenUsed/>
    <w:rsid w:val="001E6700"/>
    <w:rPr>
      <w:color w:val="467886" w:themeColor="hyperlink"/>
      <w:u w:val="single"/>
    </w:rPr>
  </w:style>
  <w:style w:type="character" w:styleId="UnresolvedMention">
    <w:name w:val="Unresolved Mention"/>
    <w:basedOn w:val="DefaultParagraphFont"/>
    <w:uiPriority w:val="99"/>
    <w:semiHidden/>
    <w:unhideWhenUsed/>
    <w:rsid w:val="001E6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68607">
      <w:bodyDiv w:val="1"/>
      <w:marLeft w:val="0"/>
      <w:marRight w:val="0"/>
      <w:marTop w:val="0"/>
      <w:marBottom w:val="0"/>
      <w:divBdr>
        <w:top w:val="none" w:sz="0" w:space="0" w:color="auto"/>
        <w:left w:val="none" w:sz="0" w:space="0" w:color="auto"/>
        <w:bottom w:val="none" w:sz="0" w:space="0" w:color="auto"/>
        <w:right w:val="none" w:sz="0" w:space="0" w:color="auto"/>
      </w:divBdr>
      <w:divsChild>
        <w:div w:id="544100779">
          <w:marLeft w:val="640"/>
          <w:marRight w:val="0"/>
          <w:marTop w:val="0"/>
          <w:marBottom w:val="0"/>
          <w:divBdr>
            <w:top w:val="none" w:sz="0" w:space="0" w:color="auto"/>
            <w:left w:val="none" w:sz="0" w:space="0" w:color="auto"/>
            <w:bottom w:val="none" w:sz="0" w:space="0" w:color="auto"/>
            <w:right w:val="none" w:sz="0" w:space="0" w:color="auto"/>
          </w:divBdr>
        </w:div>
        <w:div w:id="1892379387">
          <w:marLeft w:val="640"/>
          <w:marRight w:val="0"/>
          <w:marTop w:val="0"/>
          <w:marBottom w:val="0"/>
          <w:divBdr>
            <w:top w:val="none" w:sz="0" w:space="0" w:color="auto"/>
            <w:left w:val="none" w:sz="0" w:space="0" w:color="auto"/>
            <w:bottom w:val="none" w:sz="0" w:space="0" w:color="auto"/>
            <w:right w:val="none" w:sz="0" w:space="0" w:color="auto"/>
          </w:divBdr>
        </w:div>
        <w:div w:id="1416052938">
          <w:marLeft w:val="640"/>
          <w:marRight w:val="0"/>
          <w:marTop w:val="0"/>
          <w:marBottom w:val="0"/>
          <w:divBdr>
            <w:top w:val="none" w:sz="0" w:space="0" w:color="auto"/>
            <w:left w:val="none" w:sz="0" w:space="0" w:color="auto"/>
            <w:bottom w:val="none" w:sz="0" w:space="0" w:color="auto"/>
            <w:right w:val="none" w:sz="0" w:space="0" w:color="auto"/>
          </w:divBdr>
        </w:div>
        <w:div w:id="25776126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FD28E4-3756-4434-A639-E2839C12BDFF}">
  <we:reference id="f78a3046-9e99-4300-aa2b-5814002b01a2" version="1.55.1.0" store="EXCatalog" storeType="EXCatalog"/>
  <we:alternateReferences>
    <we:reference id="WA104382081" version="1.55.1.0" store="da-DK" storeType="OMEX"/>
  </we:alternateReferences>
  <we:properties>
    <we:property name="MENDELEY_CITATIONS" value="[{&quot;citationID&quot;:&quot;MENDELEY_CITATION_5ac1acf9-7edb-425a-a867-05f38b4a3bf3&quot;,&quot;properties&quot;:{&quot;noteIndex&quot;:0},&quot;isEdited&quot;:false,&quot;manualOverride&quot;:{&quot;isManuallyOverridden&quot;:false,&quot;citeprocText&quot;:&quot;[1]&quot;,&quot;manualOverrideText&quot;:&quot;&quot;},&quot;citationTag&quot;:&quot;MENDELEY_CITATION_v3_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&quot;,&quot;citationItems&quot;:[{&quot;id&quot;:&quot;7b419711-5a1e-38a8-a1ec-dc9e13c33902&quot;,&quot;itemData&quot;:{&quot;type&quot;:&quot;article-journal&quot;,&quot;id&quot;:&quot;7b419711-5a1e-38a8-a1ec-dc9e13c33902&quot;,&quot;title&quot;:&quot;Gene cloning and enzymatic characterization of an endoprotease Endo-Pro-Aspergillus niger&quot;,&quot;author&quot;:[{&quot;family&quot;:&quot;Kang&quot;,&quot;given&quot;:&quot;Chao&quot;,&quot;parse-names&quot;:false,&quot;dropping-particle&quot;:&quot;&quot;,&quot;non-dropping-particle&quot;:&quot;&quot;},{&quot;family&quot;:&quot;Yu&quot;,&quot;given&quot;:&quot;Xiao Wei&quot;,&quot;parse-names&quot;:false,&quot;dropping-particle&quot;:&quot;&quot;,&quot;non-dropping-particle&quot;:&quot;&quot;},{&quot;family&quot;:&quot;Xu&quot;,&quot;given&quot;:&quot;Yan&quot;,&quot;parse-names&quot;:false,&quot;dropping-particle&quot;:&quot;&quot;,&quot;non-dropping-particle&quot;:&quot;&quot;}],&quot;container-title&quot;:&quot;Journal of industrial microbiology &amp; biotechnology&quot;,&quot;container-title-short&quot;:&quot;J Ind Microbiol Biotechnol&quot;,&quot;accessed&quot;:{&quot;date-parts&quot;:[[2025,2,24]]},&quot;DOI&quot;:&quot;10.1007/S10295-013-1284-4&quot;,&quot;ISSN&quot;:&quot;1476-5535&quot;,&quot;PMID&quot;:&quot;23685896&quot;,&quot;URL&quot;:&quot;https://pubmed.ncbi.nlm.nih.gov/23685896/&quot;,&quot;issued&quot;:{&quot;date-parts&quot;:[[2013,8]]},&quot;page&quot;:&quot;855-864&quot;,&quot;abstract&quot;:&quot;A novel endoprotease Endo-Pro-Aspergillus niger (endoprotease EPR) was first successfully expressed at high level in the methylotrophic yeast Pichia pastoris and the purification procedure was established. The endoprotease EPR is 95 % identity with proline specific endopeptidase from A. niger CBS513.88 (EMBL; AX458699), while sharing low identity with those from other microorganisms. The purified endoprotease EPR was a monomer of 60 kDa. Furthermore, the peptide mass fingerprinting (PMF) analysis confirmed that the purified protein was an endoprotease Endo-Pro-Aspergillus niger. A three-dimensional model revealed that the active site of the enzyme was located in Ser(179)-Asp(458)-His(491), based on template 3n2zB with sequence identity of 17.6 %. The optimum pH and temperature of the endoprotease EPR were pH 4-5 and 35 C, and the stabilities were pH 3-7 and 15-60 C, respectively. Furthermore, the endoprotease EPR had the ability to digest peptides with the C-terminal of proline as well as alanine, and was also capable of hydrolyzing larger peptides. The properties of the endoprotease EPR made it a highly promising candidate for future application in the field of brewing and food process. © 2013 Society for Industrial Microbiology and Biotechnology.&quot;,&quot;publisher&quot;:&quot;J Ind Microbiol Biotechnol&quot;,&quot;issue&quot;:&quot;8&quot;,&quot;volume&quot;:&quot;40&quot;},&quot;isTemporary&quot;:false}]},{&quot;citationID&quot;:&quot;MENDELEY_CITATION_e0411eb8-5edd-44de-a2f4-2a670510ce5d&quot;,&quot;properties&quot;:{&quot;noteIndex&quot;:0},&quot;isEdited&quot;:false,&quot;manualOverride&quot;:{&quot;isManuallyOverridden&quot;:false,&quot;citeprocText&quot;:&quot;[2]&quot;,&quot;manualOverrideText&quot;:&quot;&quot;},&quot;citationTag&quot;:&quot;MENDELEY_CITATION_v3_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&quot;,&quot;citationItems&quot;:[{&quot;id&quot;:&quot;7a9c5be3-b478-3722-b126-49180e73f8df&quot;,&quot;itemData&quot;:{&quot;type&quot;:&quot;article-journal&quot;,&quot;id&quot;:&quot;7a9c5be3-b478-3722-b126-49180e73f8df&quot;,&quot;title&quot;:&quot;A polyketide synthase gene required for biosynthesis of fumonisin mycotoxins in Gibberella fujikuroi mating population A&quot;,&quot;author&quot;:[{&quot;family&quot;:&quot;Proctor&quot;,&quot;given&quot;:&quot;Robert H.&quot;,&quot;parse-names&quot;:false,&quot;dropping-particle&quot;:&quot;&quot;,&quot;non-dropping-particle&quot;:&quot;&quot;},{&quot;family&quot;:&quot;Desjardins&quot;,&quot;given&quot;:&quot;Anne E.&quot;,&quot;parse-names&quot;:false,&quot;dropping-particle&quot;:&quot;&quot;,&quot;non-dropping-particle&quot;:&quot;&quot;},{&quot;family&quot;:&quot;Plattner&quot;,&quot;given&quot;:&quot;Ronald D.&quot;,&quot;parse-names&quot;:false,&quot;dropping-particle&quot;:&quot;&quot;,&quot;non-dropping-particle&quot;:&quot;&quot;},{&quot;family&quot;:&quot;Hohn&quot;,&quot;given&quot;:&quot;Thomas M.&quot;,&quot;parse-names&quot;:false,&quot;dropping-particle&quot;:&quot;&quot;,&quot;non-dropping-particle&quot;:&quot;&quot;}],&quot;container-title&quot;:&quot;Fungal genetics and biology : FG &amp; B&quot;,&quot;container-title-short&quot;:&quot;Fungal Genet Biol&quot;,&quot;accessed&quot;:{&quot;date-parts&quot;:[[2025,2,24]]},&quot;DOI&quot;:&quot;10.1006/FGBI.1999.1141&quot;,&quot;ISSN&quot;:&quot;1087-1845&quot;,&quot;PMID&quot;:&quot;10413619&quot;,&quot;URL&quot;:&quot;https://pubmed.ncbi.nlm.nih.gov/10413619/&quot;,&quot;issued&quot;:{&quot;date-parts&quot;:[[1999]]},&quot;page&quot;:&quot;100-112&quot;,&quot;abstract&quot;:&quot;Fumonisins are toxins associated with several mycotoxicoses and are produced by the maize pathogen Gibberella fujikuroi mating population A (MP-A). Biochemical analyses indicate that fumonisins are a product of either polyketide or fatty acid biosynthesis. To isolate a putative polyketide synthase (PKS) gene involved in fumonisin biosynthesis, we employed PCR with degenerate PKS primers and a cDNA template prepared from a fumonisin-producing culture of G. fujikuroi. Sequence analysis of the single PCR product and its flanking DNA revealed a gene (FUM5) with a 7.8-kb coding region. The predicted FUM5 translation product was highly similar to bacterial and fungal Type I PKSs. Transformation of a cosmid clone carrying FUM5 into G. fujikuroi enhanced production in three strains and restored wild-type production in a fumonisin nonproducing mutant. Disruption of FUM5 reduced fumonisin production by over 99% in G. fujikuroi MP-A. Together, these results indicate that FUM5 is a PKS gene required for fumonisin biosynthesis.&quot;,&quot;publisher&quot;:&quot;Fungal Genet Biol&quot;,&quot;issue&quot;:&quot;1&quot;,&quot;volume&quot;:&quot;27&quot;},&quot;isTemporary&quot;:false}]},{&quot;citationID&quot;:&quot;MENDELEY_CITATION_74c1ddd2-f9c2-45d0-a7d7-f4b4e730b3fe&quot;,&quot;properties&quot;:{&quot;noteIndex&quot;:0},&quot;isEdited&quot;:false,&quot;manualOverride&quot;:{&quot;isManuallyOverridden&quot;:false,&quot;citeprocText&quot;:&quot;[3]&quot;,&quot;manualOverrideText&quot;:&quot;&quot;},&quot;citationTag&quot;:&quot;MENDELEY_CITATION_v3_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&quot;,&quot;citationItems&quot;:[{&quot;id&quot;:&quot;32d2c214-5691-370a-8008-febeb6fdb130&quot;,&quot;itemData&quot;:{&quot;type&quot;:&quot;article-journal&quot;,&quot;id&quot;:&quot;32d2c214-5691-370a-8008-febeb6fdb130&quot;,&quot;title&quot;:&quot;Co-expression of 15 contiguous genes delineates a fumonisin biosynthetic gene cluster in Gibberella moniliformis&quot;,&quot;author&quot;:[{&quot;family&quot;:&quot;Proctor&quot;,&quot;given&quot;:&quot;Robert H.&quot;,&quot;parse-names&quot;:false,&quot;dropping-particle&quot;:&quot;&quot;,&quot;non-dropping-particle&quot;:&quot;&quot;},{&quot;family&quot;:&quot;Brown&quot;,&quot;given&quot;:&quot;Daren W.&quot;,&quot;parse-names&quot;:false,&quot;dropping-particle&quot;:&quot;&quot;,&quot;non-dropping-particle&quot;:&quot;&quot;},{&quot;family&quot;:&quot;Plattner&quot;,&quot;given&quot;:&quot;Ronald D.&quot;,&quot;parse-names&quot;:false,&quot;dropping-particle&quot;:&quot;&quot;,&quot;non-dropping-particle&quot;:&quot;&quot;},{&quot;family&quot;:&quot;Desjardins&quot;,&quot;given&quot;:&quot;Anne E.&quot;,&quot;parse-names&quot;:false,&quot;dropping-particle&quot;:&quot;&quot;,&quot;non-dropping-particle&quot;:&quot;&quot;}],&quot;container-title&quot;:&quot;Fungal Genetics and Biology&quot;,&quot;accessed&quot;:{&quot;date-parts&quot;:[[2025,2,24]]},&quot;DOI&quot;:&quot;10.1016/S1087-1845(02)00525-X&quot;,&quot;ISSN&quot;:&quot;1087-1845&quot;,&quot;PMID&quot;:&quot;12620260&quot;,&quot;issued&quot;:{&quot;date-parts&quot;:[[2003,3,1]]},&quot;page&quot;:&quot;237-249&quot;,&quot;abstract&quot;:&quot;Fumonisins are mycotoxins produced by the maize pathogen Gibberella moniliformis and are associated with cancer in rodents. In this study, we determined the nucleotide sequence of a 75-kb region of G. moniliformis DNA and identified 18 heretofore undescribed genes flanking a cluster of five previously identified fumonisin biosynthetic (FUM) genes. Ten of the newly identified genes downstream of the cluster were coregulated with FUM genes and exhibited patterns of expression that were correlated with fumonisin production. BLASTX analyses indicated that the predicted functions of proteins encoded by the 10 genes were consistent with activities expected for fumonisin biosynthesis or self-protection. These data indicate that the 10 newly identified genes and the previously identified FUM genes constitute a fumonisin biosynthetic gene cluster. Disruption of two of the new genes, encoding longevity assurance factors, had no apparent effect on fumonisin production, but disruption of a third, encoding an ABC transporter, had a subtle effect on ratios of fumonisins produced.&quot;,&quot;publisher&quot;:&quot;Academic Press&quot;,&quot;issue&quot;:&quot;2&quot;,&quot;volume&quot;:&quot;38&quot;,&quot;container-title-short&quot;:&quot;&quot;},&quot;isTemporary&quot;:false}]},{&quot;citationID&quot;:&quot;MENDELEY_CITATION_4c1d1e44-000f-4483-a303-690645931481&quot;,&quot;properties&quot;:{&quot;noteIndex&quot;:0},&quot;isEdited&quot;:false,&quot;manualOverride&quot;:{&quot;isManuallyOverridden&quot;:false,&quot;citeprocText&quot;:&quot;[4]&quot;,&quot;manualOverrideText&quot;:&quot;&quot;},&quot;citationTag&quot;:&quot;MENDELEY_CITATION_v3_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&quot;,&quot;citationItems&quot;:[{&quot;id&quot;:&quot;2fb094b8-4de4-38e3-b6fc-2dc17bee1608&quot;,&quot;itemData&quot;:{&quot;type&quot;:&quot;article-journal&quot;,&quot;id&quot;:&quot;2fb094b8-4de4-38e3-b6fc-2dc17bee1608&quot;,&quot;title&quot;:&quot;Interplay of the RNA Exosome Complex and RNA-Binding Protein Ssd1 in Maintaining Cell Wall Stability in Yeast&quot;,&quot;author&quot;:[{&quot;family&quot;:&quot;Novačić&quot;,&quot;given&quot;:&quot;Ana&quot;,&quot;parse-names&quot;:false,&quot;dropping-particle&quot;:&quot;&quot;,&quot;non-dropping-particle&quot;:&quot;&quot;},{&quot;family&quot;:&quot;Šupljika&quot;,&quot;given&quot;:&quot;Nada&quot;,&quot;parse-names&quot;:false,&quot;dropping-particle&quot;:&quot;&quot;,&quot;non-dropping-particle&quot;:&quot;&quot;},{&quot;family&quot;:&quot;Bekavac&quot;,&quot;given&quot;:&quot;Nikša&quot;,&quot;parse-names&quot;:false,&quot;dropping-particle&quot;:&quot;&quot;,&quot;non-dropping-particle&quot;:&quot;&quot;},{&quot;family&quot;:&quot;Žunar&quot;,&quot;given&quot;:&quot;Bojan&quot;,&quot;parse-names&quot;:false,&quot;dropping-particle&quot;:&quot;&quot;,&quot;non-dropping-particle&quot;:&quot;&quot;},{&quot;family&quot;:&quot;Stuparević&quot;,&quot;given&quot;:&quot;Igor&quot;,&quot;parse-names&quot;:false,&quot;dropping-particle&quot;:&quot;&quot;,&quot;non-dropping-particle&quot;:&quot;&quot;}],&quot;container-title&quot;:&quot;Microbiology spectrum&quot;,&quot;container-title-short&quot;:&quot;Microbiol Spectr&quot;,&quot;accessed&quot;:{&quot;date-parts&quot;:[[2025,2,24]]},&quot;DOI&quot;:&quot;10.1128/SPECTRUM.00295-21&quot;,&quot;ISSN&quot;:&quot;2165-0497&quot;,&quot;PMID&quot;:&quot;34259554&quot;,&quot;URL&quot;:&quot;https://pubmed.ncbi.nlm.nih.gov/34259554/&quot;,&quot;issued&quot;:{&quot;date-parts&quot;:[[2021,9,3]]},&quot;abstract&quot;:&quot;Stressful conditions such as high temperatures can compromise cellular integrity and cause bursting. In microorganisms surrounded by a cell wall, such as yeast, the cell wall is the primary shield that protects cells from environmental stress. Yeast cell wall stability is important for cell division and survival under stress conditions. The expression of cell-wall-related proteins is regulated by several pathways involving RNA-binding proteins and RNases. The multiprotein RNA exosome complex provides the 3′→5′ exoribonuclease activity that is critical for maintaining the stability and integrity of the yeast cell wall under stress conditions such as high temperatures. In this work, we show that the temperature sensitivity of RNA exosome mutants is most pronounced in the W303 genetic background due to the nonfunctional ssd1-d allele. This gene encodes the RNA-binding protein Ssd1, which is involved in the posttranscriptional regulation of cell-wall-related genes. Expression of the functional SSD1-V allele from its native genomic locus or from a centromeric plasmid suppresses the growth defects and aberrant morphology of RNA exosome mutant cells at high temperatures or upon treatment with cell wall stressors. Moreover, combined inactivation of the RNA exosome catalytic subunit Rrp6 and Ssd1 results in a synthetically sick phenotype of cell wall instability, as these proteins may function in parallel pathways (i.e., via different mRNA targets) to maintain cell wall stability.  IMPORTANCE Stressful conditions such as high temperatures can compromise cellular integrity and cause bursting. In microorganisms surrounded by a cell wall, such as yeast, the cell wall is the primary shield that protects cells from environmental stress. Therefore, remodeling its structure requires inputs from multiple signaling pathways and regulators. In this work, we identify the interplay of the RNA exosome complex and the RNA-binding protein Ssd1 as an important factor in the yeast cell wall stress response. These proteins operate in independent pathways to support yeast cell wall stability. This work highlights the contribution of RNA-binding proteins in the regulation of yeast cell wall structure, providing new insights into yeast physiology. &quot;,&quot;publisher&quot;:&quot;Microbiol Spectr&quot;,&quot;issue&quot;:&quot;1&quot;,&quot;volume&quot;:&quot;9&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6AF2FC8-F4E6-44D7-B0ED-FA9AC48FA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141</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Peter van Esch</dc:creator>
  <cp:keywords/>
  <dc:description/>
  <cp:lastModifiedBy>Abel Peter van Esch</cp:lastModifiedBy>
  <cp:revision>42</cp:revision>
  <dcterms:created xsi:type="dcterms:W3CDTF">2025-02-24T13:11:00Z</dcterms:created>
  <dcterms:modified xsi:type="dcterms:W3CDTF">2025-03-27T16:46:00Z</dcterms:modified>
</cp:coreProperties>
</file>