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9A759" w14:textId="49582B14" w:rsidR="00247EF9" w:rsidRPr="008F6871" w:rsidRDefault="00247EF9" w:rsidP="008F6871">
      <w:pPr>
        <w:keepNext/>
        <w:pBdr>
          <w:top w:val="nil"/>
          <w:left w:val="nil"/>
          <w:bottom w:val="nil"/>
          <w:right w:val="nil"/>
          <w:between w:val="nil"/>
        </w:pBdr>
        <w:spacing w:after="200" w:line="240" w:lineRule="auto"/>
        <w:jc w:val="center"/>
        <w:rPr>
          <w:rFonts w:ascii="Arial" w:eastAsia="Arial" w:hAnsi="Arial" w:cs="Arial"/>
          <w:b/>
          <w:bCs/>
          <w:i/>
          <w:sz w:val="24"/>
          <w:szCs w:val="24"/>
        </w:rPr>
      </w:pPr>
      <w:r w:rsidRPr="002932E2">
        <w:rPr>
          <w:rFonts w:ascii="Arial" w:eastAsia="Arial" w:hAnsi="Arial" w:cs="Arial"/>
          <w:b/>
          <w:bCs/>
          <w:i/>
          <w:sz w:val="24"/>
          <w:szCs w:val="24"/>
        </w:rPr>
        <w:t xml:space="preserve">Table </w:t>
      </w:r>
      <w:r w:rsidR="00623F17" w:rsidRPr="002932E2">
        <w:rPr>
          <w:rFonts w:ascii="Arial" w:eastAsia="Arial" w:hAnsi="Arial" w:cs="Arial"/>
          <w:b/>
          <w:bCs/>
          <w:i/>
          <w:sz w:val="24"/>
          <w:szCs w:val="24"/>
        </w:rPr>
        <w:t>S</w:t>
      </w:r>
      <w:r w:rsidR="00B86047" w:rsidRPr="002932E2">
        <w:rPr>
          <w:rFonts w:ascii="Arial" w:eastAsia="Arial" w:hAnsi="Arial" w:cs="Arial"/>
          <w:b/>
          <w:bCs/>
          <w:i/>
          <w:sz w:val="24"/>
          <w:szCs w:val="24"/>
        </w:rPr>
        <w:t>3</w:t>
      </w:r>
      <w:r w:rsidRPr="002932E2">
        <w:rPr>
          <w:rFonts w:ascii="Arial" w:eastAsia="Arial" w:hAnsi="Arial" w:cs="Arial"/>
          <w:b/>
          <w:bCs/>
          <w:i/>
          <w:sz w:val="24"/>
          <w:szCs w:val="24"/>
        </w:rPr>
        <w:t>: Deletion experiment genotype frequencies based on diagnostic PCR.</w:t>
      </w:r>
    </w:p>
    <w:tbl>
      <w:tblPr>
        <w:tblW w:w="8838"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115" w:type="dxa"/>
          <w:right w:w="115" w:type="dxa"/>
        </w:tblCellMar>
        <w:tblLook w:val="0400" w:firstRow="0" w:lastRow="0" w:firstColumn="0" w:lastColumn="0" w:noHBand="0" w:noVBand="1"/>
      </w:tblPr>
      <w:tblGrid>
        <w:gridCol w:w="1776"/>
        <w:gridCol w:w="2486"/>
        <w:gridCol w:w="2579"/>
        <w:gridCol w:w="1997"/>
      </w:tblGrid>
      <w:tr w:rsidR="002A62CA" w:rsidRPr="002A62CA" w14:paraId="4C71E878" w14:textId="77777777" w:rsidTr="005041BF">
        <w:trPr>
          <w:trHeight w:val="413"/>
          <w:jc w:val="center"/>
        </w:trPr>
        <w:tc>
          <w:tcPr>
            <w:tcW w:w="1776" w:type="dxa"/>
            <w:tcBorders>
              <w:bottom w:val="single" w:sz="12" w:space="0" w:color="666666"/>
            </w:tcBorders>
            <w:shd w:val="clear" w:color="auto" w:fill="auto"/>
          </w:tcPr>
          <w:p w14:paraId="1085B915" w14:textId="77777777" w:rsidR="00247EF9" w:rsidRPr="002A62CA" w:rsidRDefault="00247EF9" w:rsidP="005041BF">
            <w:pPr>
              <w:spacing w:line="480" w:lineRule="auto"/>
              <w:rPr>
                <w:rFonts w:ascii="Arial" w:eastAsia="Arial" w:hAnsi="Arial" w:cs="Arial"/>
                <w:b/>
                <w:sz w:val="24"/>
                <w:szCs w:val="24"/>
              </w:rPr>
            </w:pPr>
            <w:r w:rsidRPr="002A62CA">
              <w:rPr>
                <w:rFonts w:ascii="Arial" w:eastAsia="Arial" w:hAnsi="Arial" w:cs="Arial"/>
                <w:b/>
                <w:sz w:val="24"/>
                <w:szCs w:val="24"/>
              </w:rPr>
              <w:t>Vector</w:t>
            </w:r>
          </w:p>
        </w:tc>
        <w:tc>
          <w:tcPr>
            <w:tcW w:w="2486" w:type="dxa"/>
            <w:tcBorders>
              <w:bottom w:val="single" w:sz="12" w:space="0" w:color="666666"/>
            </w:tcBorders>
            <w:shd w:val="clear" w:color="auto" w:fill="auto"/>
          </w:tcPr>
          <w:p w14:paraId="751A137F" w14:textId="77777777" w:rsidR="00247EF9" w:rsidRPr="002A62CA" w:rsidRDefault="00247EF9" w:rsidP="005041BF">
            <w:pPr>
              <w:spacing w:line="480" w:lineRule="auto"/>
              <w:rPr>
                <w:rFonts w:ascii="Arial" w:eastAsia="Arial" w:hAnsi="Arial" w:cs="Arial"/>
                <w:b/>
                <w:sz w:val="24"/>
                <w:szCs w:val="24"/>
              </w:rPr>
            </w:pPr>
            <w:r w:rsidRPr="002A62CA">
              <w:rPr>
                <w:rFonts w:ascii="Arial" w:eastAsia="Arial" w:hAnsi="Arial" w:cs="Arial"/>
                <w:b/>
                <w:sz w:val="24"/>
                <w:szCs w:val="24"/>
              </w:rPr>
              <w:t>Target locus*</w:t>
            </w:r>
          </w:p>
        </w:tc>
        <w:tc>
          <w:tcPr>
            <w:tcW w:w="2579" w:type="dxa"/>
            <w:tcBorders>
              <w:bottom w:val="single" w:sz="12" w:space="0" w:color="666666"/>
            </w:tcBorders>
            <w:shd w:val="clear" w:color="auto" w:fill="auto"/>
          </w:tcPr>
          <w:p w14:paraId="046AEA2C" w14:textId="77777777" w:rsidR="00247EF9" w:rsidRPr="002A62CA" w:rsidRDefault="00247EF9" w:rsidP="005041BF">
            <w:pPr>
              <w:spacing w:line="480" w:lineRule="auto"/>
              <w:rPr>
                <w:rFonts w:ascii="Arial" w:eastAsia="Arial" w:hAnsi="Arial" w:cs="Arial"/>
                <w:b/>
                <w:sz w:val="24"/>
                <w:szCs w:val="24"/>
              </w:rPr>
            </w:pPr>
            <w:r w:rsidRPr="002A62CA">
              <w:rPr>
                <w:rFonts w:ascii="Arial" w:eastAsia="Arial" w:hAnsi="Arial" w:cs="Arial"/>
                <w:b/>
                <w:sz w:val="24"/>
                <w:szCs w:val="24"/>
              </w:rPr>
              <w:t>Genotype frequency**</w:t>
            </w:r>
          </w:p>
        </w:tc>
        <w:tc>
          <w:tcPr>
            <w:tcW w:w="1997" w:type="dxa"/>
            <w:tcBorders>
              <w:bottom w:val="single" w:sz="12" w:space="0" w:color="666666"/>
            </w:tcBorders>
            <w:shd w:val="clear" w:color="auto" w:fill="auto"/>
          </w:tcPr>
          <w:p w14:paraId="14A6575B" w14:textId="77777777" w:rsidR="00247EF9" w:rsidRPr="002A62CA" w:rsidRDefault="00247EF9" w:rsidP="005041BF">
            <w:pPr>
              <w:spacing w:line="480" w:lineRule="auto"/>
              <w:rPr>
                <w:rFonts w:ascii="Arial" w:eastAsia="Arial" w:hAnsi="Arial" w:cs="Arial"/>
                <w:b/>
                <w:sz w:val="24"/>
                <w:szCs w:val="24"/>
              </w:rPr>
            </w:pPr>
            <w:r w:rsidRPr="002A62CA">
              <w:rPr>
                <w:rFonts w:ascii="Arial" w:eastAsia="Arial" w:hAnsi="Arial" w:cs="Arial"/>
                <w:b/>
                <w:sz w:val="24"/>
                <w:szCs w:val="24"/>
              </w:rPr>
              <w:t>Knock-out Efficiency</w:t>
            </w:r>
          </w:p>
        </w:tc>
      </w:tr>
      <w:tr w:rsidR="002A62CA" w:rsidRPr="002A62CA" w14:paraId="0C018D29" w14:textId="77777777" w:rsidTr="005041BF">
        <w:trPr>
          <w:jc w:val="center"/>
        </w:trPr>
        <w:tc>
          <w:tcPr>
            <w:tcW w:w="1776" w:type="dxa"/>
            <w:vMerge w:val="restart"/>
            <w:shd w:val="clear" w:color="auto" w:fill="auto"/>
          </w:tcPr>
          <w:p w14:paraId="48F01617" w14:textId="77777777" w:rsidR="00247EF9" w:rsidRPr="002A62CA" w:rsidRDefault="00247EF9" w:rsidP="005041BF">
            <w:pPr>
              <w:spacing w:line="480" w:lineRule="auto"/>
              <w:rPr>
                <w:rFonts w:ascii="Arial" w:eastAsia="Arial" w:hAnsi="Arial" w:cs="Arial"/>
                <w:b/>
                <w:sz w:val="24"/>
                <w:szCs w:val="24"/>
              </w:rPr>
            </w:pPr>
            <w:r w:rsidRPr="002A62CA">
              <w:rPr>
                <w:rFonts w:ascii="Arial" w:eastAsia="Arial" w:hAnsi="Arial" w:cs="Arial"/>
                <w:b/>
                <w:sz w:val="24"/>
                <w:szCs w:val="24"/>
              </w:rPr>
              <w:t>pCpf1.MEC1</w:t>
            </w:r>
          </w:p>
        </w:tc>
        <w:tc>
          <w:tcPr>
            <w:tcW w:w="2486" w:type="dxa"/>
            <w:shd w:val="clear" w:color="auto" w:fill="auto"/>
          </w:tcPr>
          <w:p w14:paraId="3D8C49AC" w14:textId="77777777" w:rsidR="00247EF9" w:rsidRPr="002A62CA" w:rsidRDefault="00247EF9" w:rsidP="005041BF">
            <w:pPr>
              <w:spacing w:line="480" w:lineRule="auto"/>
              <w:rPr>
                <w:rFonts w:ascii="Arial" w:eastAsia="Arial" w:hAnsi="Arial" w:cs="Arial"/>
                <w:sz w:val="24"/>
                <w:szCs w:val="24"/>
              </w:rPr>
            </w:pPr>
            <w:r w:rsidRPr="002A62CA">
              <w:rPr>
                <w:rFonts w:ascii="Arial" w:eastAsia="Arial" w:hAnsi="Arial" w:cs="Arial"/>
                <w:sz w:val="24"/>
                <w:szCs w:val="24"/>
              </w:rPr>
              <w:t>Gene A</w:t>
            </w:r>
          </w:p>
        </w:tc>
        <w:tc>
          <w:tcPr>
            <w:tcW w:w="2579" w:type="dxa"/>
            <w:shd w:val="clear" w:color="auto" w:fill="auto"/>
          </w:tcPr>
          <w:p w14:paraId="49F312BE" w14:textId="77777777" w:rsidR="00247EF9" w:rsidRPr="002A62CA" w:rsidRDefault="00247EF9" w:rsidP="005041BF">
            <w:pPr>
              <w:spacing w:line="480" w:lineRule="auto"/>
              <w:rPr>
                <w:rFonts w:ascii="Arial" w:eastAsia="Arial" w:hAnsi="Arial" w:cs="Arial"/>
                <w:sz w:val="24"/>
                <w:szCs w:val="24"/>
              </w:rPr>
            </w:pPr>
            <w:r w:rsidRPr="002A62CA">
              <w:rPr>
                <w:rFonts w:ascii="Arial" w:eastAsia="Arial" w:hAnsi="Arial" w:cs="Arial"/>
                <w:sz w:val="24"/>
                <w:szCs w:val="24"/>
              </w:rPr>
              <w:t>18 KO, 3 MA</w:t>
            </w:r>
          </w:p>
        </w:tc>
        <w:tc>
          <w:tcPr>
            <w:tcW w:w="1997" w:type="dxa"/>
            <w:shd w:val="clear" w:color="auto" w:fill="auto"/>
          </w:tcPr>
          <w:p w14:paraId="0D22D2E7" w14:textId="77777777" w:rsidR="00247EF9" w:rsidRPr="002A62CA" w:rsidRDefault="00247EF9" w:rsidP="005041BF">
            <w:pPr>
              <w:spacing w:line="480" w:lineRule="auto"/>
              <w:rPr>
                <w:rFonts w:ascii="Arial" w:eastAsia="Arial" w:hAnsi="Arial" w:cs="Arial"/>
                <w:sz w:val="24"/>
                <w:szCs w:val="24"/>
              </w:rPr>
            </w:pPr>
            <w:r w:rsidRPr="002A62CA">
              <w:rPr>
                <w:rFonts w:ascii="Arial" w:eastAsia="Arial" w:hAnsi="Arial" w:cs="Arial"/>
                <w:sz w:val="24"/>
                <w:szCs w:val="24"/>
              </w:rPr>
              <w:t>85.7%</w:t>
            </w:r>
          </w:p>
        </w:tc>
      </w:tr>
      <w:tr w:rsidR="002A62CA" w:rsidRPr="002A62CA" w14:paraId="30B75549" w14:textId="77777777" w:rsidTr="005041BF">
        <w:trPr>
          <w:jc w:val="center"/>
        </w:trPr>
        <w:tc>
          <w:tcPr>
            <w:tcW w:w="1776" w:type="dxa"/>
            <w:vMerge/>
            <w:shd w:val="clear" w:color="auto" w:fill="auto"/>
          </w:tcPr>
          <w:p w14:paraId="32911BF0" w14:textId="77777777" w:rsidR="00247EF9" w:rsidRPr="002A62CA" w:rsidRDefault="00247EF9" w:rsidP="005041BF">
            <w:pPr>
              <w:widowControl w:val="0"/>
              <w:pBdr>
                <w:top w:val="nil"/>
                <w:left w:val="nil"/>
                <w:bottom w:val="nil"/>
                <w:right w:val="nil"/>
                <w:between w:val="nil"/>
              </w:pBdr>
              <w:spacing w:after="0" w:line="276" w:lineRule="auto"/>
              <w:rPr>
                <w:rFonts w:ascii="Arial" w:eastAsia="Arial" w:hAnsi="Arial" w:cs="Arial"/>
                <w:sz w:val="24"/>
                <w:szCs w:val="24"/>
              </w:rPr>
            </w:pPr>
          </w:p>
        </w:tc>
        <w:tc>
          <w:tcPr>
            <w:tcW w:w="2486" w:type="dxa"/>
            <w:shd w:val="clear" w:color="auto" w:fill="auto"/>
          </w:tcPr>
          <w:p w14:paraId="03E988F4" w14:textId="77777777" w:rsidR="00247EF9" w:rsidRPr="002A62CA" w:rsidRDefault="00247EF9" w:rsidP="005041BF">
            <w:pPr>
              <w:spacing w:line="480" w:lineRule="auto"/>
              <w:rPr>
                <w:rFonts w:ascii="Arial" w:eastAsia="Arial" w:hAnsi="Arial" w:cs="Arial"/>
                <w:sz w:val="24"/>
                <w:szCs w:val="24"/>
              </w:rPr>
            </w:pPr>
            <w:r w:rsidRPr="002A62CA">
              <w:rPr>
                <w:rFonts w:ascii="Arial" w:eastAsia="Arial" w:hAnsi="Arial" w:cs="Arial"/>
                <w:sz w:val="24"/>
                <w:szCs w:val="24"/>
              </w:rPr>
              <w:t xml:space="preserve">Gene B </w:t>
            </w:r>
          </w:p>
        </w:tc>
        <w:tc>
          <w:tcPr>
            <w:tcW w:w="2579" w:type="dxa"/>
            <w:shd w:val="clear" w:color="auto" w:fill="auto"/>
          </w:tcPr>
          <w:p w14:paraId="3137A60C" w14:textId="77777777" w:rsidR="00247EF9" w:rsidRPr="002A62CA" w:rsidRDefault="00247EF9" w:rsidP="005041BF">
            <w:pPr>
              <w:spacing w:line="480" w:lineRule="auto"/>
              <w:rPr>
                <w:rFonts w:ascii="Arial" w:eastAsia="Arial" w:hAnsi="Arial" w:cs="Arial"/>
                <w:sz w:val="24"/>
                <w:szCs w:val="24"/>
              </w:rPr>
            </w:pPr>
            <w:r w:rsidRPr="002A62CA">
              <w:rPr>
                <w:rFonts w:ascii="Arial" w:eastAsia="Arial" w:hAnsi="Arial" w:cs="Arial"/>
                <w:sz w:val="24"/>
                <w:szCs w:val="24"/>
              </w:rPr>
              <w:t>18 KO, 3 MA</w:t>
            </w:r>
          </w:p>
        </w:tc>
        <w:tc>
          <w:tcPr>
            <w:tcW w:w="1997" w:type="dxa"/>
            <w:shd w:val="clear" w:color="auto" w:fill="auto"/>
          </w:tcPr>
          <w:p w14:paraId="3EE9F70C" w14:textId="77777777" w:rsidR="00247EF9" w:rsidRPr="002A62CA" w:rsidRDefault="00247EF9" w:rsidP="005041BF">
            <w:pPr>
              <w:spacing w:line="480" w:lineRule="auto"/>
              <w:rPr>
                <w:rFonts w:ascii="Arial" w:eastAsia="Arial" w:hAnsi="Arial" w:cs="Arial"/>
                <w:sz w:val="24"/>
                <w:szCs w:val="24"/>
              </w:rPr>
            </w:pPr>
            <w:r w:rsidRPr="002A62CA">
              <w:rPr>
                <w:rFonts w:ascii="Arial" w:eastAsia="Arial" w:hAnsi="Arial" w:cs="Arial"/>
                <w:sz w:val="24"/>
                <w:szCs w:val="24"/>
              </w:rPr>
              <w:t>85.7%</w:t>
            </w:r>
          </w:p>
        </w:tc>
      </w:tr>
      <w:tr w:rsidR="002A62CA" w:rsidRPr="002A62CA" w14:paraId="2EABB6F8" w14:textId="77777777" w:rsidTr="005041BF">
        <w:trPr>
          <w:jc w:val="center"/>
        </w:trPr>
        <w:tc>
          <w:tcPr>
            <w:tcW w:w="1776" w:type="dxa"/>
            <w:vMerge/>
            <w:shd w:val="clear" w:color="auto" w:fill="auto"/>
          </w:tcPr>
          <w:p w14:paraId="044FA7C4" w14:textId="77777777" w:rsidR="00247EF9" w:rsidRPr="002A62CA" w:rsidRDefault="00247EF9" w:rsidP="005041BF">
            <w:pPr>
              <w:widowControl w:val="0"/>
              <w:pBdr>
                <w:top w:val="nil"/>
                <w:left w:val="nil"/>
                <w:bottom w:val="nil"/>
                <w:right w:val="nil"/>
                <w:between w:val="nil"/>
              </w:pBdr>
              <w:spacing w:after="0" w:line="276" w:lineRule="auto"/>
              <w:rPr>
                <w:rFonts w:ascii="Arial" w:eastAsia="Arial" w:hAnsi="Arial" w:cs="Arial"/>
                <w:sz w:val="24"/>
                <w:szCs w:val="24"/>
              </w:rPr>
            </w:pPr>
          </w:p>
        </w:tc>
        <w:tc>
          <w:tcPr>
            <w:tcW w:w="2486" w:type="dxa"/>
            <w:shd w:val="clear" w:color="auto" w:fill="auto"/>
          </w:tcPr>
          <w:p w14:paraId="7EE3C04C" w14:textId="77777777" w:rsidR="00247EF9" w:rsidRPr="002A62CA" w:rsidRDefault="00247EF9" w:rsidP="005041BF">
            <w:pPr>
              <w:spacing w:line="480" w:lineRule="auto"/>
              <w:rPr>
                <w:rFonts w:ascii="Arial" w:eastAsia="Arial" w:hAnsi="Arial" w:cs="Arial"/>
                <w:sz w:val="24"/>
                <w:szCs w:val="24"/>
              </w:rPr>
            </w:pPr>
            <w:r w:rsidRPr="002A62CA">
              <w:rPr>
                <w:rFonts w:ascii="Arial" w:eastAsia="Arial" w:hAnsi="Arial" w:cs="Arial"/>
                <w:sz w:val="24"/>
                <w:szCs w:val="24"/>
              </w:rPr>
              <w:t xml:space="preserve">Gene C </w:t>
            </w:r>
          </w:p>
        </w:tc>
        <w:tc>
          <w:tcPr>
            <w:tcW w:w="2579" w:type="dxa"/>
            <w:shd w:val="clear" w:color="auto" w:fill="auto"/>
          </w:tcPr>
          <w:p w14:paraId="0255295C" w14:textId="77777777" w:rsidR="00247EF9" w:rsidRPr="002A62CA" w:rsidRDefault="00247EF9" w:rsidP="005041BF">
            <w:pPr>
              <w:spacing w:line="480" w:lineRule="auto"/>
              <w:rPr>
                <w:rFonts w:ascii="Arial" w:eastAsia="Arial" w:hAnsi="Arial" w:cs="Arial"/>
                <w:sz w:val="24"/>
                <w:szCs w:val="24"/>
              </w:rPr>
            </w:pPr>
            <w:r w:rsidRPr="002A62CA">
              <w:rPr>
                <w:rFonts w:ascii="Arial" w:eastAsia="Arial" w:hAnsi="Arial" w:cs="Arial"/>
                <w:sz w:val="24"/>
                <w:szCs w:val="24"/>
              </w:rPr>
              <w:t>17 KO, 1 KO-, 3 MA</w:t>
            </w:r>
          </w:p>
        </w:tc>
        <w:tc>
          <w:tcPr>
            <w:tcW w:w="1997" w:type="dxa"/>
            <w:shd w:val="clear" w:color="auto" w:fill="auto"/>
          </w:tcPr>
          <w:p w14:paraId="18206ABE" w14:textId="77777777" w:rsidR="00247EF9" w:rsidRPr="002A62CA" w:rsidRDefault="00247EF9" w:rsidP="005041BF">
            <w:pPr>
              <w:spacing w:line="480" w:lineRule="auto"/>
              <w:rPr>
                <w:rFonts w:ascii="Arial" w:eastAsia="Arial" w:hAnsi="Arial" w:cs="Arial"/>
                <w:sz w:val="24"/>
                <w:szCs w:val="24"/>
              </w:rPr>
            </w:pPr>
            <w:r w:rsidRPr="002A62CA">
              <w:rPr>
                <w:rFonts w:ascii="Arial" w:eastAsia="Arial" w:hAnsi="Arial" w:cs="Arial"/>
                <w:sz w:val="24"/>
                <w:szCs w:val="24"/>
              </w:rPr>
              <w:t>81.0%</w:t>
            </w:r>
          </w:p>
        </w:tc>
      </w:tr>
      <w:tr w:rsidR="002A62CA" w:rsidRPr="002A62CA" w14:paraId="07AA207B" w14:textId="77777777" w:rsidTr="005041BF">
        <w:trPr>
          <w:jc w:val="center"/>
        </w:trPr>
        <w:tc>
          <w:tcPr>
            <w:tcW w:w="1776" w:type="dxa"/>
            <w:vMerge w:val="restart"/>
            <w:shd w:val="clear" w:color="auto" w:fill="auto"/>
          </w:tcPr>
          <w:p w14:paraId="0C971E91" w14:textId="77777777" w:rsidR="00247EF9" w:rsidRPr="002A62CA" w:rsidRDefault="00247EF9" w:rsidP="005041BF">
            <w:pPr>
              <w:spacing w:line="480" w:lineRule="auto"/>
              <w:rPr>
                <w:rFonts w:ascii="Arial" w:eastAsia="Arial" w:hAnsi="Arial" w:cs="Arial"/>
                <w:b/>
                <w:sz w:val="24"/>
                <w:szCs w:val="24"/>
              </w:rPr>
            </w:pPr>
            <w:r w:rsidRPr="002A62CA">
              <w:rPr>
                <w:rFonts w:ascii="Arial" w:eastAsia="Arial" w:hAnsi="Arial" w:cs="Arial"/>
                <w:b/>
                <w:sz w:val="24"/>
                <w:szCs w:val="24"/>
              </w:rPr>
              <w:t>pCpf1.MEC2</w:t>
            </w:r>
          </w:p>
          <w:p w14:paraId="1C7C4551" w14:textId="77777777" w:rsidR="00247EF9" w:rsidRPr="002A62CA" w:rsidRDefault="00247EF9" w:rsidP="005041BF">
            <w:pPr>
              <w:spacing w:line="480" w:lineRule="auto"/>
              <w:rPr>
                <w:rFonts w:ascii="Arial" w:eastAsia="Arial" w:hAnsi="Arial" w:cs="Arial"/>
                <w:sz w:val="24"/>
                <w:szCs w:val="24"/>
              </w:rPr>
            </w:pPr>
          </w:p>
        </w:tc>
        <w:tc>
          <w:tcPr>
            <w:tcW w:w="2486" w:type="dxa"/>
            <w:shd w:val="clear" w:color="auto" w:fill="auto"/>
          </w:tcPr>
          <w:p w14:paraId="667C0772" w14:textId="77777777" w:rsidR="00247EF9" w:rsidRPr="002A62CA" w:rsidRDefault="00247EF9" w:rsidP="005041BF">
            <w:pPr>
              <w:spacing w:line="480" w:lineRule="auto"/>
              <w:rPr>
                <w:rFonts w:ascii="Arial" w:eastAsia="Arial" w:hAnsi="Arial" w:cs="Arial"/>
                <w:sz w:val="24"/>
                <w:szCs w:val="24"/>
              </w:rPr>
            </w:pPr>
            <w:r w:rsidRPr="002A62CA">
              <w:rPr>
                <w:rFonts w:ascii="Arial" w:eastAsia="Arial" w:hAnsi="Arial" w:cs="Arial"/>
                <w:sz w:val="24"/>
                <w:szCs w:val="24"/>
              </w:rPr>
              <w:t xml:space="preserve">Gene D </w:t>
            </w:r>
          </w:p>
        </w:tc>
        <w:tc>
          <w:tcPr>
            <w:tcW w:w="2579" w:type="dxa"/>
            <w:shd w:val="clear" w:color="auto" w:fill="auto"/>
          </w:tcPr>
          <w:p w14:paraId="3F368425" w14:textId="77777777" w:rsidR="00247EF9" w:rsidRPr="002A62CA" w:rsidRDefault="00247EF9" w:rsidP="005041BF">
            <w:pPr>
              <w:spacing w:line="480" w:lineRule="auto"/>
              <w:rPr>
                <w:rFonts w:ascii="Arial" w:eastAsia="Arial" w:hAnsi="Arial" w:cs="Arial"/>
                <w:sz w:val="24"/>
                <w:szCs w:val="24"/>
              </w:rPr>
            </w:pPr>
            <w:r w:rsidRPr="002A62CA">
              <w:rPr>
                <w:rFonts w:ascii="Arial" w:eastAsia="Arial" w:hAnsi="Arial" w:cs="Arial"/>
                <w:sz w:val="24"/>
                <w:szCs w:val="24"/>
              </w:rPr>
              <w:t>21 KO</w:t>
            </w:r>
          </w:p>
        </w:tc>
        <w:tc>
          <w:tcPr>
            <w:tcW w:w="1997" w:type="dxa"/>
            <w:shd w:val="clear" w:color="auto" w:fill="auto"/>
          </w:tcPr>
          <w:p w14:paraId="29785037" w14:textId="77777777" w:rsidR="00247EF9" w:rsidRPr="002A62CA" w:rsidRDefault="00247EF9" w:rsidP="005041BF">
            <w:pPr>
              <w:spacing w:line="480" w:lineRule="auto"/>
              <w:rPr>
                <w:rFonts w:ascii="Arial" w:eastAsia="Arial" w:hAnsi="Arial" w:cs="Arial"/>
                <w:sz w:val="24"/>
                <w:szCs w:val="24"/>
              </w:rPr>
            </w:pPr>
            <w:r w:rsidRPr="002A62CA">
              <w:rPr>
                <w:rFonts w:ascii="Arial" w:eastAsia="Arial" w:hAnsi="Arial" w:cs="Arial"/>
                <w:sz w:val="24"/>
                <w:szCs w:val="24"/>
              </w:rPr>
              <w:t>100%</w:t>
            </w:r>
          </w:p>
        </w:tc>
      </w:tr>
      <w:tr w:rsidR="002A62CA" w:rsidRPr="002A62CA" w14:paraId="16B76D97" w14:textId="77777777" w:rsidTr="005041BF">
        <w:trPr>
          <w:jc w:val="center"/>
        </w:trPr>
        <w:tc>
          <w:tcPr>
            <w:tcW w:w="1776" w:type="dxa"/>
            <w:vMerge/>
            <w:shd w:val="clear" w:color="auto" w:fill="auto"/>
          </w:tcPr>
          <w:p w14:paraId="24ACC1A3" w14:textId="77777777" w:rsidR="00247EF9" w:rsidRPr="002A62CA" w:rsidRDefault="00247EF9" w:rsidP="005041BF">
            <w:pPr>
              <w:widowControl w:val="0"/>
              <w:pBdr>
                <w:top w:val="nil"/>
                <w:left w:val="nil"/>
                <w:bottom w:val="nil"/>
                <w:right w:val="nil"/>
                <w:between w:val="nil"/>
              </w:pBdr>
              <w:spacing w:after="0" w:line="276" w:lineRule="auto"/>
              <w:rPr>
                <w:rFonts w:ascii="Arial" w:eastAsia="Arial" w:hAnsi="Arial" w:cs="Arial"/>
                <w:sz w:val="24"/>
                <w:szCs w:val="24"/>
              </w:rPr>
            </w:pPr>
          </w:p>
        </w:tc>
        <w:tc>
          <w:tcPr>
            <w:tcW w:w="2486" w:type="dxa"/>
            <w:shd w:val="clear" w:color="auto" w:fill="auto"/>
          </w:tcPr>
          <w:p w14:paraId="128D517A" w14:textId="77777777" w:rsidR="00247EF9" w:rsidRPr="002A62CA" w:rsidRDefault="00247EF9" w:rsidP="005041BF">
            <w:pPr>
              <w:spacing w:line="480" w:lineRule="auto"/>
              <w:rPr>
                <w:rFonts w:ascii="Arial" w:eastAsia="Arial" w:hAnsi="Arial" w:cs="Arial"/>
                <w:sz w:val="24"/>
                <w:szCs w:val="24"/>
              </w:rPr>
            </w:pPr>
            <w:r w:rsidRPr="002A62CA">
              <w:rPr>
                <w:rFonts w:ascii="Arial" w:eastAsia="Arial" w:hAnsi="Arial" w:cs="Arial"/>
                <w:sz w:val="24"/>
                <w:szCs w:val="24"/>
              </w:rPr>
              <w:t xml:space="preserve">Gene E </w:t>
            </w:r>
          </w:p>
        </w:tc>
        <w:tc>
          <w:tcPr>
            <w:tcW w:w="2579" w:type="dxa"/>
            <w:shd w:val="clear" w:color="auto" w:fill="auto"/>
          </w:tcPr>
          <w:p w14:paraId="527B5ED4" w14:textId="77777777" w:rsidR="00247EF9" w:rsidRPr="002A62CA" w:rsidRDefault="00247EF9" w:rsidP="005041BF">
            <w:pPr>
              <w:spacing w:line="480" w:lineRule="auto"/>
              <w:rPr>
                <w:rFonts w:ascii="Arial" w:eastAsia="Arial" w:hAnsi="Arial" w:cs="Arial"/>
                <w:sz w:val="24"/>
                <w:szCs w:val="24"/>
              </w:rPr>
            </w:pPr>
            <w:r w:rsidRPr="002A62CA">
              <w:rPr>
                <w:rFonts w:ascii="Arial" w:eastAsia="Arial" w:hAnsi="Arial" w:cs="Arial"/>
                <w:sz w:val="24"/>
                <w:szCs w:val="24"/>
              </w:rPr>
              <w:t>21 KO</w:t>
            </w:r>
          </w:p>
        </w:tc>
        <w:tc>
          <w:tcPr>
            <w:tcW w:w="1997" w:type="dxa"/>
            <w:shd w:val="clear" w:color="auto" w:fill="auto"/>
          </w:tcPr>
          <w:p w14:paraId="61F1DCFB" w14:textId="77777777" w:rsidR="00247EF9" w:rsidRPr="002A62CA" w:rsidRDefault="00247EF9" w:rsidP="005041BF">
            <w:pPr>
              <w:spacing w:line="480" w:lineRule="auto"/>
              <w:rPr>
                <w:rFonts w:ascii="Arial" w:eastAsia="Arial" w:hAnsi="Arial" w:cs="Arial"/>
                <w:sz w:val="24"/>
                <w:szCs w:val="24"/>
              </w:rPr>
            </w:pPr>
            <w:r w:rsidRPr="002A62CA">
              <w:rPr>
                <w:rFonts w:ascii="Arial" w:eastAsia="Arial" w:hAnsi="Arial" w:cs="Arial"/>
                <w:sz w:val="24"/>
                <w:szCs w:val="24"/>
              </w:rPr>
              <w:t>100%</w:t>
            </w:r>
          </w:p>
        </w:tc>
      </w:tr>
      <w:tr w:rsidR="002A62CA" w:rsidRPr="002A62CA" w14:paraId="4641E35E" w14:textId="77777777" w:rsidTr="005041BF">
        <w:trPr>
          <w:jc w:val="center"/>
        </w:trPr>
        <w:tc>
          <w:tcPr>
            <w:tcW w:w="1776" w:type="dxa"/>
            <w:vMerge/>
            <w:shd w:val="clear" w:color="auto" w:fill="auto"/>
          </w:tcPr>
          <w:p w14:paraId="15F3FC9F" w14:textId="77777777" w:rsidR="00247EF9" w:rsidRPr="002A62CA" w:rsidRDefault="00247EF9" w:rsidP="005041BF">
            <w:pPr>
              <w:widowControl w:val="0"/>
              <w:pBdr>
                <w:top w:val="nil"/>
                <w:left w:val="nil"/>
                <w:bottom w:val="nil"/>
                <w:right w:val="nil"/>
                <w:between w:val="nil"/>
              </w:pBdr>
              <w:spacing w:after="0" w:line="276" w:lineRule="auto"/>
              <w:rPr>
                <w:rFonts w:ascii="Arial" w:eastAsia="Arial" w:hAnsi="Arial" w:cs="Arial"/>
                <w:sz w:val="24"/>
                <w:szCs w:val="24"/>
              </w:rPr>
            </w:pPr>
          </w:p>
        </w:tc>
        <w:tc>
          <w:tcPr>
            <w:tcW w:w="2486" w:type="dxa"/>
            <w:shd w:val="clear" w:color="auto" w:fill="auto"/>
          </w:tcPr>
          <w:p w14:paraId="4C2F0D2B" w14:textId="77777777" w:rsidR="00247EF9" w:rsidRPr="002A62CA" w:rsidRDefault="00247EF9" w:rsidP="005041BF">
            <w:pPr>
              <w:spacing w:line="480" w:lineRule="auto"/>
              <w:rPr>
                <w:rFonts w:ascii="Arial" w:eastAsia="Arial" w:hAnsi="Arial" w:cs="Arial"/>
                <w:sz w:val="24"/>
                <w:szCs w:val="24"/>
              </w:rPr>
            </w:pPr>
            <w:r w:rsidRPr="002A62CA">
              <w:rPr>
                <w:rFonts w:ascii="Arial" w:eastAsia="Arial" w:hAnsi="Arial" w:cs="Arial"/>
                <w:sz w:val="24"/>
                <w:szCs w:val="24"/>
              </w:rPr>
              <w:t xml:space="preserve">Gene F </w:t>
            </w:r>
          </w:p>
        </w:tc>
        <w:tc>
          <w:tcPr>
            <w:tcW w:w="2579" w:type="dxa"/>
            <w:shd w:val="clear" w:color="auto" w:fill="auto"/>
          </w:tcPr>
          <w:p w14:paraId="4419074F" w14:textId="77777777" w:rsidR="00247EF9" w:rsidRPr="002A62CA" w:rsidRDefault="00247EF9" w:rsidP="005041BF">
            <w:pPr>
              <w:spacing w:line="480" w:lineRule="auto"/>
              <w:rPr>
                <w:rFonts w:ascii="Arial" w:eastAsia="Arial" w:hAnsi="Arial" w:cs="Arial"/>
                <w:sz w:val="24"/>
                <w:szCs w:val="24"/>
              </w:rPr>
            </w:pPr>
            <w:r w:rsidRPr="002A62CA">
              <w:rPr>
                <w:rFonts w:ascii="Arial" w:eastAsia="Arial" w:hAnsi="Arial" w:cs="Arial"/>
                <w:sz w:val="24"/>
                <w:szCs w:val="24"/>
              </w:rPr>
              <w:t>8 KO, 13 WT</w:t>
            </w:r>
          </w:p>
        </w:tc>
        <w:tc>
          <w:tcPr>
            <w:tcW w:w="1997" w:type="dxa"/>
            <w:shd w:val="clear" w:color="auto" w:fill="auto"/>
          </w:tcPr>
          <w:p w14:paraId="0F3A2FA1" w14:textId="77777777" w:rsidR="00247EF9" w:rsidRPr="002A62CA" w:rsidRDefault="00247EF9" w:rsidP="005041BF">
            <w:pPr>
              <w:spacing w:line="480" w:lineRule="auto"/>
              <w:rPr>
                <w:rFonts w:ascii="Arial" w:eastAsia="Arial" w:hAnsi="Arial" w:cs="Arial"/>
                <w:sz w:val="24"/>
                <w:szCs w:val="24"/>
              </w:rPr>
            </w:pPr>
            <w:r w:rsidRPr="002A62CA">
              <w:rPr>
                <w:rFonts w:ascii="Arial" w:eastAsia="Arial" w:hAnsi="Arial" w:cs="Arial"/>
                <w:sz w:val="24"/>
                <w:szCs w:val="24"/>
              </w:rPr>
              <w:t>38.1%</w:t>
            </w:r>
          </w:p>
        </w:tc>
      </w:tr>
      <w:tr w:rsidR="002A62CA" w:rsidRPr="002A62CA" w14:paraId="6DB1A029" w14:textId="77777777" w:rsidTr="005041BF">
        <w:trPr>
          <w:jc w:val="center"/>
        </w:trPr>
        <w:tc>
          <w:tcPr>
            <w:tcW w:w="1776" w:type="dxa"/>
            <w:vMerge w:val="restart"/>
            <w:shd w:val="clear" w:color="auto" w:fill="auto"/>
          </w:tcPr>
          <w:p w14:paraId="68BC699C" w14:textId="77777777" w:rsidR="00247EF9" w:rsidRPr="002A62CA" w:rsidRDefault="00247EF9" w:rsidP="005041BF">
            <w:pPr>
              <w:spacing w:line="480" w:lineRule="auto"/>
              <w:rPr>
                <w:rFonts w:ascii="Arial" w:eastAsia="Arial" w:hAnsi="Arial" w:cs="Arial"/>
                <w:b/>
                <w:sz w:val="24"/>
                <w:szCs w:val="24"/>
              </w:rPr>
            </w:pPr>
            <w:r w:rsidRPr="002A62CA">
              <w:rPr>
                <w:rFonts w:ascii="Arial" w:eastAsia="Arial" w:hAnsi="Arial" w:cs="Arial"/>
                <w:b/>
                <w:sz w:val="24"/>
                <w:szCs w:val="24"/>
              </w:rPr>
              <w:t>pCpf1.MEC3</w:t>
            </w:r>
          </w:p>
        </w:tc>
        <w:tc>
          <w:tcPr>
            <w:tcW w:w="2486" w:type="dxa"/>
            <w:shd w:val="clear" w:color="auto" w:fill="auto"/>
          </w:tcPr>
          <w:p w14:paraId="1F2C650F" w14:textId="77777777" w:rsidR="00247EF9" w:rsidRPr="002A62CA" w:rsidRDefault="00247EF9" w:rsidP="005041BF">
            <w:pPr>
              <w:spacing w:line="480" w:lineRule="auto"/>
              <w:rPr>
                <w:rFonts w:ascii="Arial" w:eastAsia="Arial" w:hAnsi="Arial" w:cs="Arial"/>
                <w:sz w:val="24"/>
                <w:szCs w:val="24"/>
              </w:rPr>
            </w:pPr>
            <w:r w:rsidRPr="002A62CA">
              <w:rPr>
                <w:rFonts w:ascii="Arial" w:eastAsia="Arial" w:hAnsi="Arial" w:cs="Arial"/>
                <w:sz w:val="24"/>
                <w:szCs w:val="24"/>
              </w:rPr>
              <w:t xml:space="preserve">Gene G </w:t>
            </w:r>
          </w:p>
        </w:tc>
        <w:tc>
          <w:tcPr>
            <w:tcW w:w="2579" w:type="dxa"/>
            <w:shd w:val="clear" w:color="auto" w:fill="auto"/>
          </w:tcPr>
          <w:p w14:paraId="052DACB2" w14:textId="77777777" w:rsidR="00247EF9" w:rsidRPr="002A62CA" w:rsidRDefault="00247EF9" w:rsidP="005041BF">
            <w:pPr>
              <w:spacing w:line="480" w:lineRule="auto"/>
              <w:rPr>
                <w:rFonts w:ascii="Arial" w:eastAsia="Arial" w:hAnsi="Arial" w:cs="Arial"/>
                <w:sz w:val="24"/>
                <w:szCs w:val="24"/>
              </w:rPr>
            </w:pPr>
            <w:r w:rsidRPr="002A62CA">
              <w:rPr>
                <w:rFonts w:ascii="Arial" w:eastAsia="Arial" w:hAnsi="Arial" w:cs="Arial"/>
                <w:sz w:val="24"/>
                <w:szCs w:val="24"/>
              </w:rPr>
              <w:t>18 KO</w:t>
            </w:r>
          </w:p>
        </w:tc>
        <w:tc>
          <w:tcPr>
            <w:tcW w:w="1997" w:type="dxa"/>
            <w:shd w:val="clear" w:color="auto" w:fill="auto"/>
          </w:tcPr>
          <w:p w14:paraId="4446DDA3" w14:textId="77777777" w:rsidR="00247EF9" w:rsidRPr="002A62CA" w:rsidRDefault="00247EF9" w:rsidP="005041BF">
            <w:pPr>
              <w:spacing w:line="480" w:lineRule="auto"/>
              <w:rPr>
                <w:rFonts w:ascii="Arial" w:eastAsia="Arial" w:hAnsi="Arial" w:cs="Arial"/>
                <w:sz w:val="24"/>
                <w:szCs w:val="24"/>
              </w:rPr>
            </w:pPr>
            <w:r w:rsidRPr="002A62CA">
              <w:rPr>
                <w:rFonts w:ascii="Arial" w:eastAsia="Arial" w:hAnsi="Arial" w:cs="Arial"/>
                <w:sz w:val="24"/>
                <w:szCs w:val="24"/>
              </w:rPr>
              <w:t>100%</w:t>
            </w:r>
          </w:p>
        </w:tc>
      </w:tr>
      <w:tr w:rsidR="002A62CA" w:rsidRPr="002A62CA" w14:paraId="193B1B0E" w14:textId="77777777" w:rsidTr="005041BF">
        <w:trPr>
          <w:jc w:val="center"/>
        </w:trPr>
        <w:tc>
          <w:tcPr>
            <w:tcW w:w="1776" w:type="dxa"/>
            <w:vMerge/>
            <w:shd w:val="clear" w:color="auto" w:fill="auto"/>
          </w:tcPr>
          <w:p w14:paraId="525A3EF4" w14:textId="77777777" w:rsidR="00247EF9" w:rsidRPr="002A62CA" w:rsidRDefault="00247EF9" w:rsidP="005041BF">
            <w:pPr>
              <w:widowControl w:val="0"/>
              <w:pBdr>
                <w:top w:val="nil"/>
                <w:left w:val="nil"/>
                <w:bottom w:val="nil"/>
                <w:right w:val="nil"/>
                <w:between w:val="nil"/>
              </w:pBdr>
              <w:spacing w:after="0" w:line="276" w:lineRule="auto"/>
              <w:rPr>
                <w:rFonts w:ascii="Arial" w:eastAsia="Arial" w:hAnsi="Arial" w:cs="Arial"/>
                <w:sz w:val="24"/>
                <w:szCs w:val="24"/>
              </w:rPr>
            </w:pPr>
          </w:p>
        </w:tc>
        <w:tc>
          <w:tcPr>
            <w:tcW w:w="2486" w:type="dxa"/>
            <w:shd w:val="clear" w:color="auto" w:fill="auto"/>
          </w:tcPr>
          <w:p w14:paraId="6B2DEC6E" w14:textId="77777777" w:rsidR="00247EF9" w:rsidRPr="002A62CA" w:rsidRDefault="00247EF9" w:rsidP="005041BF">
            <w:pPr>
              <w:spacing w:line="480" w:lineRule="auto"/>
              <w:rPr>
                <w:rFonts w:ascii="Arial" w:eastAsia="Arial" w:hAnsi="Arial" w:cs="Arial"/>
                <w:sz w:val="24"/>
                <w:szCs w:val="24"/>
              </w:rPr>
            </w:pPr>
            <w:r w:rsidRPr="002A62CA">
              <w:rPr>
                <w:rFonts w:ascii="Arial" w:eastAsia="Arial" w:hAnsi="Arial" w:cs="Arial"/>
                <w:sz w:val="24"/>
                <w:szCs w:val="24"/>
              </w:rPr>
              <w:t xml:space="preserve">Gene H </w:t>
            </w:r>
          </w:p>
        </w:tc>
        <w:tc>
          <w:tcPr>
            <w:tcW w:w="2579" w:type="dxa"/>
            <w:shd w:val="clear" w:color="auto" w:fill="auto"/>
          </w:tcPr>
          <w:p w14:paraId="5BD43756" w14:textId="77777777" w:rsidR="00247EF9" w:rsidRPr="002A62CA" w:rsidRDefault="00247EF9" w:rsidP="005041BF">
            <w:pPr>
              <w:spacing w:line="480" w:lineRule="auto"/>
              <w:rPr>
                <w:rFonts w:ascii="Arial" w:eastAsia="Arial" w:hAnsi="Arial" w:cs="Arial"/>
                <w:sz w:val="24"/>
                <w:szCs w:val="24"/>
              </w:rPr>
            </w:pPr>
            <w:r w:rsidRPr="002A62CA">
              <w:rPr>
                <w:rFonts w:ascii="Arial" w:eastAsia="Arial" w:hAnsi="Arial" w:cs="Arial"/>
                <w:sz w:val="24"/>
                <w:szCs w:val="24"/>
              </w:rPr>
              <w:t>3 KO, 5 MA, 8 NA</w:t>
            </w:r>
          </w:p>
        </w:tc>
        <w:tc>
          <w:tcPr>
            <w:tcW w:w="1997" w:type="dxa"/>
            <w:shd w:val="clear" w:color="auto" w:fill="auto"/>
          </w:tcPr>
          <w:p w14:paraId="775BD659" w14:textId="77777777" w:rsidR="00247EF9" w:rsidRPr="002A62CA" w:rsidRDefault="00247EF9" w:rsidP="005041BF">
            <w:pPr>
              <w:spacing w:line="480" w:lineRule="auto"/>
              <w:rPr>
                <w:rFonts w:ascii="Arial" w:eastAsia="Arial" w:hAnsi="Arial" w:cs="Arial"/>
                <w:sz w:val="24"/>
                <w:szCs w:val="24"/>
              </w:rPr>
            </w:pPr>
            <w:r w:rsidRPr="002A62CA">
              <w:rPr>
                <w:rFonts w:ascii="Arial" w:eastAsia="Arial" w:hAnsi="Arial" w:cs="Arial"/>
                <w:sz w:val="24"/>
                <w:szCs w:val="24"/>
              </w:rPr>
              <w:t>16.7%</w:t>
            </w:r>
          </w:p>
        </w:tc>
      </w:tr>
      <w:tr w:rsidR="002A62CA" w:rsidRPr="002A62CA" w14:paraId="0242FF70" w14:textId="77777777" w:rsidTr="005041BF">
        <w:trPr>
          <w:jc w:val="center"/>
        </w:trPr>
        <w:tc>
          <w:tcPr>
            <w:tcW w:w="1776" w:type="dxa"/>
            <w:vMerge/>
            <w:shd w:val="clear" w:color="auto" w:fill="auto"/>
          </w:tcPr>
          <w:p w14:paraId="0B89B258" w14:textId="77777777" w:rsidR="00247EF9" w:rsidRPr="002A62CA" w:rsidRDefault="00247EF9" w:rsidP="005041BF">
            <w:pPr>
              <w:widowControl w:val="0"/>
              <w:pBdr>
                <w:top w:val="nil"/>
                <w:left w:val="nil"/>
                <w:bottom w:val="nil"/>
                <w:right w:val="nil"/>
                <w:between w:val="nil"/>
              </w:pBdr>
              <w:spacing w:after="0" w:line="276" w:lineRule="auto"/>
              <w:rPr>
                <w:rFonts w:ascii="Arial" w:eastAsia="Arial" w:hAnsi="Arial" w:cs="Arial"/>
                <w:sz w:val="24"/>
                <w:szCs w:val="24"/>
              </w:rPr>
            </w:pPr>
          </w:p>
        </w:tc>
        <w:tc>
          <w:tcPr>
            <w:tcW w:w="2486" w:type="dxa"/>
            <w:shd w:val="clear" w:color="auto" w:fill="auto"/>
          </w:tcPr>
          <w:p w14:paraId="3C8B8DAB" w14:textId="77777777" w:rsidR="00247EF9" w:rsidRPr="002A62CA" w:rsidRDefault="00247EF9" w:rsidP="005041BF">
            <w:pPr>
              <w:spacing w:line="480" w:lineRule="auto"/>
              <w:rPr>
                <w:rFonts w:ascii="Arial" w:eastAsia="Arial" w:hAnsi="Arial" w:cs="Arial"/>
                <w:sz w:val="24"/>
                <w:szCs w:val="24"/>
              </w:rPr>
            </w:pPr>
            <w:r w:rsidRPr="002A62CA">
              <w:rPr>
                <w:rFonts w:ascii="Arial" w:eastAsia="Arial" w:hAnsi="Arial" w:cs="Arial"/>
                <w:sz w:val="24"/>
                <w:szCs w:val="24"/>
              </w:rPr>
              <w:t xml:space="preserve">Gene I </w:t>
            </w:r>
          </w:p>
        </w:tc>
        <w:tc>
          <w:tcPr>
            <w:tcW w:w="2579" w:type="dxa"/>
            <w:shd w:val="clear" w:color="auto" w:fill="auto"/>
          </w:tcPr>
          <w:p w14:paraId="50C6BFB2" w14:textId="77777777" w:rsidR="00247EF9" w:rsidRPr="002A62CA" w:rsidRDefault="00247EF9" w:rsidP="005041BF">
            <w:pPr>
              <w:spacing w:line="480" w:lineRule="auto"/>
              <w:rPr>
                <w:rFonts w:ascii="Arial" w:eastAsia="Arial" w:hAnsi="Arial" w:cs="Arial"/>
                <w:sz w:val="24"/>
                <w:szCs w:val="24"/>
              </w:rPr>
            </w:pPr>
            <w:r w:rsidRPr="002A62CA">
              <w:rPr>
                <w:rFonts w:ascii="Arial" w:eastAsia="Arial" w:hAnsi="Arial" w:cs="Arial"/>
                <w:sz w:val="24"/>
                <w:szCs w:val="24"/>
              </w:rPr>
              <w:t>9 KO, 1 MA, 8 NA</w:t>
            </w:r>
          </w:p>
        </w:tc>
        <w:tc>
          <w:tcPr>
            <w:tcW w:w="1997" w:type="dxa"/>
            <w:shd w:val="clear" w:color="auto" w:fill="auto"/>
          </w:tcPr>
          <w:p w14:paraId="73B5030D" w14:textId="77777777" w:rsidR="00247EF9" w:rsidRPr="002A62CA" w:rsidRDefault="00247EF9" w:rsidP="005041BF">
            <w:pPr>
              <w:spacing w:line="480" w:lineRule="auto"/>
              <w:rPr>
                <w:rFonts w:ascii="Arial" w:eastAsia="Arial" w:hAnsi="Arial" w:cs="Arial"/>
                <w:sz w:val="24"/>
                <w:szCs w:val="24"/>
              </w:rPr>
            </w:pPr>
            <w:r w:rsidRPr="002A62CA">
              <w:rPr>
                <w:rFonts w:ascii="Arial" w:eastAsia="Arial" w:hAnsi="Arial" w:cs="Arial"/>
                <w:sz w:val="24"/>
                <w:szCs w:val="24"/>
              </w:rPr>
              <w:t>50.0%</w:t>
            </w:r>
          </w:p>
        </w:tc>
      </w:tr>
      <w:tr w:rsidR="002A62CA" w:rsidRPr="002A62CA" w14:paraId="49F16E51" w14:textId="77777777" w:rsidTr="005041BF">
        <w:trPr>
          <w:jc w:val="center"/>
        </w:trPr>
        <w:tc>
          <w:tcPr>
            <w:tcW w:w="1776" w:type="dxa"/>
            <w:vMerge w:val="restart"/>
            <w:shd w:val="clear" w:color="auto" w:fill="auto"/>
          </w:tcPr>
          <w:p w14:paraId="5F4E2CF3" w14:textId="77777777" w:rsidR="00247EF9" w:rsidRPr="002A62CA" w:rsidRDefault="00247EF9" w:rsidP="005041BF">
            <w:pPr>
              <w:spacing w:line="480" w:lineRule="auto"/>
              <w:rPr>
                <w:rFonts w:ascii="Arial" w:eastAsia="Arial" w:hAnsi="Arial" w:cs="Arial"/>
                <w:b/>
                <w:sz w:val="24"/>
                <w:szCs w:val="24"/>
              </w:rPr>
            </w:pPr>
            <w:r w:rsidRPr="002A62CA">
              <w:rPr>
                <w:rFonts w:ascii="Arial" w:eastAsia="Arial" w:hAnsi="Arial" w:cs="Arial"/>
                <w:b/>
                <w:sz w:val="24"/>
                <w:szCs w:val="24"/>
              </w:rPr>
              <w:t>pCpf1.MEC4</w:t>
            </w:r>
          </w:p>
        </w:tc>
        <w:tc>
          <w:tcPr>
            <w:tcW w:w="2486" w:type="dxa"/>
            <w:shd w:val="clear" w:color="auto" w:fill="auto"/>
          </w:tcPr>
          <w:p w14:paraId="551F4823" w14:textId="77777777" w:rsidR="00247EF9" w:rsidRPr="002A62CA" w:rsidRDefault="00247EF9" w:rsidP="005041BF">
            <w:pPr>
              <w:spacing w:line="480" w:lineRule="auto"/>
              <w:rPr>
                <w:rFonts w:ascii="Arial" w:eastAsia="Arial" w:hAnsi="Arial" w:cs="Arial"/>
                <w:sz w:val="24"/>
                <w:szCs w:val="24"/>
              </w:rPr>
            </w:pPr>
            <w:r w:rsidRPr="002A62CA">
              <w:rPr>
                <w:rFonts w:ascii="Arial" w:eastAsia="Arial" w:hAnsi="Arial" w:cs="Arial"/>
                <w:sz w:val="24"/>
                <w:szCs w:val="24"/>
              </w:rPr>
              <w:t xml:space="preserve">Gene J </w:t>
            </w:r>
          </w:p>
        </w:tc>
        <w:tc>
          <w:tcPr>
            <w:tcW w:w="2579" w:type="dxa"/>
            <w:shd w:val="clear" w:color="auto" w:fill="auto"/>
          </w:tcPr>
          <w:p w14:paraId="2C1F39BD" w14:textId="77777777" w:rsidR="00247EF9" w:rsidRPr="002A62CA" w:rsidRDefault="00247EF9" w:rsidP="005041BF">
            <w:pPr>
              <w:spacing w:line="480" w:lineRule="auto"/>
              <w:rPr>
                <w:rFonts w:ascii="Arial" w:eastAsia="Arial" w:hAnsi="Arial" w:cs="Arial"/>
                <w:sz w:val="24"/>
                <w:szCs w:val="24"/>
              </w:rPr>
            </w:pPr>
            <w:r w:rsidRPr="002A62CA">
              <w:rPr>
                <w:rFonts w:ascii="Arial" w:eastAsia="Arial" w:hAnsi="Arial" w:cs="Arial"/>
                <w:sz w:val="24"/>
                <w:szCs w:val="24"/>
              </w:rPr>
              <w:t>6 KO</w:t>
            </w:r>
          </w:p>
        </w:tc>
        <w:tc>
          <w:tcPr>
            <w:tcW w:w="1997" w:type="dxa"/>
            <w:shd w:val="clear" w:color="auto" w:fill="auto"/>
          </w:tcPr>
          <w:p w14:paraId="44F6C507" w14:textId="77777777" w:rsidR="00247EF9" w:rsidRPr="002A62CA" w:rsidRDefault="00247EF9" w:rsidP="005041BF">
            <w:pPr>
              <w:spacing w:line="480" w:lineRule="auto"/>
              <w:rPr>
                <w:rFonts w:ascii="Arial" w:eastAsia="Arial" w:hAnsi="Arial" w:cs="Arial"/>
                <w:sz w:val="24"/>
                <w:szCs w:val="24"/>
              </w:rPr>
            </w:pPr>
            <w:r w:rsidRPr="002A62CA">
              <w:rPr>
                <w:rFonts w:ascii="Arial" w:eastAsia="Arial" w:hAnsi="Arial" w:cs="Arial"/>
                <w:sz w:val="24"/>
                <w:szCs w:val="24"/>
              </w:rPr>
              <w:t>100%</w:t>
            </w:r>
          </w:p>
        </w:tc>
      </w:tr>
      <w:tr w:rsidR="002A62CA" w:rsidRPr="002A62CA" w14:paraId="73D9D30D" w14:textId="77777777" w:rsidTr="005041BF">
        <w:trPr>
          <w:trHeight w:val="315"/>
          <w:jc w:val="center"/>
        </w:trPr>
        <w:tc>
          <w:tcPr>
            <w:tcW w:w="1776" w:type="dxa"/>
            <w:vMerge/>
            <w:shd w:val="clear" w:color="auto" w:fill="auto"/>
          </w:tcPr>
          <w:p w14:paraId="4E21EBEC" w14:textId="77777777" w:rsidR="00247EF9" w:rsidRPr="002A62CA" w:rsidRDefault="00247EF9" w:rsidP="005041BF">
            <w:pPr>
              <w:widowControl w:val="0"/>
              <w:pBdr>
                <w:top w:val="nil"/>
                <w:left w:val="nil"/>
                <w:bottom w:val="nil"/>
                <w:right w:val="nil"/>
                <w:between w:val="nil"/>
              </w:pBdr>
              <w:spacing w:after="0" w:line="276" w:lineRule="auto"/>
              <w:rPr>
                <w:rFonts w:ascii="Arial" w:eastAsia="Arial" w:hAnsi="Arial" w:cs="Arial"/>
                <w:sz w:val="24"/>
                <w:szCs w:val="24"/>
              </w:rPr>
            </w:pPr>
          </w:p>
        </w:tc>
        <w:tc>
          <w:tcPr>
            <w:tcW w:w="2486" w:type="dxa"/>
            <w:shd w:val="clear" w:color="auto" w:fill="auto"/>
          </w:tcPr>
          <w:p w14:paraId="0664960E" w14:textId="77777777" w:rsidR="00247EF9" w:rsidRPr="002A62CA" w:rsidRDefault="00247EF9" w:rsidP="005041BF">
            <w:pPr>
              <w:spacing w:line="480" w:lineRule="auto"/>
              <w:rPr>
                <w:rFonts w:ascii="Arial" w:eastAsia="Arial" w:hAnsi="Arial" w:cs="Arial"/>
                <w:sz w:val="24"/>
                <w:szCs w:val="24"/>
              </w:rPr>
            </w:pPr>
            <w:r w:rsidRPr="002A62CA">
              <w:rPr>
                <w:rFonts w:ascii="Arial" w:eastAsia="Arial" w:hAnsi="Arial" w:cs="Arial"/>
                <w:sz w:val="24"/>
                <w:szCs w:val="24"/>
              </w:rPr>
              <w:t xml:space="preserve">Gene K </w:t>
            </w:r>
          </w:p>
        </w:tc>
        <w:tc>
          <w:tcPr>
            <w:tcW w:w="2579" w:type="dxa"/>
            <w:shd w:val="clear" w:color="auto" w:fill="auto"/>
          </w:tcPr>
          <w:p w14:paraId="5BDD37FA" w14:textId="77777777" w:rsidR="00247EF9" w:rsidRPr="002A62CA" w:rsidRDefault="00247EF9" w:rsidP="005041BF">
            <w:pPr>
              <w:spacing w:line="480" w:lineRule="auto"/>
              <w:rPr>
                <w:rFonts w:ascii="Arial" w:eastAsia="Arial" w:hAnsi="Arial" w:cs="Arial"/>
                <w:sz w:val="24"/>
                <w:szCs w:val="24"/>
              </w:rPr>
            </w:pPr>
            <w:r w:rsidRPr="002A62CA">
              <w:rPr>
                <w:rFonts w:ascii="Arial" w:eastAsia="Arial" w:hAnsi="Arial" w:cs="Arial"/>
                <w:sz w:val="24"/>
                <w:szCs w:val="24"/>
              </w:rPr>
              <w:t>5 KO, 1 NA</w:t>
            </w:r>
          </w:p>
        </w:tc>
        <w:tc>
          <w:tcPr>
            <w:tcW w:w="1997" w:type="dxa"/>
            <w:shd w:val="clear" w:color="auto" w:fill="auto"/>
          </w:tcPr>
          <w:p w14:paraId="50B9680E" w14:textId="77777777" w:rsidR="00247EF9" w:rsidRPr="002A62CA" w:rsidRDefault="00247EF9" w:rsidP="005041BF">
            <w:pPr>
              <w:spacing w:line="480" w:lineRule="auto"/>
              <w:rPr>
                <w:rFonts w:ascii="Arial" w:eastAsia="Arial" w:hAnsi="Arial" w:cs="Arial"/>
                <w:sz w:val="24"/>
                <w:szCs w:val="24"/>
              </w:rPr>
            </w:pPr>
            <w:r w:rsidRPr="002A62CA">
              <w:rPr>
                <w:rFonts w:ascii="Arial" w:eastAsia="Arial" w:hAnsi="Arial" w:cs="Arial"/>
                <w:sz w:val="24"/>
                <w:szCs w:val="24"/>
              </w:rPr>
              <w:t>83.3%</w:t>
            </w:r>
          </w:p>
        </w:tc>
      </w:tr>
      <w:tr w:rsidR="002A62CA" w:rsidRPr="002A62CA" w14:paraId="4DEA364A" w14:textId="77777777" w:rsidTr="005041BF">
        <w:trPr>
          <w:jc w:val="center"/>
        </w:trPr>
        <w:tc>
          <w:tcPr>
            <w:tcW w:w="1776" w:type="dxa"/>
            <w:vMerge/>
            <w:shd w:val="clear" w:color="auto" w:fill="auto"/>
          </w:tcPr>
          <w:p w14:paraId="06827E21" w14:textId="77777777" w:rsidR="00247EF9" w:rsidRPr="002A62CA" w:rsidRDefault="00247EF9" w:rsidP="005041BF">
            <w:pPr>
              <w:widowControl w:val="0"/>
              <w:pBdr>
                <w:top w:val="nil"/>
                <w:left w:val="nil"/>
                <w:bottom w:val="nil"/>
                <w:right w:val="nil"/>
                <w:between w:val="nil"/>
              </w:pBdr>
              <w:spacing w:after="0" w:line="276" w:lineRule="auto"/>
              <w:rPr>
                <w:rFonts w:ascii="Arial" w:eastAsia="Arial" w:hAnsi="Arial" w:cs="Arial"/>
                <w:sz w:val="24"/>
                <w:szCs w:val="24"/>
              </w:rPr>
            </w:pPr>
          </w:p>
        </w:tc>
        <w:tc>
          <w:tcPr>
            <w:tcW w:w="2486" w:type="dxa"/>
            <w:shd w:val="clear" w:color="auto" w:fill="auto"/>
          </w:tcPr>
          <w:p w14:paraId="572D7AC0" w14:textId="77777777" w:rsidR="00247EF9" w:rsidRPr="002A62CA" w:rsidRDefault="00247EF9" w:rsidP="005041BF">
            <w:pPr>
              <w:spacing w:line="480" w:lineRule="auto"/>
              <w:rPr>
                <w:rFonts w:ascii="Arial" w:eastAsia="Arial" w:hAnsi="Arial" w:cs="Arial"/>
                <w:sz w:val="24"/>
                <w:szCs w:val="24"/>
              </w:rPr>
            </w:pPr>
            <w:r w:rsidRPr="002A62CA">
              <w:rPr>
                <w:rFonts w:ascii="Arial" w:eastAsia="Arial" w:hAnsi="Arial" w:cs="Arial"/>
                <w:sz w:val="24"/>
                <w:szCs w:val="24"/>
              </w:rPr>
              <w:t xml:space="preserve">Gene L </w:t>
            </w:r>
          </w:p>
        </w:tc>
        <w:tc>
          <w:tcPr>
            <w:tcW w:w="2579" w:type="dxa"/>
            <w:shd w:val="clear" w:color="auto" w:fill="auto"/>
          </w:tcPr>
          <w:p w14:paraId="06CAEB86" w14:textId="77777777" w:rsidR="00247EF9" w:rsidRPr="002A62CA" w:rsidRDefault="00247EF9" w:rsidP="005041BF">
            <w:pPr>
              <w:spacing w:line="480" w:lineRule="auto"/>
              <w:rPr>
                <w:rFonts w:ascii="Arial" w:eastAsia="Arial" w:hAnsi="Arial" w:cs="Arial"/>
                <w:sz w:val="24"/>
                <w:szCs w:val="24"/>
              </w:rPr>
            </w:pPr>
            <w:r w:rsidRPr="002A62CA">
              <w:rPr>
                <w:rFonts w:ascii="Arial" w:eastAsia="Arial" w:hAnsi="Arial" w:cs="Arial"/>
                <w:sz w:val="24"/>
                <w:szCs w:val="24"/>
              </w:rPr>
              <w:t>6 NA</w:t>
            </w:r>
          </w:p>
        </w:tc>
        <w:tc>
          <w:tcPr>
            <w:tcW w:w="1997" w:type="dxa"/>
            <w:shd w:val="clear" w:color="auto" w:fill="auto"/>
          </w:tcPr>
          <w:p w14:paraId="31BA2A01" w14:textId="77777777" w:rsidR="00247EF9" w:rsidRPr="002A62CA" w:rsidRDefault="00247EF9" w:rsidP="005041BF">
            <w:pPr>
              <w:spacing w:line="480" w:lineRule="auto"/>
              <w:rPr>
                <w:rFonts w:ascii="Arial" w:eastAsia="Arial" w:hAnsi="Arial" w:cs="Arial"/>
                <w:sz w:val="24"/>
                <w:szCs w:val="24"/>
              </w:rPr>
            </w:pPr>
            <w:r w:rsidRPr="002A62CA">
              <w:rPr>
                <w:rFonts w:ascii="Arial" w:eastAsia="Arial" w:hAnsi="Arial" w:cs="Arial"/>
                <w:sz w:val="24"/>
                <w:szCs w:val="24"/>
              </w:rPr>
              <w:t>0%</w:t>
            </w:r>
          </w:p>
        </w:tc>
      </w:tr>
      <w:tr w:rsidR="002A62CA" w:rsidRPr="002A62CA" w14:paraId="43ADE105" w14:textId="77777777" w:rsidTr="005041BF">
        <w:trPr>
          <w:jc w:val="center"/>
        </w:trPr>
        <w:tc>
          <w:tcPr>
            <w:tcW w:w="1776" w:type="dxa"/>
            <w:vMerge/>
            <w:shd w:val="clear" w:color="auto" w:fill="auto"/>
          </w:tcPr>
          <w:p w14:paraId="2D318B20" w14:textId="77777777" w:rsidR="00247EF9" w:rsidRPr="002A62CA" w:rsidRDefault="00247EF9" w:rsidP="005041BF">
            <w:pPr>
              <w:widowControl w:val="0"/>
              <w:pBdr>
                <w:top w:val="nil"/>
                <w:left w:val="nil"/>
                <w:bottom w:val="nil"/>
                <w:right w:val="nil"/>
                <w:between w:val="nil"/>
              </w:pBdr>
              <w:spacing w:after="0" w:line="276" w:lineRule="auto"/>
              <w:rPr>
                <w:rFonts w:ascii="Arial" w:eastAsia="Arial" w:hAnsi="Arial" w:cs="Arial"/>
                <w:sz w:val="24"/>
                <w:szCs w:val="24"/>
              </w:rPr>
            </w:pPr>
          </w:p>
        </w:tc>
        <w:tc>
          <w:tcPr>
            <w:tcW w:w="2486" w:type="dxa"/>
            <w:shd w:val="clear" w:color="auto" w:fill="auto"/>
          </w:tcPr>
          <w:p w14:paraId="60B32716" w14:textId="77777777" w:rsidR="00247EF9" w:rsidRPr="002A62CA" w:rsidRDefault="00247EF9" w:rsidP="005041BF">
            <w:pPr>
              <w:spacing w:line="480" w:lineRule="auto"/>
              <w:rPr>
                <w:rFonts w:ascii="Arial" w:eastAsia="Arial" w:hAnsi="Arial" w:cs="Arial"/>
                <w:sz w:val="24"/>
                <w:szCs w:val="24"/>
              </w:rPr>
            </w:pPr>
            <w:r w:rsidRPr="002A62CA">
              <w:rPr>
                <w:rFonts w:ascii="Arial" w:eastAsia="Arial" w:hAnsi="Arial" w:cs="Arial"/>
                <w:sz w:val="24"/>
                <w:szCs w:val="24"/>
              </w:rPr>
              <w:t xml:space="preserve">Gene M </w:t>
            </w:r>
          </w:p>
        </w:tc>
        <w:tc>
          <w:tcPr>
            <w:tcW w:w="2579" w:type="dxa"/>
            <w:shd w:val="clear" w:color="auto" w:fill="auto"/>
          </w:tcPr>
          <w:p w14:paraId="53EF5660" w14:textId="00ACC7ED" w:rsidR="00247EF9" w:rsidRPr="002A62CA" w:rsidRDefault="00247EF9" w:rsidP="005041BF">
            <w:pPr>
              <w:spacing w:line="480" w:lineRule="auto"/>
              <w:rPr>
                <w:rFonts w:ascii="Arial" w:eastAsia="Arial" w:hAnsi="Arial" w:cs="Arial"/>
                <w:sz w:val="24"/>
                <w:szCs w:val="24"/>
              </w:rPr>
            </w:pPr>
            <w:r w:rsidRPr="002A62CA">
              <w:rPr>
                <w:rFonts w:ascii="Arial" w:eastAsia="Arial" w:hAnsi="Arial" w:cs="Arial"/>
                <w:sz w:val="24"/>
                <w:szCs w:val="24"/>
              </w:rPr>
              <w:t xml:space="preserve">2 KO, </w:t>
            </w:r>
            <w:r w:rsidR="007B3239">
              <w:rPr>
                <w:rFonts w:ascii="Arial" w:eastAsia="Arial" w:hAnsi="Arial" w:cs="Arial"/>
                <w:sz w:val="24"/>
                <w:szCs w:val="24"/>
              </w:rPr>
              <w:t>3</w:t>
            </w:r>
            <w:r w:rsidRPr="002A62CA">
              <w:rPr>
                <w:rFonts w:ascii="Arial" w:eastAsia="Arial" w:hAnsi="Arial" w:cs="Arial"/>
                <w:sz w:val="24"/>
                <w:szCs w:val="24"/>
              </w:rPr>
              <w:t xml:space="preserve"> WT, </w:t>
            </w:r>
            <w:r w:rsidR="007B3239">
              <w:rPr>
                <w:rFonts w:ascii="Arial" w:eastAsia="Arial" w:hAnsi="Arial" w:cs="Arial"/>
                <w:sz w:val="24"/>
                <w:szCs w:val="24"/>
              </w:rPr>
              <w:t>1</w:t>
            </w:r>
            <w:r w:rsidRPr="002A62CA">
              <w:rPr>
                <w:rFonts w:ascii="Arial" w:eastAsia="Arial" w:hAnsi="Arial" w:cs="Arial"/>
                <w:sz w:val="24"/>
                <w:szCs w:val="24"/>
              </w:rPr>
              <w:t xml:space="preserve"> NA</w:t>
            </w:r>
          </w:p>
        </w:tc>
        <w:tc>
          <w:tcPr>
            <w:tcW w:w="1997" w:type="dxa"/>
            <w:shd w:val="clear" w:color="auto" w:fill="auto"/>
          </w:tcPr>
          <w:p w14:paraId="1FD1837C" w14:textId="77777777" w:rsidR="00247EF9" w:rsidRPr="002A62CA" w:rsidRDefault="00247EF9" w:rsidP="005041BF">
            <w:pPr>
              <w:spacing w:line="480" w:lineRule="auto"/>
              <w:rPr>
                <w:rFonts w:ascii="Arial" w:eastAsia="Arial" w:hAnsi="Arial" w:cs="Arial"/>
                <w:sz w:val="24"/>
                <w:szCs w:val="24"/>
              </w:rPr>
            </w:pPr>
            <w:r w:rsidRPr="002A62CA">
              <w:rPr>
                <w:rFonts w:ascii="Arial" w:eastAsia="Arial" w:hAnsi="Arial" w:cs="Arial"/>
                <w:sz w:val="24"/>
                <w:szCs w:val="24"/>
              </w:rPr>
              <w:t>33.3%</w:t>
            </w:r>
          </w:p>
        </w:tc>
      </w:tr>
      <w:tr w:rsidR="002A62CA" w:rsidRPr="002A62CA" w14:paraId="52435267" w14:textId="77777777" w:rsidTr="005041BF">
        <w:trPr>
          <w:jc w:val="center"/>
        </w:trPr>
        <w:tc>
          <w:tcPr>
            <w:tcW w:w="1776" w:type="dxa"/>
            <w:vMerge/>
            <w:shd w:val="clear" w:color="auto" w:fill="auto"/>
          </w:tcPr>
          <w:p w14:paraId="009E66C5" w14:textId="77777777" w:rsidR="00247EF9" w:rsidRPr="002A62CA" w:rsidRDefault="00247EF9" w:rsidP="005041BF">
            <w:pPr>
              <w:widowControl w:val="0"/>
              <w:pBdr>
                <w:top w:val="nil"/>
                <w:left w:val="nil"/>
                <w:bottom w:val="nil"/>
                <w:right w:val="nil"/>
                <w:between w:val="nil"/>
              </w:pBdr>
              <w:spacing w:after="0" w:line="276" w:lineRule="auto"/>
              <w:rPr>
                <w:rFonts w:ascii="Arial" w:eastAsia="Arial" w:hAnsi="Arial" w:cs="Arial"/>
                <w:sz w:val="24"/>
                <w:szCs w:val="24"/>
              </w:rPr>
            </w:pPr>
          </w:p>
        </w:tc>
        <w:tc>
          <w:tcPr>
            <w:tcW w:w="2486" w:type="dxa"/>
            <w:shd w:val="clear" w:color="auto" w:fill="auto"/>
          </w:tcPr>
          <w:p w14:paraId="57D940E6" w14:textId="77777777" w:rsidR="00247EF9" w:rsidRPr="002A62CA" w:rsidRDefault="00247EF9" w:rsidP="005041BF">
            <w:pPr>
              <w:spacing w:line="480" w:lineRule="auto"/>
              <w:rPr>
                <w:rFonts w:ascii="Arial" w:eastAsia="Arial" w:hAnsi="Arial" w:cs="Arial"/>
                <w:sz w:val="24"/>
                <w:szCs w:val="24"/>
              </w:rPr>
            </w:pPr>
            <w:r w:rsidRPr="002A62CA">
              <w:rPr>
                <w:rFonts w:ascii="Arial" w:eastAsia="Arial" w:hAnsi="Arial" w:cs="Arial"/>
                <w:sz w:val="24"/>
                <w:szCs w:val="24"/>
              </w:rPr>
              <w:t xml:space="preserve">Gene N </w:t>
            </w:r>
          </w:p>
        </w:tc>
        <w:tc>
          <w:tcPr>
            <w:tcW w:w="2579" w:type="dxa"/>
            <w:shd w:val="clear" w:color="auto" w:fill="auto"/>
          </w:tcPr>
          <w:p w14:paraId="449B8D46" w14:textId="77777777" w:rsidR="00247EF9" w:rsidRPr="002A62CA" w:rsidRDefault="00247EF9" w:rsidP="005041BF">
            <w:pPr>
              <w:spacing w:line="480" w:lineRule="auto"/>
              <w:rPr>
                <w:rFonts w:ascii="Arial" w:eastAsia="Arial" w:hAnsi="Arial" w:cs="Arial"/>
                <w:sz w:val="24"/>
                <w:szCs w:val="24"/>
              </w:rPr>
            </w:pPr>
            <w:r w:rsidRPr="002A62CA">
              <w:rPr>
                <w:rFonts w:ascii="Arial" w:eastAsia="Arial" w:hAnsi="Arial" w:cs="Arial"/>
                <w:sz w:val="24"/>
                <w:szCs w:val="24"/>
              </w:rPr>
              <w:t>1 KO, 3 WT, 2 NA</w:t>
            </w:r>
          </w:p>
        </w:tc>
        <w:tc>
          <w:tcPr>
            <w:tcW w:w="1997" w:type="dxa"/>
            <w:shd w:val="clear" w:color="auto" w:fill="auto"/>
          </w:tcPr>
          <w:p w14:paraId="1E8793F1" w14:textId="77777777" w:rsidR="00247EF9" w:rsidRPr="002A62CA" w:rsidRDefault="00247EF9" w:rsidP="005041BF">
            <w:pPr>
              <w:spacing w:line="480" w:lineRule="auto"/>
              <w:rPr>
                <w:rFonts w:ascii="Arial" w:eastAsia="Arial" w:hAnsi="Arial" w:cs="Arial"/>
                <w:sz w:val="24"/>
                <w:szCs w:val="24"/>
              </w:rPr>
            </w:pPr>
            <w:r w:rsidRPr="002A62CA">
              <w:rPr>
                <w:rFonts w:ascii="Arial" w:eastAsia="Arial" w:hAnsi="Arial" w:cs="Arial"/>
                <w:sz w:val="24"/>
                <w:szCs w:val="24"/>
              </w:rPr>
              <w:t>16.7%</w:t>
            </w:r>
          </w:p>
        </w:tc>
      </w:tr>
    </w:tbl>
    <w:p w14:paraId="700A9068" w14:textId="49C04D3F" w:rsidR="006702D0" w:rsidRPr="008F6871" w:rsidRDefault="00247EF9" w:rsidP="008F6871">
      <w:pPr>
        <w:spacing w:line="480" w:lineRule="auto"/>
        <w:rPr>
          <w:rFonts w:ascii="Arial" w:eastAsia="Arial" w:hAnsi="Arial" w:cs="Arial"/>
          <w:i/>
          <w:sz w:val="24"/>
          <w:szCs w:val="24"/>
        </w:rPr>
      </w:pPr>
      <w:r w:rsidRPr="002A62CA">
        <w:rPr>
          <w:rFonts w:ascii="Arial" w:eastAsia="Arial" w:hAnsi="Arial" w:cs="Arial"/>
          <w:i/>
          <w:sz w:val="24"/>
          <w:szCs w:val="24"/>
        </w:rPr>
        <w:t xml:space="preserve">* For actual gene names, see </w:t>
      </w:r>
      <w:r w:rsidR="008A015F">
        <w:rPr>
          <w:rFonts w:ascii="Arial" w:eastAsia="Arial" w:hAnsi="Arial" w:cs="Arial"/>
          <w:i/>
          <w:sz w:val="24"/>
          <w:szCs w:val="24"/>
        </w:rPr>
        <w:t xml:space="preserve">Additional file </w:t>
      </w:r>
      <w:r w:rsidR="002932E2">
        <w:rPr>
          <w:rFonts w:ascii="Arial" w:eastAsia="Arial" w:hAnsi="Arial" w:cs="Arial"/>
          <w:i/>
          <w:sz w:val="24"/>
          <w:szCs w:val="24"/>
        </w:rPr>
        <w:t xml:space="preserve">2: </w:t>
      </w:r>
      <w:r w:rsidRPr="002A62CA">
        <w:rPr>
          <w:rFonts w:ascii="Arial" w:eastAsia="Arial" w:hAnsi="Arial" w:cs="Arial"/>
          <w:i/>
          <w:sz w:val="24"/>
          <w:szCs w:val="24"/>
        </w:rPr>
        <w:t>Table S</w:t>
      </w:r>
      <w:r w:rsidR="002932E2">
        <w:rPr>
          <w:rFonts w:ascii="Arial" w:eastAsia="Arial" w:hAnsi="Arial" w:cs="Arial"/>
          <w:i/>
          <w:sz w:val="24"/>
          <w:szCs w:val="24"/>
        </w:rPr>
        <w:t>2</w:t>
      </w:r>
      <w:r w:rsidRPr="002A62CA">
        <w:rPr>
          <w:rFonts w:ascii="Arial" w:eastAsia="Arial" w:hAnsi="Arial" w:cs="Arial"/>
          <w:i/>
          <w:sz w:val="24"/>
          <w:szCs w:val="24"/>
        </w:rPr>
        <w:t>. **Results diagnostic PCR; KO: deletion, KO-: aberrant deletion, WT: wild-type, NA: no deletion or wild-type amplicon, MA: wild-type or aberrant amplicon in addition to deletion amplicon.</w:t>
      </w:r>
    </w:p>
    <w:sectPr w:rsidR="006702D0" w:rsidRPr="008F68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4B3"/>
    <w:rsid w:val="00001E6B"/>
    <w:rsid w:val="00035F17"/>
    <w:rsid w:val="00037522"/>
    <w:rsid w:val="00091600"/>
    <w:rsid w:val="001E2A81"/>
    <w:rsid w:val="001E6700"/>
    <w:rsid w:val="00247EF9"/>
    <w:rsid w:val="002932E2"/>
    <w:rsid w:val="002A1BCE"/>
    <w:rsid w:val="002A62CA"/>
    <w:rsid w:val="00623F17"/>
    <w:rsid w:val="006702D0"/>
    <w:rsid w:val="006A3171"/>
    <w:rsid w:val="006E0467"/>
    <w:rsid w:val="007B3239"/>
    <w:rsid w:val="007D5B47"/>
    <w:rsid w:val="008A015F"/>
    <w:rsid w:val="008F6871"/>
    <w:rsid w:val="00901236"/>
    <w:rsid w:val="009C4559"/>
    <w:rsid w:val="00A32F2A"/>
    <w:rsid w:val="00B86047"/>
    <w:rsid w:val="00BF6B99"/>
    <w:rsid w:val="00CB3CDB"/>
    <w:rsid w:val="00CF0119"/>
    <w:rsid w:val="00EE048C"/>
    <w:rsid w:val="00F844B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BA508"/>
  <w15:chartTrackingRefBased/>
  <w15:docId w15:val="{0712818B-8D29-42DF-AB78-A1A805114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EF9"/>
    <w:pPr>
      <w:spacing w:line="259" w:lineRule="auto"/>
    </w:pPr>
    <w:rPr>
      <w:rFonts w:ascii="Aptos" w:eastAsia="Aptos" w:hAnsi="Aptos" w:cs="Aptos"/>
      <w:kern w:val="0"/>
      <w:sz w:val="22"/>
      <w:szCs w:val="22"/>
      <w:lang w:val="en-US" w:eastAsia="da-DK"/>
      <w14:ligatures w14:val="none"/>
    </w:rPr>
  </w:style>
  <w:style w:type="paragraph" w:styleId="Heading1">
    <w:name w:val="heading 1"/>
    <w:basedOn w:val="Normal"/>
    <w:next w:val="Normal"/>
    <w:link w:val="Heading1Char"/>
    <w:uiPriority w:val="9"/>
    <w:qFormat/>
    <w:rsid w:val="00F844B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da-DK" w:eastAsia="en-US"/>
      <w14:ligatures w14:val="standardContextual"/>
    </w:rPr>
  </w:style>
  <w:style w:type="paragraph" w:styleId="Heading2">
    <w:name w:val="heading 2"/>
    <w:basedOn w:val="Normal"/>
    <w:next w:val="Normal"/>
    <w:link w:val="Heading2Char"/>
    <w:uiPriority w:val="9"/>
    <w:semiHidden/>
    <w:unhideWhenUsed/>
    <w:qFormat/>
    <w:rsid w:val="00F844B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da-DK" w:eastAsia="en-US"/>
      <w14:ligatures w14:val="standardContextual"/>
    </w:rPr>
  </w:style>
  <w:style w:type="paragraph" w:styleId="Heading3">
    <w:name w:val="heading 3"/>
    <w:basedOn w:val="Normal"/>
    <w:next w:val="Normal"/>
    <w:link w:val="Heading3Char"/>
    <w:uiPriority w:val="9"/>
    <w:semiHidden/>
    <w:unhideWhenUsed/>
    <w:qFormat/>
    <w:rsid w:val="00F844B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da-DK" w:eastAsia="en-US"/>
      <w14:ligatures w14:val="standardContextual"/>
    </w:rPr>
  </w:style>
  <w:style w:type="paragraph" w:styleId="Heading4">
    <w:name w:val="heading 4"/>
    <w:basedOn w:val="Normal"/>
    <w:next w:val="Normal"/>
    <w:link w:val="Heading4Char"/>
    <w:uiPriority w:val="9"/>
    <w:semiHidden/>
    <w:unhideWhenUsed/>
    <w:qFormat/>
    <w:rsid w:val="00F844B3"/>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da-DK" w:eastAsia="en-US"/>
      <w14:ligatures w14:val="standardContextual"/>
    </w:rPr>
  </w:style>
  <w:style w:type="paragraph" w:styleId="Heading5">
    <w:name w:val="heading 5"/>
    <w:basedOn w:val="Normal"/>
    <w:next w:val="Normal"/>
    <w:link w:val="Heading5Char"/>
    <w:uiPriority w:val="9"/>
    <w:semiHidden/>
    <w:unhideWhenUsed/>
    <w:qFormat/>
    <w:rsid w:val="00F844B3"/>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da-DK" w:eastAsia="en-US"/>
      <w14:ligatures w14:val="standardContextual"/>
    </w:rPr>
  </w:style>
  <w:style w:type="paragraph" w:styleId="Heading6">
    <w:name w:val="heading 6"/>
    <w:basedOn w:val="Normal"/>
    <w:next w:val="Normal"/>
    <w:link w:val="Heading6Char"/>
    <w:uiPriority w:val="9"/>
    <w:semiHidden/>
    <w:unhideWhenUsed/>
    <w:qFormat/>
    <w:rsid w:val="00F844B3"/>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da-DK" w:eastAsia="en-US"/>
      <w14:ligatures w14:val="standardContextual"/>
    </w:rPr>
  </w:style>
  <w:style w:type="paragraph" w:styleId="Heading7">
    <w:name w:val="heading 7"/>
    <w:basedOn w:val="Normal"/>
    <w:next w:val="Normal"/>
    <w:link w:val="Heading7Char"/>
    <w:uiPriority w:val="9"/>
    <w:semiHidden/>
    <w:unhideWhenUsed/>
    <w:qFormat/>
    <w:rsid w:val="00F844B3"/>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da-DK" w:eastAsia="en-US"/>
      <w14:ligatures w14:val="standardContextual"/>
    </w:rPr>
  </w:style>
  <w:style w:type="paragraph" w:styleId="Heading8">
    <w:name w:val="heading 8"/>
    <w:basedOn w:val="Normal"/>
    <w:next w:val="Normal"/>
    <w:link w:val="Heading8Char"/>
    <w:uiPriority w:val="9"/>
    <w:semiHidden/>
    <w:unhideWhenUsed/>
    <w:qFormat/>
    <w:rsid w:val="00F844B3"/>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da-DK" w:eastAsia="en-US"/>
      <w14:ligatures w14:val="standardContextual"/>
    </w:rPr>
  </w:style>
  <w:style w:type="paragraph" w:styleId="Heading9">
    <w:name w:val="heading 9"/>
    <w:basedOn w:val="Normal"/>
    <w:next w:val="Normal"/>
    <w:link w:val="Heading9Char"/>
    <w:uiPriority w:val="9"/>
    <w:semiHidden/>
    <w:unhideWhenUsed/>
    <w:qFormat/>
    <w:rsid w:val="00F844B3"/>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da-DK"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44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44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44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44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44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44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44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44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44B3"/>
    <w:rPr>
      <w:rFonts w:eastAsiaTheme="majorEastAsia" w:cstheme="majorBidi"/>
      <w:color w:val="272727" w:themeColor="text1" w:themeTint="D8"/>
    </w:rPr>
  </w:style>
  <w:style w:type="paragraph" w:styleId="Title">
    <w:name w:val="Title"/>
    <w:basedOn w:val="Normal"/>
    <w:next w:val="Normal"/>
    <w:link w:val="TitleChar"/>
    <w:uiPriority w:val="10"/>
    <w:qFormat/>
    <w:rsid w:val="00F844B3"/>
    <w:pPr>
      <w:spacing w:after="80" w:line="240" w:lineRule="auto"/>
      <w:contextualSpacing/>
    </w:pPr>
    <w:rPr>
      <w:rFonts w:asciiTheme="majorHAnsi" w:eastAsiaTheme="majorEastAsia" w:hAnsiTheme="majorHAnsi" w:cstheme="majorBidi"/>
      <w:spacing w:val="-10"/>
      <w:kern w:val="28"/>
      <w:sz w:val="56"/>
      <w:szCs w:val="56"/>
      <w:lang w:val="da-DK" w:eastAsia="en-US"/>
      <w14:ligatures w14:val="standardContextual"/>
    </w:rPr>
  </w:style>
  <w:style w:type="character" w:customStyle="1" w:styleId="TitleChar">
    <w:name w:val="Title Char"/>
    <w:basedOn w:val="DefaultParagraphFont"/>
    <w:link w:val="Title"/>
    <w:uiPriority w:val="10"/>
    <w:rsid w:val="00F844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44B3"/>
    <w:pPr>
      <w:numPr>
        <w:ilvl w:val="1"/>
      </w:numPr>
      <w:spacing w:line="278" w:lineRule="auto"/>
    </w:pPr>
    <w:rPr>
      <w:rFonts w:asciiTheme="minorHAnsi" w:eastAsiaTheme="majorEastAsia" w:hAnsiTheme="minorHAnsi" w:cstheme="majorBidi"/>
      <w:color w:val="595959" w:themeColor="text1" w:themeTint="A6"/>
      <w:spacing w:val="15"/>
      <w:kern w:val="2"/>
      <w:sz w:val="28"/>
      <w:szCs w:val="28"/>
      <w:lang w:val="da-DK" w:eastAsia="en-US"/>
      <w14:ligatures w14:val="standardContextual"/>
    </w:rPr>
  </w:style>
  <w:style w:type="character" w:customStyle="1" w:styleId="SubtitleChar">
    <w:name w:val="Subtitle Char"/>
    <w:basedOn w:val="DefaultParagraphFont"/>
    <w:link w:val="Subtitle"/>
    <w:uiPriority w:val="11"/>
    <w:rsid w:val="00F844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44B3"/>
    <w:pPr>
      <w:spacing w:before="160" w:line="278" w:lineRule="auto"/>
      <w:jc w:val="center"/>
    </w:pPr>
    <w:rPr>
      <w:rFonts w:asciiTheme="minorHAnsi" w:eastAsiaTheme="minorHAnsi" w:hAnsiTheme="minorHAnsi" w:cstheme="minorBidi"/>
      <w:i/>
      <w:iCs/>
      <w:color w:val="404040" w:themeColor="text1" w:themeTint="BF"/>
      <w:kern w:val="2"/>
      <w:sz w:val="24"/>
      <w:szCs w:val="24"/>
      <w:lang w:val="da-DK" w:eastAsia="en-US"/>
      <w14:ligatures w14:val="standardContextual"/>
    </w:rPr>
  </w:style>
  <w:style w:type="character" w:customStyle="1" w:styleId="QuoteChar">
    <w:name w:val="Quote Char"/>
    <w:basedOn w:val="DefaultParagraphFont"/>
    <w:link w:val="Quote"/>
    <w:uiPriority w:val="29"/>
    <w:rsid w:val="00F844B3"/>
    <w:rPr>
      <w:i/>
      <w:iCs/>
      <w:color w:val="404040" w:themeColor="text1" w:themeTint="BF"/>
    </w:rPr>
  </w:style>
  <w:style w:type="paragraph" w:styleId="ListParagraph">
    <w:name w:val="List Paragraph"/>
    <w:basedOn w:val="Normal"/>
    <w:uiPriority w:val="34"/>
    <w:qFormat/>
    <w:rsid w:val="00F844B3"/>
    <w:pPr>
      <w:spacing w:line="278" w:lineRule="auto"/>
      <w:ind w:left="720"/>
      <w:contextualSpacing/>
    </w:pPr>
    <w:rPr>
      <w:rFonts w:asciiTheme="minorHAnsi" w:eastAsiaTheme="minorHAnsi" w:hAnsiTheme="minorHAnsi" w:cstheme="minorBidi"/>
      <w:kern w:val="2"/>
      <w:sz w:val="24"/>
      <w:szCs w:val="24"/>
      <w:lang w:val="da-DK" w:eastAsia="en-US"/>
      <w14:ligatures w14:val="standardContextual"/>
    </w:rPr>
  </w:style>
  <w:style w:type="character" w:styleId="IntenseEmphasis">
    <w:name w:val="Intense Emphasis"/>
    <w:basedOn w:val="DefaultParagraphFont"/>
    <w:uiPriority w:val="21"/>
    <w:qFormat/>
    <w:rsid w:val="00F844B3"/>
    <w:rPr>
      <w:i/>
      <w:iCs/>
      <w:color w:val="0F4761" w:themeColor="accent1" w:themeShade="BF"/>
    </w:rPr>
  </w:style>
  <w:style w:type="paragraph" w:styleId="IntenseQuote">
    <w:name w:val="Intense Quote"/>
    <w:basedOn w:val="Normal"/>
    <w:next w:val="Normal"/>
    <w:link w:val="IntenseQuoteChar"/>
    <w:uiPriority w:val="30"/>
    <w:qFormat/>
    <w:rsid w:val="00F844B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da-DK" w:eastAsia="en-US"/>
      <w14:ligatures w14:val="standardContextual"/>
    </w:rPr>
  </w:style>
  <w:style w:type="character" w:customStyle="1" w:styleId="IntenseQuoteChar">
    <w:name w:val="Intense Quote Char"/>
    <w:basedOn w:val="DefaultParagraphFont"/>
    <w:link w:val="IntenseQuote"/>
    <w:uiPriority w:val="30"/>
    <w:rsid w:val="00F844B3"/>
    <w:rPr>
      <w:i/>
      <w:iCs/>
      <w:color w:val="0F4761" w:themeColor="accent1" w:themeShade="BF"/>
    </w:rPr>
  </w:style>
  <w:style w:type="character" w:styleId="IntenseReference">
    <w:name w:val="Intense Reference"/>
    <w:basedOn w:val="DefaultParagraphFont"/>
    <w:uiPriority w:val="32"/>
    <w:qFormat/>
    <w:rsid w:val="00F844B3"/>
    <w:rPr>
      <w:b/>
      <w:bCs/>
      <w:smallCaps/>
      <w:color w:val="0F4761" w:themeColor="accent1" w:themeShade="BF"/>
      <w:spacing w:val="5"/>
    </w:rPr>
  </w:style>
  <w:style w:type="paragraph" w:styleId="Caption">
    <w:name w:val="caption"/>
    <w:basedOn w:val="Normal"/>
    <w:next w:val="Normal"/>
    <w:uiPriority w:val="35"/>
    <w:unhideWhenUsed/>
    <w:qFormat/>
    <w:rsid w:val="00F844B3"/>
    <w:pPr>
      <w:spacing w:after="200" w:line="240" w:lineRule="auto"/>
    </w:pPr>
    <w:rPr>
      <w:rFonts w:asciiTheme="minorHAnsi" w:eastAsiaTheme="minorHAnsi" w:hAnsiTheme="minorHAnsi" w:cstheme="minorBidi"/>
      <w:i/>
      <w:iCs/>
      <w:color w:val="0E2841" w:themeColor="text2"/>
      <w:kern w:val="2"/>
      <w:sz w:val="18"/>
      <w:szCs w:val="18"/>
      <w:lang w:val="da-DK" w:eastAsia="en-US"/>
      <w14:ligatures w14:val="standardContextual"/>
    </w:rPr>
  </w:style>
  <w:style w:type="character" w:styleId="PlaceholderText">
    <w:name w:val="Placeholder Text"/>
    <w:basedOn w:val="DefaultParagraphFont"/>
    <w:uiPriority w:val="99"/>
    <w:semiHidden/>
    <w:rsid w:val="00F844B3"/>
    <w:rPr>
      <w:color w:val="666666"/>
    </w:rPr>
  </w:style>
  <w:style w:type="character" w:styleId="Hyperlink">
    <w:name w:val="Hyperlink"/>
    <w:basedOn w:val="DefaultParagraphFont"/>
    <w:uiPriority w:val="99"/>
    <w:unhideWhenUsed/>
    <w:rsid w:val="001E6700"/>
    <w:rPr>
      <w:color w:val="467886" w:themeColor="hyperlink"/>
      <w:u w:val="single"/>
    </w:rPr>
  </w:style>
  <w:style w:type="character" w:styleId="UnresolvedMention">
    <w:name w:val="Unresolved Mention"/>
    <w:basedOn w:val="DefaultParagraphFont"/>
    <w:uiPriority w:val="99"/>
    <w:semiHidden/>
    <w:unhideWhenUsed/>
    <w:rsid w:val="001E67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668607">
      <w:bodyDiv w:val="1"/>
      <w:marLeft w:val="0"/>
      <w:marRight w:val="0"/>
      <w:marTop w:val="0"/>
      <w:marBottom w:val="0"/>
      <w:divBdr>
        <w:top w:val="none" w:sz="0" w:space="0" w:color="auto"/>
        <w:left w:val="none" w:sz="0" w:space="0" w:color="auto"/>
        <w:bottom w:val="none" w:sz="0" w:space="0" w:color="auto"/>
        <w:right w:val="none" w:sz="0" w:space="0" w:color="auto"/>
      </w:divBdr>
      <w:divsChild>
        <w:div w:id="544100779">
          <w:marLeft w:val="640"/>
          <w:marRight w:val="0"/>
          <w:marTop w:val="0"/>
          <w:marBottom w:val="0"/>
          <w:divBdr>
            <w:top w:val="none" w:sz="0" w:space="0" w:color="auto"/>
            <w:left w:val="none" w:sz="0" w:space="0" w:color="auto"/>
            <w:bottom w:val="none" w:sz="0" w:space="0" w:color="auto"/>
            <w:right w:val="none" w:sz="0" w:space="0" w:color="auto"/>
          </w:divBdr>
        </w:div>
        <w:div w:id="1892379387">
          <w:marLeft w:val="640"/>
          <w:marRight w:val="0"/>
          <w:marTop w:val="0"/>
          <w:marBottom w:val="0"/>
          <w:divBdr>
            <w:top w:val="none" w:sz="0" w:space="0" w:color="auto"/>
            <w:left w:val="none" w:sz="0" w:space="0" w:color="auto"/>
            <w:bottom w:val="none" w:sz="0" w:space="0" w:color="auto"/>
            <w:right w:val="none" w:sz="0" w:space="0" w:color="auto"/>
          </w:divBdr>
        </w:div>
        <w:div w:id="1416052938">
          <w:marLeft w:val="640"/>
          <w:marRight w:val="0"/>
          <w:marTop w:val="0"/>
          <w:marBottom w:val="0"/>
          <w:divBdr>
            <w:top w:val="none" w:sz="0" w:space="0" w:color="auto"/>
            <w:left w:val="none" w:sz="0" w:space="0" w:color="auto"/>
            <w:bottom w:val="none" w:sz="0" w:space="0" w:color="auto"/>
            <w:right w:val="none" w:sz="0" w:space="0" w:color="auto"/>
          </w:divBdr>
        </w:div>
        <w:div w:id="257761261">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6FD28E4-3756-4434-A639-E2839C12BDFF}">
  <we:reference id="f78a3046-9e99-4300-aa2b-5814002b01a2" version="1.55.1.0" store="EXCatalog" storeType="EXCatalog"/>
  <we:alternateReferences>
    <we:reference id="WA104382081" version="1.55.1.0" store="da-DK" storeType="OMEX"/>
  </we:alternateReferences>
  <we:properties>
    <we:property name="MENDELEY_CITATIONS" value="[{&quot;citationID&quot;:&quot;MENDELEY_CITATION_5ac1acf9-7edb-425a-a867-05f38b4a3bf3&quot;,&quot;properties&quot;:{&quot;noteIndex&quot;:0},&quot;isEdited&quot;:false,&quot;manualOverride&quot;:{&quot;isManuallyOverridden&quot;:false,&quot;citeprocText&quot;:&quot;[1]&quot;,&quot;manualOverrideText&quot;:&quot;&quot;},&quot;citationTag&quot;:&quot;MENDELEY_CITATION_v3_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&quot;,&quot;citationItems&quot;:[{&quot;id&quot;:&quot;7b419711-5a1e-38a8-a1ec-dc9e13c33902&quot;,&quot;itemData&quot;:{&quot;type&quot;:&quot;article-journal&quot;,&quot;id&quot;:&quot;7b419711-5a1e-38a8-a1ec-dc9e13c33902&quot;,&quot;title&quot;:&quot;Gene cloning and enzymatic characterization of an endoprotease Endo-Pro-Aspergillus niger&quot;,&quot;author&quot;:[{&quot;family&quot;:&quot;Kang&quot;,&quot;given&quot;:&quot;Chao&quot;,&quot;parse-names&quot;:false,&quot;dropping-particle&quot;:&quot;&quot;,&quot;non-dropping-particle&quot;:&quot;&quot;},{&quot;family&quot;:&quot;Yu&quot;,&quot;given&quot;:&quot;Xiao Wei&quot;,&quot;parse-names&quot;:false,&quot;dropping-particle&quot;:&quot;&quot;,&quot;non-dropping-particle&quot;:&quot;&quot;},{&quot;family&quot;:&quot;Xu&quot;,&quot;given&quot;:&quot;Yan&quot;,&quot;parse-names&quot;:false,&quot;dropping-particle&quot;:&quot;&quot;,&quot;non-dropping-particle&quot;:&quot;&quot;}],&quot;container-title&quot;:&quot;Journal of industrial microbiology &amp; biotechnology&quot;,&quot;container-title-short&quot;:&quot;J Ind Microbiol Biotechnol&quot;,&quot;accessed&quot;:{&quot;date-parts&quot;:[[2025,2,24]]},&quot;DOI&quot;:&quot;10.1007/S10295-013-1284-4&quot;,&quot;ISSN&quot;:&quot;1476-5535&quot;,&quot;PMID&quot;:&quot;23685896&quot;,&quot;URL&quot;:&quot;https://pubmed.ncbi.nlm.nih.gov/23685896/&quot;,&quot;issued&quot;:{&quot;date-parts&quot;:[[2013,8]]},&quot;page&quot;:&quot;855-864&quot;,&quot;abstract&quot;:&quot;A novel endoprotease Endo-Pro-Aspergillus niger (endoprotease EPR) was first successfully expressed at high level in the methylotrophic yeast Pichia pastoris and the purification procedure was established. The endoprotease EPR is 95 % identity with proline specific endopeptidase from A. niger CBS513.88 (EMBL; AX458699), while sharing low identity with those from other microorganisms. The purified endoprotease EPR was a monomer of 60 kDa. Furthermore, the peptide mass fingerprinting (PMF) analysis confirmed that the purified protein was an endoprotease Endo-Pro-Aspergillus niger. A three-dimensional model revealed that the active site of the enzyme was located in Ser(179)-Asp(458)-His(491), based on template 3n2zB with sequence identity of 17.6 %. The optimum pH and temperature of the endoprotease EPR were pH 4-5 and 35 C, and the stabilities were pH 3-7 and 15-60 C, respectively. Furthermore, the endoprotease EPR had the ability to digest peptides with the C-terminal of proline as well as alanine, and was also capable of hydrolyzing larger peptides. The properties of the endoprotease EPR made it a highly promising candidate for future application in the field of brewing and food process. © 2013 Society for Industrial Microbiology and Biotechnology.&quot;,&quot;publisher&quot;:&quot;J Ind Microbiol Biotechnol&quot;,&quot;issue&quot;:&quot;8&quot;,&quot;volume&quot;:&quot;40&quot;},&quot;isTemporary&quot;:false}]},{&quot;citationID&quot;:&quot;MENDELEY_CITATION_e0411eb8-5edd-44de-a2f4-2a670510ce5d&quot;,&quot;properties&quot;:{&quot;noteIndex&quot;:0},&quot;isEdited&quot;:false,&quot;manualOverride&quot;:{&quot;isManuallyOverridden&quot;:false,&quot;citeprocText&quot;:&quot;[2]&quot;,&quot;manualOverrideText&quot;:&quot;&quot;},&quot;citationTag&quot;:&quot;MENDELEY_CITATION_v3_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&quot;,&quot;citationItems&quot;:[{&quot;id&quot;:&quot;7a9c5be3-b478-3722-b126-49180e73f8df&quot;,&quot;itemData&quot;:{&quot;type&quot;:&quot;article-journal&quot;,&quot;id&quot;:&quot;7a9c5be3-b478-3722-b126-49180e73f8df&quot;,&quot;title&quot;:&quot;A polyketide synthase gene required for biosynthesis of fumonisin mycotoxins in Gibberella fujikuroi mating population A&quot;,&quot;author&quot;:[{&quot;family&quot;:&quot;Proctor&quot;,&quot;given&quot;:&quot;Robert H.&quot;,&quot;parse-names&quot;:false,&quot;dropping-particle&quot;:&quot;&quot;,&quot;non-dropping-particle&quot;:&quot;&quot;},{&quot;family&quot;:&quot;Desjardins&quot;,&quot;given&quot;:&quot;Anne E.&quot;,&quot;parse-names&quot;:false,&quot;dropping-particle&quot;:&quot;&quot;,&quot;non-dropping-particle&quot;:&quot;&quot;},{&quot;family&quot;:&quot;Plattner&quot;,&quot;given&quot;:&quot;Ronald D.&quot;,&quot;parse-names&quot;:false,&quot;dropping-particle&quot;:&quot;&quot;,&quot;non-dropping-particle&quot;:&quot;&quot;},{&quot;family&quot;:&quot;Hohn&quot;,&quot;given&quot;:&quot;Thomas M.&quot;,&quot;parse-names&quot;:false,&quot;dropping-particle&quot;:&quot;&quot;,&quot;non-dropping-particle&quot;:&quot;&quot;}],&quot;container-title&quot;:&quot;Fungal genetics and biology : FG &amp; B&quot;,&quot;container-title-short&quot;:&quot;Fungal Genet Biol&quot;,&quot;accessed&quot;:{&quot;date-parts&quot;:[[2025,2,24]]},&quot;DOI&quot;:&quot;10.1006/FGBI.1999.1141&quot;,&quot;ISSN&quot;:&quot;1087-1845&quot;,&quot;PMID&quot;:&quot;10413619&quot;,&quot;URL&quot;:&quot;https://pubmed.ncbi.nlm.nih.gov/10413619/&quot;,&quot;issued&quot;:{&quot;date-parts&quot;:[[1999]]},&quot;page&quot;:&quot;100-112&quot;,&quot;abstract&quot;:&quot;Fumonisins are toxins associated with several mycotoxicoses and are produced by the maize pathogen Gibberella fujikuroi mating population A (MP-A). Biochemical analyses indicate that fumonisins are a product of either polyketide or fatty acid biosynthesis. To isolate a putative polyketide synthase (PKS) gene involved in fumonisin biosynthesis, we employed PCR with degenerate PKS primers and a cDNA template prepared from a fumonisin-producing culture of G. fujikuroi. Sequence analysis of the single PCR product and its flanking DNA revealed a gene (FUM5) with a 7.8-kb coding region. The predicted FUM5 translation product was highly similar to bacterial and fungal Type I PKSs. Transformation of a cosmid clone carrying FUM5 into G. fujikuroi enhanced production in three strains and restored wild-type production in a fumonisin nonproducing mutant. Disruption of FUM5 reduced fumonisin production by over 99% in G. fujikuroi MP-A. Together, these results indicate that FUM5 is a PKS gene required for fumonisin biosynthesis.&quot;,&quot;publisher&quot;:&quot;Fungal Genet Biol&quot;,&quot;issue&quot;:&quot;1&quot;,&quot;volume&quot;:&quot;27&quot;},&quot;isTemporary&quot;:false}]},{&quot;citationID&quot;:&quot;MENDELEY_CITATION_74c1ddd2-f9c2-45d0-a7d7-f4b4e730b3fe&quot;,&quot;properties&quot;:{&quot;noteIndex&quot;:0},&quot;isEdited&quot;:false,&quot;manualOverride&quot;:{&quot;isManuallyOverridden&quot;:false,&quot;citeprocText&quot;:&quot;[3]&quot;,&quot;manualOverrideText&quot;:&quot;&quot;},&quot;citationTag&quot;:&quot;MENDELEY_CITATION_v3_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&quot;,&quot;citationItems&quot;:[{&quot;id&quot;:&quot;32d2c214-5691-370a-8008-febeb6fdb130&quot;,&quot;itemData&quot;:{&quot;type&quot;:&quot;article-journal&quot;,&quot;id&quot;:&quot;32d2c214-5691-370a-8008-febeb6fdb130&quot;,&quot;title&quot;:&quot;Co-expression of 15 contiguous genes delineates a fumonisin biosynthetic gene cluster in Gibberella moniliformis&quot;,&quot;author&quot;:[{&quot;family&quot;:&quot;Proctor&quot;,&quot;given&quot;:&quot;Robert H.&quot;,&quot;parse-names&quot;:false,&quot;dropping-particle&quot;:&quot;&quot;,&quot;non-dropping-particle&quot;:&quot;&quot;},{&quot;family&quot;:&quot;Brown&quot;,&quot;given&quot;:&quot;Daren W.&quot;,&quot;parse-names&quot;:false,&quot;dropping-particle&quot;:&quot;&quot;,&quot;non-dropping-particle&quot;:&quot;&quot;},{&quot;family&quot;:&quot;Plattner&quot;,&quot;given&quot;:&quot;Ronald D.&quot;,&quot;parse-names&quot;:false,&quot;dropping-particle&quot;:&quot;&quot;,&quot;non-dropping-particle&quot;:&quot;&quot;},{&quot;family&quot;:&quot;Desjardins&quot;,&quot;given&quot;:&quot;Anne E.&quot;,&quot;parse-names&quot;:false,&quot;dropping-particle&quot;:&quot;&quot;,&quot;non-dropping-particle&quot;:&quot;&quot;}],&quot;container-title&quot;:&quot;Fungal Genetics and Biology&quot;,&quot;accessed&quot;:{&quot;date-parts&quot;:[[2025,2,24]]},&quot;DOI&quot;:&quot;10.1016/S1087-1845(02)00525-X&quot;,&quot;ISSN&quot;:&quot;1087-1845&quot;,&quot;PMID&quot;:&quot;12620260&quot;,&quot;issued&quot;:{&quot;date-parts&quot;:[[2003,3,1]]},&quot;page&quot;:&quot;237-249&quot;,&quot;abstract&quot;:&quot;Fumonisins are mycotoxins produced by the maize pathogen Gibberella moniliformis and are associated with cancer in rodents. In this study, we determined the nucleotide sequence of a 75-kb region of G. moniliformis DNA and identified 18 heretofore undescribed genes flanking a cluster of five previously identified fumonisin biosynthetic (FUM) genes. Ten of the newly identified genes downstream of the cluster were coregulated with FUM genes and exhibited patterns of expression that were correlated with fumonisin production. BLASTX analyses indicated that the predicted functions of proteins encoded by the 10 genes were consistent with activities expected for fumonisin biosynthesis or self-protection. These data indicate that the 10 newly identified genes and the previously identified FUM genes constitute a fumonisin biosynthetic gene cluster. Disruption of two of the new genes, encoding longevity assurance factors, had no apparent effect on fumonisin production, but disruption of a third, encoding an ABC transporter, had a subtle effect on ratios of fumonisins produced.&quot;,&quot;publisher&quot;:&quot;Academic Press&quot;,&quot;issue&quot;:&quot;2&quot;,&quot;volume&quot;:&quot;38&quot;,&quot;container-title-short&quot;:&quot;&quot;},&quot;isTemporary&quot;:false}]},{&quot;citationID&quot;:&quot;MENDELEY_CITATION_4c1d1e44-000f-4483-a303-690645931481&quot;,&quot;properties&quot;:{&quot;noteIndex&quot;:0},&quot;isEdited&quot;:false,&quot;manualOverride&quot;:{&quot;isManuallyOverridden&quot;:false,&quot;citeprocText&quot;:&quot;[4]&quot;,&quot;manualOverrideText&quot;:&quot;&quot;},&quot;citationTag&quot;:&quot;MENDELEY_CITATION_v3_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&quot;,&quot;citationItems&quot;:[{&quot;id&quot;:&quot;2fb094b8-4de4-38e3-b6fc-2dc17bee1608&quot;,&quot;itemData&quot;:{&quot;type&quot;:&quot;article-journal&quot;,&quot;id&quot;:&quot;2fb094b8-4de4-38e3-b6fc-2dc17bee1608&quot;,&quot;title&quot;:&quot;Interplay of the RNA Exosome Complex and RNA-Binding Protein Ssd1 in Maintaining Cell Wall Stability in Yeast&quot;,&quot;author&quot;:[{&quot;family&quot;:&quot;Novačić&quot;,&quot;given&quot;:&quot;Ana&quot;,&quot;parse-names&quot;:false,&quot;dropping-particle&quot;:&quot;&quot;,&quot;non-dropping-particle&quot;:&quot;&quot;},{&quot;family&quot;:&quot;Šupljika&quot;,&quot;given&quot;:&quot;Nada&quot;,&quot;parse-names&quot;:false,&quot;dropping-particle&quot;:&quot;&quot;,&quot;non-dropping-particle&quot;:&quot;&quot;},{&quot;family&quot;:&quot;Bekavac&quot;,&quot;given&quot;:&quot;Nikša&quot;,&quot;parse-names&quot;:false,&quot;dropping-particle&quot;:&quot;&quot;,&quot;non-dropping-particle&quot;:&quot;&quot;},{&quot;family&quot;:&quot;Žunar&quot;,&quot;given&quot;:&quot;Bojan&quot;,&quot;parse-names&quot;:false,&quot;dropping-particle&quot;:&quot;&quot;,&quot;non-dropping-particle&quot;:&quot;&quot;},{&quot;family&quot;:&quot;Stuparević&quot;,&quot;given&quot;:&quot;Igor&quot;,&quot;parse-names&quot;:false,&quot;dropping-particle&quot;:&quot;&quot;,&quot;non-dropping-particle&quot;:&quot;&quot;}],&quot;container-title&quot;:&quot;Microbiology spectrum&quot;,&quot;container-title-short&quot;:&quot;Microbiol Spectr&quot;,&quot;accessed&quot;:{&quot;date-parts&quot;:[[2025,2,24]]},&quot;DOI&quot;:&quot;10.1128/SPECTRUM.00295-21&quot;,&quot;ISSN&quot;:&quot;2165-0497&quot;,&quot;PMID&quot;:&quot;34259554&quot;,&quot;URL&quot;:&quot;https://pubmed.ncbi.nlm.nih.gov/34259554/&quot;,&quot;issued&quot;:{&quot;date-parts&quot;:[[2021,9,3]]},&quot;abstract&quot;:&quot;Stressful conditions such as high temperatures can compromise cellular integrity and cause bursting. In microorganisms surrounded by a cell wall, such as yeast, the cell wall is the primary shield that protects cells from environmental stress. Yeast cell wall stability is important for cell division and survival under stress conditions. The expression of cell-wall-related proteins is regulated by several pathways involving RNA-binding proteins and RNases. The multiprotein RNA exosome complex provides the 3′→5′ exoribonuclease activity that is critical for maintaining the stability and integrity of the yeast cell wall under stress conditions such as high temperatures. In this work, we show that the temperature sensitivity of RNA exosome mutants is most pronounced in the W303 genetic background due to the nonfunctional ssd1-d allele. This gene encodes the RNA-binding protein Ssd1, which is involved in the posttranscriptional regulation of cell-wall-related genes. Expression of the functional SSD1-V allele from its native genomic locus or from a centromeric plasmid suppresses the growth defects and aberrant morphology of RNA exosome mutant cells at high temperatures or upon treatment with cell wall stressors. Moreover, combined inactivation of the RNA exosome catalytic subunit Rrp6 and Ssd1 results in a synthetically sick phenotype of cell wall instability, as these proteins may function in parallel pathways (i.e., via different mRNA targets) to maintain cell wall stability.  IMPORTANCE Stressful conditions such as high temperatures can compromise cellular integrity and cause bursting. In microorganisms surrounded by a cell wall, such as yeast, the cell wall is the primary shield that protects cells from environmental stress. Therefore, remodeling its structure requires inputs from multiple signaling pathways and regulators. In this work, we identify the interplay of the RNA exosome complex and the RNA-binding protein Ssd1 as an important factor in the yeast cell wall stress response. These proteins operate in independent pathways to support yeast cell wall stability. This work highlights the contribution of RNA-binding proteins in the regulation of yeast cell wall structure, providing new insights into yeast physiology. &quot;,&quot;publisher&quot;:&quot;Microbiol Spectr&quot;,&quot;issue&quot;:&quot;1&quot;,&quot;volume&quot;:&quot;9&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F6AF2FC8-F4E6-44D7-B0ED-FA9AC48FA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113</Words>
  <Characters>691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Abel Peter van Esch</dc:creator>
  <cp:keywords/>
  <dc:description/>
  <cp:lastModifiedBy>Abel Peter van Esch</cp:lastModifiedBy>
  <cp:revision>3</cp:revision>
  <dcterms:created xsi:type="dcterms:W3CDTF">2025-04-22T12:31:00Z</dcterms:created>
  <dcterms:modified xsi:type="dcterms:W3CDTF">2025-04-22T12:31:00Z</dcterms:modified>
</cp:coreProperties>
</file>