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9A7" w:rsidRPr="003309A7" w:rsidRDefault="003309A7" w:rsidP="003309A7">
      <w:pPr>
        <w:pStyle w:val="Explnote"/>
        <w:spacing w:line="480" w:lineRule="auto"/>
        <w:ind w:left="0" w:right="20" w:firstLine="360"/>
        <w:jc w:val="center"/>
        <w:rPr>
          <w:rFonts w:ascii="Times New Roman" w:hAnsi="Times New Roman"/>
          <w:b/>
          <w:noProof/>
          <w:sz w:val="22"/>
          <w:szCs w:val="22"/>
        </w:rPr>
      </w:pPr>
      <w:r w:rsidRPr="003309A7">
        <w:rPr>
          <w:rFonts w:ascii="Times New Roman" w:hAnsi="Times New Roman"/>
          <w:b/>
          <w:noProof/>
          <w:sz w:val="22"/>
          <w:szCs w:val="22"/>
        </w:rPr>
        <w:t>Changes to assay techniques across two decades of the Women’s Healthy Ageing Project</w:t>
      </w:r>
    </w:p>
    <w:p w:rsidR="00024564" w:rsidRPr="00F066A2" w:rsidRDefault="00024564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  <w:u w:val="single"/>
        </w:rPr>
      </w:pPr>
      <w:r>
        <w:rPr>
          <w:rFonts w:ascii="Times New Roman" w:hAnsi="Times New Roman"/>
          <w:noProof/>
          <w:sz w:val="22"/>
          <w:szCs w:val="22"/>
          <w:u w:val="single"/>
        </w:rPr>
        <w:t>Cholesterol</w:t>
      </w:r>
    </w:p>
    <w:p w:rsidR="00024564" w:rsidRDefault="009204F8" w:rsidP="00F066A2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Total cholesterol, HDL cholesterol, and triglycerides were meaured </w:t>
      </w:r>
      <w:r w:rsidR="00047326">
        <w:rPr>
          <w:rFonts w:ascii="Times New Roman" w:hAnsi="Times New Roman"/>
          <w:noProof/>
          <w:sz w:val="22"/>
          <w:szCs w:val="22"/>
        </w:rPr>
        <w:t>u</w:t>
      </w:r>
      <w:r w:rsidR="00EB1F1F">
        <w:rPr>
          <w:rFonts w:ascii="Times New Roman" w:hAnsi="Times New Roman"/>
          <w:noProof/>
          <w:sz w:val="22"/>
          <w:szCs w:val="22"/>
        </w:rPr>
        <w:t>sing</w:t>
      </w:r>
      <w:r w:rsidR="009968C3" w:rsidRPr="009968C3">
        <w:rPr>
          <w:rFonts w:ascii="Times New Roman" w:hAnsi="Times New Roman"/>
          <w:noProof/>
          <w:sz w:val="22"/>
          <w:szCs w:val="22"/>
        </w:rPr>
        <w:t xml:space="preserve"> </w:t>
      </w:r>
      <w:r w:rsidR="009968C3">
        <w:rPr>
          <w:rFonts w:ascii="Times New Roman" w:hAnsi="Times New Roman"/>
          <w:noProof/>
          <w:sz w:val="22"/>
          <w:szCs w:val="22"/>
        </w:rPr>
        <w:t>standard methods on routine automated chemistry systems</w:t>
      </w:r>
      <w:r w:rsidR="008F2ED1">
        <w:rPr>
          <w:rFonts w:ascii="Times New Roman" w:hAnsi="Times New Roman"/>
          <w:noProof/>
          <w:sz w:val="22"/>
          <w:szCs w:val="22"/>
        </w:rPr>
        <w:t xml:space="preserve">. For cholesterol </w:t>
      </w:r>
      <w:r w:rsidR="006C417E">
        <w:rPr>
          <w:rFonts w:ascii="Times New Roman" w:hAnsi="Times New Roman"/>
          <w:noProof/>
          <w:sz w:val="22"/>
          <w:szCs w:val="22"/>
        </w:rPr>
        <w:t xml:space="preserve">the </w:t>
      </w:r>
      <w:r w:rsidR="003830FE">
        <w:rPr>
          <w:rFonts w:ascii="Times New Roman" w:hAnsi="Times New Roman"/>
          <w:noProof/>
          <w:sz w:val="22"/>
          <w:szCs w:val="22"/>
        </w:rPr>
        <w:t xml:space="preserve">instrument </w:t>
      </w:r>
      <w:r w:rsidR="009D762E">
        <w:rPr>
          <w:rFonts w:ascii="Times New Roman" w:hAnsi="Times New Roman"/>
          <w:noProof/>
          <w:sz w:val="22"/>
          <w:szCs w:val="22"/>
        </w:rPr>
        <w:t xml:space="preserve">total coefficient of variation of ≤3% and </w:t>
      </w:r>
      <w:r w:rsidR="008F2ED1">
        <w:rPr>
          <w:rFonts w:ascii="Times New Roman" w:hAnsi="Times New Roman"/>
          <w:noProof/>
          <w:sz w:val="22"/>
          <w:szCs w:val="22"/>
        </w:rPr>
        <w:t xml:space="preserve">an assay range of </w:t>
      </w:r>
      <w:r w:rsidR="008F2ED1" w:rsidRPr="008F2ED1">
        <w:rPr>
          <w:rFonts w:ascii="Times New Roman" w:hAnsi="Times New Roman"/>
          <w:noProof/>
          <w:sz w:val="22"/>
          <w:szCs w:val="22"/>
        </w:rPr>
        <w:t>0.161-18.26 mmol/L</w:t>
      </w:r>
      <w:r w:rsidR="00024564">
        <w:rPr>
          <w:rFonts w:ascii="Times New Roman" w:hAnsi="Times New Roman"/>
          <w:noProof/>
          <w:sz w:val="22"/>
          <w:szCs w:val="22"/>
        </w:rPr>
        <w:t>.</w:t>
      </w:r>
      <w:r w:rsidR="008F2ED1">
        <w:rPr>
          <w:rFonts w:ascii="Times New Roman" w:hAnsi="Times New Roman"/>
          <w:noProof/>
          <w:sz w:val="22"/>
          <w:szCs w:val="22"/>
        </w:rPr>
        <w:t xml:space="preserve"> For triglycerides the </w:t>
      </w:r>
      <w:r w:rsidR="003830FE">
        <w:rPr>
          <w:rFonts w:ascii="Times New Roman" w:hAnsi="Times New Roman"/>
          <w:noProof/>
          <w:sz w:val="22"/>
          <w:szCs w:val="22"/>
        </w:rPr>
        <w:t xml:space="preserve">instrument </w:t>
      </w:r>
      <w:r w:rsidR="008F2ED1">
        <w:rPr>
          <w:rFonts w:ascii="Times New Roman" w:hAnsi="Times New Roman"/>
          <w:noProof/>
          <w:sz w:val="22"/>
          <w:szCs w:val="22"/>
        </w:rPr>
        <w:t xml:space="preserve">total coeffiecient of variation is ≤5%, with an assay range of </w:t>
      </w:r>
      <w:r w:rsidR="008F2ED1" w:rsidRPr="008F2ED1">
        <w:rPr>
          <w:rFonts w:ascii="Times New Roman" w:hAnsi="Times New Roman"/>
          <w:noProof/>
          <w:sz w:val="22"/>
          <w:szCs w:val="22"/>
        </w:rPr>
        <w:t>0.071-16.05 mmol/L</w:t>
      </w:r>
      <w:r w:rsidR="008F2ED1">
        <w:rPr>
          <w:rFonts w:ascii="Times New Roman" w:hAnsi="Times New Roman"/>
          <w:noProof/>
          <w:sz w:val="22"/>
          <w:szCs w:val="22"/>
        </w:rPr>
        <w:t xml:space="preserve">. </w:t>
      </w:r>
      <w:r>
        <w:rPr>
          <w:rFonts w:ascii="Times New Roman" w:hAnsi="Times New Roman"/>
          <w:noProof/>
          <w:sz w:val="22"/>
          <w:szCs w:val="22"/>
        </w:rPr>
        <w:t xml:space="preserve">LDL cholestrol was calculated using the Friedwald </w:t>
      </w:r>
      <w:r w:rsidR="00E822CE">
        <w:rPr>
          <w:rFonts w:ascii="Times New Roman" w:hAnsi="Times New Roman"/>
          <w:noProof/>
          <w:sz w:val="22"/>
          <w:szCs w:val="22"/>
        </w:rPr>
        <w:t>formula adapted for SI units [1</w:t>
      </w:r>
      <w:r>
        <w:rPr>
          <w:rFonts w:ascii="Times New Roman" w:hAnsi="Times New Roman"/>
          <w:noProof/>
          <w:sz w:val="22"/>
          <w:szCs w:val="22"/>
        </w:rPr>
        <w:t xml:space="preserve">]. </w:t>
      </w:r>
    </w:p>
    <w:p w:rsidR="00024564" w:rsidRDefault="00024564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</w:rPr>
      </w:pPr>
    </w:p>
    <w:p w:rsidR="002014A5" w:rsidRPr="00F066A2" w:rsidRDefault="002014A5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  <w:u w:val="single"/>
        </w:rPr>
      </w:pPr>
      <w:r w:rsidRPr="00F066A2">
        <w:rPr>
          <w:rFonts w:ascii="Times New Roman" w:hAnsi="Times New Roman"/>
          <w:noProof/>
          <w:sz w:val="22"/>
          <w:szCs w:val="22"/>
          <w:u w:val="single"/>
        </w:rPr>
        <w:t>Glucose</w:t>
      </w:r>
    </w:p>
    <w:p w:rsidR="006A1309" w:rsidRDefault="009204F8" w:rsidP="00F066A2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Glucose was measured in plasma using </w:t>
      </w:r>
      <w:r w:rsidR="009968C3">
        <w:rPr>
          <w:rFonts w:ascii="Times New Roman" w:hAnsi="Times New Roman"/>
          <w:noProof/>
          <w:sz w:val="22"/>
          <w:szCs w:val="22"/>
        </w:rPr>
        <w:t>standard methods on rout</w:t>
      </w:r>
      <w:r w:rsidR="005C7D09">
        <w:rPr>
          <w:rFonts w:ascii="Times New Roman" w:hAnsi="Times New Roman"/>
          <w:noProof/>
          <w:sz w:val="22"/>
          <w:szCs w:val="22"/>
        </w:rPr>
        <w:t>ine automated chemistry systems</w:t>
      </w:r>
      <w:r w:rsidR="00F30722">
        <w:rPr>
          <w:rFonts w:ascii="Times New Roman" w:hAnsi="Times New Roman"/>
          <w:noProof/>
          <w:sz w:val="22"/>
          <w:szCs w:val="22"/>
        </w:rPr>
        <w:t>.</w:t>
      </w:r>
      <w:r w:rsidR="003830FE">
        <w:rPr>
          <w:rFonts w:ascii="Times New Roman" w:hAnsi="Times New Roman"/>
          <w:noProof/>
          <w:sz w:val="22"/>
          <w:szCs w:val="22"/>
        </w:rPr>
        <w:t xml:space="preserve"> The the instrument total coeffiecient of variation is ≤5%, with an assay range of</w:t>
      </w:r>
      <w:r w:rsidR="003830FE" w:rsidDel="00F30722">
        <w:rPr>
          <w:rFonts w:ascii="Times New Roman" w:hAnsi="Times New Roman"/>
          <w:noProof/>
          <w:sz w:val="22"/>
          <w:szCs w:val="22"/>
        </w:rPr>
        <w:t xml:space="preserve"> </w:t>
      </w:r>
      <w:r w:rsidR="003830FE" w:rsidRPr="003830FE">
        <w:rPr>
          <w:rFonts w:ascii="Times New Roman" w:hAnsi="Times New Roman"/>
          <w:noProof/>
          <w:sz w:val="22"/>
          <w:szCs w:val="22"/>
        </w:rPr>
        <w:t>0.28-44.4 mol/L</w:t>
      </w:r>
      <w:r w:rsidR="003830FE">
        <w:rPr>
          <w:rFonts w:ascii="Times New Roman" w:hAnsi="Times New Roman"/>
          <w:noProof/>
          <w:sz w:val="22"/>
          <w:szCs w:val="22"/>
        </w:rPr>
        <w:t>.</w:t>
      </w:r>
    </w:p>
    <w:p w:rsidR="006A1309" w:rsidRDefault="006A1309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</w:rPr>
      </w:pPr>
    </w:p>
    <w:p w:rsidR="006A1309" w:rsidRPr="00F066A2" w:rsidRDefault="006A1309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  <w:u w:val="single"/>
        </w:rPr>
      </w:pPr>
      <w:r w:rsidRPr="00F066A2">
        <w:rPr>
          <w:rFonts w:ascii="Times New Roman" w:hAnsi="Times New Roman"/>
          <w:noProof/>
          <w:sz w:val="22"/>
          <w:szCs w:val="22"/>
          <w:u w:val="single"/>
        </w:rPr>
        <w:t>Insulin</w:t>
      </w:r>
    </w:p>
    <w:p w:rsidR="002014A5" w:rsidRDefault="009968C3" w:rsidP="00F066A2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Insulin was measured by radioimmunoassay using standard methods on routine automated </w:t>
      </w:r>
      <w:r w:rsidRPr="005C7D09">
        <w:rPr>
          <w:rFonts w:ascii="Times New Roman" w:hAnsi="Times New Roman"/>
          <w:noProof/>
          <w:sz w:val="22"/>
          <w:szCs w:val="22"/>
        </w:rPr>
        <w:t>chemistry systems</w:t>
      </w:r>
      <w:r w:rsidR="005D0FFC" w:rsidRPr="005C7D09">
        <w:rPr>
          <w:rFonts w:ascii="Times New Roman" w:hAnsi="Times New Roman"/>
          <w:noProof/>
          <w:sz w:val="22"/>
          <w:szCs w:val="22"/>
        </w:rPr>
        <w:t>.</w:t>
      </w:r>
      <w:r w:rsidR="00FC0C1E" w:rsidRPr="005C7D09">
        <w:rPr>
          <w:rFonts w:ascii="Times New Roman" w:hAnsi="Times New Roman"/>
          <w:noProof/>
          <w:sz w:val="22"/>
          <w:szCs w:val="22"/>
        </w:rPr>
        <w:t xml:space="preserve"> The instrument total coeffiecient of variation is ≤7%, with an assay range of</w:t>
      </w:r>
      <w:r w:rsidR="00FC0C1E">
        <w:rPr>
          <w:rFonts w:ascii="Times New Roman" w:hAnsi="Times New Roman"/>
          <w:noProof/>
          <w:sz w:val="22"/>
          <w:szCs w:val="22"/>
        </w:rPr>
        <w:t xml:space="preserve"> </w:t>
      </w:r>
      <w:r w:rsidR="00FC0C1E" w:rsidRPr="00FC0C1E">
        <w:rPr>
          <w:rFonts w:ascii="Times New Roman" w:hAnsi="Times New Roman"/>
          <w:noProof/>
          <w:sz w:val="22"/>
          <w:szCs w:val="22"/>
        </w:rPr>
        <w:t>1-300.0 μU/mL</w:t>
      </w:r>
      <w:r w:rsidR="00FC0C1E">
        <w:rPr>
          <w:rFonts w:ascii="Times New Roman" w:hAnsi="Times New Roman"/>
          <w:noProof/>
          <w:sz w:val="22"/>
          <w:szCs w:val="22"/>
        </w:rPr>
        <w:t>.</w:t>
      </w:r>
    </w:p>
    <w:p w:rsidR="00F414C8" w:rsidRDefault="00F414C8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</w:rPr>
      </w:pPr>
    </w:p>
    <w:p w:rsidR="00247D81" w:rsidRPr="00F066A2" w:rsidRDefault="00247D81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  <w:u w:val="single"/>
        </w:rPr>
      </w:pPr>
      <w:r w:rsidRPr="00F066A2">
        <w:rPr>
          <w:rFonts w:ascii="Times New Roman" w:hAnsi="Times New Roman"/>
          <w:noProof/>
          <w:sz w:val="22"/>
          <w:szCs w:val="22"/>
          <w:u w:val="single"/>
        </w:rPr>
        <w:t>Iron studies</w:t>
      </w:r>
    </w:p>
    <w:p w:rsidR="00247D81" w:rsidRDefault="009968C3" w:rsidP="00F066A2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I</w:t>
      </w:r>
      <w:r w:rsidR="00247D81">
        <w:rPr>
          <w:rFonts w:ascii="Times New Roman" w:hAnsi="Times New Roman"/>
          <w:noProof/>
          <w:sz w:val="22"/>
          <w:szCs w:val="22"/>
        </w:rPr>
        <w:t xml:space="preserve">ron studies were measured </w:t>
      </w:r>
      <w:r w:rsidR="00642A52">
        <w:rPr>
          <w:rFonts w:ascii="Times New Roman" w:hAnsi="Times New Roman"/>
          <w:noProof/>
          <w:sz w:val="22"/>
          <w:szCs w:val="22"/>
        </w:rPr>
        <w:t>according to</w:t>
      </w:r>
      <w:r w:rsidR="00247D81">
        <w:rPr>
          <w:rFonts w:ascii="Times New Roman" w:hAnsi="Times New Roman"/>
          <w:noProof/>
          <w:sz w:val="22"/>
          <w:szCs w:val="22"/>
        </w:rPr>
        <w:t xml:space="preserve"> standard </w:t>
      </w:r>
      <w:r w:rsidR="00642A52">
        <w:rPr>
          <w:rFonts w:ascii="Times New Roman" w:hAnsi="Times New Roman"/>
          <w:noProof/>
          <w:sz w:val="22"/>
          <w:szCs w:val="22"/>
        </w:rPr>
        <w:t xml:space="preserve">methods on routine automated chemistry systems. The total coefficient of variation for iron was </w:t>
      </w:r>
      <w:r w:rsidR="00642A52" w:rsidRPr="00642A52">
        <w:rPr>
          <w:rFonts w:ascii="Times New Roman" w:hAnsi="Times New Roman"/>
          <w:noProof/>
          <w:sz w:val="22"/>
          <w:szCs w:val="22"/>
        </w:rPr>
        <w:t>≤4.7%</w:t>
      </w:r>
      <w:r w:rsidR="00642A52">
        <w:rPr>
          <w:rFonts w:ascii="Times New Roman" w:hAnsi="Times New Roman"/>
          <w:noProof/>
          <w:sz w:val="22"/>
          <w:szCs w:val="22"/>
        </w:rPr>
        <w:t xml:space="preserve"> with an assay range of </w:t>
      </w:r>
      <w:r w:rsidR="00642A52" w:rsidRPr="00642A52">
        <w:rPr>
          <w:rFonts w:ascii="Times New Roman" w:hAnsi="Times New Roman"/>
          <w:noProof/>
          <w:sz w:val="22"/>
          <w:szCs w:val="22"/>
        </w:rPr>
        <w:t>0.97-318.4 μmol/L</w:t>
      </w:r>
      <w:r w:rsidR="00642A52">
        <w:rPr>
          <w:rFonts w:ascii="Times New Roman" w:hAnsi="Times New Roman"/>
          <w:noProof/>
          <w:sz w:val="22"/>
          <w:szCs w:val="22"/>
        </w:rPr>
        <w:t xml:space="preserve">. For </w:t>
      </w:r>
      <w:r w:rsidR="00642A52" w:rsidRPr="005C7D09">
        <w:rPr>
          <w:rFonts w:ascii="Times New Roman" w:hAnsi="Times New Roman"/>
          <w:noProof/>
          <w:sz w:val="22"/>
          <w:szCs w:val="22"/>
        </w:rPr>
        <w:t>ferr</w:t>
      </w:r>
      <w:r w:rsidR="005C7D09" w:rsidRPr="005C7D09">
        <w:rPr>
          <w:rFonts w:ascii="Times New Roman" w:hAnsi="Times New Roman"/>
          <w:noProof/>
          <w:sz w:val="22"/>
          <w:szCs w:val="22"/>
        </w:rPr>
        <w:t>i</w:t>
      </w:r>
      <w:r w:rsidR="00642A52" w:rsidRPr="005C7D09">
        <w:rPr>
          <w:rFonts w:ascii="Times New Roman" w:hAnsi="Times New Roman"/>
          <w:noProof/>
          <w:sz w:val="22"/>
          <w:szCs w:val="22"/>
        </w:rPr>
        <w:t>tin</w:t>
      </w:r>
      <w:r w:rsidR="005C7D09">
        <w:rPr>
          <w:rFonts w:ascii="Times New Roman" w:hAnsi="Times New Roman"/>
          <w:noProof/>
          <w:sz w:val="22"/>
          <w:szCs w:val="22"/>
        </w:rPr>
        <w:t xml:space="preserve"> </w:t>
      </w:r>
      <w:r w:rsidR="00642A52">
        <w:rPr>
          <w:rFonts w:ascii="Times New Roman" w:hAnsi="Times New Roman"/>
          <w:noProof/>
          <w:sz w:val="22"/>
          <w:szCs w:val="22"/>
        </w:rPr>
        <w:t>the total coefficient of variation for iron was ≤9</w:t>
      </w:r>
      <w:r w:rsidR="00642A52" w:rsidRPr="00642A52">
        <w:rPr>
          <w:rFonts w:ascii="Times New Roman" w:hAnsi="Times New Roman"/>
          <w:noProof/>
          <w:sz w:val="22"/>
          <w:szCs w:val="22"/>
        </w:rPr>
        <w:t>%</w:t>
      </w:r>
      <w:r w:rsidR="00642A52">
        <w:rPr>
          <w:rFonts w:ascii="Times New Roman" w:hAnsi="Times New Roman"/>
          <w:noProof/>
          <w:sz w:val="22"/>
          <w:szCs w:val="22"/>
        </w:rPr>
        <w:t xml:space="preserve">, with an assay range of </w:t>
      </w:r>
      <w:r w:rsidR="00642A52" w:rsidRPr="00642A52">
        <w:rPr>
          <w:rFonts w:ascii="Times New Roman" w:hAnsi="Times New Roman"/>
          <w:noProof/>
          <w:sz w:val="22"/>
          <w:szCs w:val="22"/>
        </w:rPr>
        <w:t>0-2000 ng/mL</w:t>
      </w:r>
      <w:r w:rsidR="00642A52">
        <w:rPr>
          <w:rFonts w:ascii="Times New Roman" w:hAnsi="Times New Roman"/>
          <w:noProof/>
          <w:sz w:val="22"/>
          <w:szCs w:val="22"/>
        </w:rPr>
        <w:t xml:space="preserve">. The </w:t>
      </w:r>
      <w:r w:rsidR="00E41928">
        <w:rPr>
          <w:rFonts w:ascii="Times New Roman" w:hAnsi="Times New Roman"/>
          <w:noProof/>
          <w:sz w:val="22"/>
          <w:szCs w:val="22"/>
        </w:rPr>
        <w:t xml:space="preserve">assay range for transferrin is </w:t>
      </w:r>
      <w:r w:rsidR="00E41928" w:rsidRPr="00E41928">
        <w:rPr>
          <w:rFonts w:ascii="Times New Roman" w:hAnsi="Times New Roman"/>
          <w:noProof/>
          <w:sz w:val="22"/>
          <w:szCs w:val="22"/>
        </w:rPr>
        <w:t>0.09-28.515 g/L</w:t>
      </w:r>
      <w:r w:rsidR="00E41928">
        <w:rPr>
          <w:rFonts w:ascii="Times New Roman" w:hAnsi="Times New Roman"/>
          <w:noProof/>
          <w:sz w:val="22"/>
          <w:szCs w:val="22"/>
        </w:rPr>
        <w:t>, with a total coefficient of variation of ≤5%.</w:t>
      </w:r>
    </w:p>
    <w:p w:rsidR="007D194D" w:rsidRDefault="007D194D" w:rsidP="00F066A2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Homocysteine was measured using a commercial fluorescence polarisation assay developed by Abbott for their IMx Analyzer from 1991 to 1999 [2], and the DPC Immulite 2000 Analyser with</w:t>
      </w:r>
      <w:r w:rsidRPr="002379B5">
        <w:rPr>
          <w:rFonts w:ascii="Times New Roman" w:hAnsi="Times New Roman"/>
          <w:noProof/>
          <w:sz w:val="22"/>
          <w:szCs w:val="22"/>
        </w:rPr>
        <w:t xml:space="preserve"> DPC Reagents</w:t>
      </w:r>
      <w:r>
        <w:rPr>
          <w:rFonts w:ascii="Times New Roman" w:hAnsi="Times New Roman"/>
          <w:noProof/>
          <w:sz w:val="22"/>
          <w:szCs w:val="22"/>
        </w:rPr>
        <w:t xml:space="preserve"> from 2002 to 2013. From 2013 the </w:t>
      </w:r>
      <w:r w:rsidRPr="00ED1D98">
        <w:rPr>
          <w:rFonts w:ascii="Times New Roman" w:hAnsi="Times New Roman"/>
          <w:noProof/>
          <w:sz w:val="22"/>
          <w:szCs w:val="22"/>
        </w:rPr>
        <w:t>Abbott Architect</w:t>
      </w:r>
      <w:r>
        <w:rPr>
          <w:rFonts w:ascii="Times New Roman" w:hAnsi="Times New Roman"/>
          <w:noProof/>
          <w:sz w:val="22"/>
          <w:szCs w:val="22"/>
        </w:rPr>
        <w:t xml:space="preserve"> with </w:t>
      </w:r>
      <w:r w:rsidRPr="00ED1D98">
        <w:rPr>
          <w:rFonts w:ascii="Times New Roman" w:hAnsi="Times New Roman"/>
          <w:noProof/>
          <w:sz w:val="22"/>
          <w:szCs w:val="22"/>
        </w:rPr>
        <w:t xml:space="preserve">Architect Homocysteine </w:t>
      </w:r>
      <w:r w:rsidRPr="00ED1D98">
        <w:rPr>
          <w:rFonts w:ascii="Times New Roman" w:hAnsi="Times New Roman"/>
          <w:noProof/>
          <w:sz w:val="22"/>
          <w:szCs w:val="22"/>
        </w:rPr>
        <w:lastRenderedPageBreak/>
        <w:t>Reagent Kit</w:t>
      </w:r>
      <w:r>
        <w:rPr>
          <w:rFonts w:ascii="Times New Roman" w:hAnsi="Times New Roman"/>
          <w:noProof/>
          <w:sz w:val="22"/>
          <w:szCs w:val="22"/>
        </w:rPr>
        <w:t xml:space="preserve"> was used. The the instrument total coeffiecient of variation is ≤10%, with an assay range of </w:t>
      </w:r>
      <w:r w:rsidRPr="00ED1D98">
        <w:rPr>
          <w:rFonts w:ascii="Times New Roman" w:hAnsi="Times New Roman"/>
          <w:noProof/>
          <w:sz w:val="22"/>
          <w:szCs w:val="22"/>
        </w:rPr>
        <w:t>0-50.0 μmol/L</w:t>
      </w:r>
      <w:r>
        <w:rPr>
          <w:rFonts w:ascii="Times New Roman" w:hAnsi="Times New Roman"/>
          <w:noProof/>
          <w:sz w:val="22"/>
          <w:szCs w:val="22"/>
        </w:rPr>
        <w:t>.</w:t>
      </w:r>
    </w:p>
    <w:p w:rsidR="00F414C8" w:rsidRDefault="00F414C8" w:rsidP="009204F8">
      <w:pPr>
        <w:pStyle w:val="Explnote"/>
        <w:spacing w:line="480" w:lineRule="auto"/>
        <w:ind w:left="0" w:right="20" w:firstLine="360"/>
        <w:jc w:val="both"/>
        <w:rPr>
          <w:rFonts w:ascii="Times New Roman" w:hAnsi="Times New Roman"/>
          <w:noProof/>
          <w:sz w:val="22"/>
          <w:szCs w:val="22"/>
        </w:rPr>
      </w:pPr>
    </w:p>
    <w:p w:rsidR="004029B9" w:rsidRPr="00CA193C" w:rsidRDefault="009968C3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</w:rPr>
      </w:pPr>
      <w:r w:rsidRPr="00F066A2">
        <w:rPr>
          <w:rFonts w:ascii="Times New Roman" w:hAnsi="Times New Roman"/>
          <w:noProof/>
          <w:sz w:val="22"/>
          <w:szCs w:val="22"/>
          <w:u w:val="single"/>
        </w:rPr>
        <w:t>Oestradiol</w:t>
      </w:r>
      <w:r>
        <w:rPr>
          <w:rFonts w:ascii="Times New Roman" w:hAnsi="Times New Roman"/>
          <w:noProof/>
          <w:sz w:val="22"/>
          <w:szCs w:val="22"/>
          <w:u w:val="single"/>
        </w:rPr>
        <w:t xml:space="preserve">, </w:t>
      </w:r>
      <w:r w:rsidR="00F414C8" w:rsidRPr="00F066A2">
        <w:rPr>
          <w:rFonts w:ascii="Times New Roman" w:hAnsi="Times New Roman"/>
          <w:noProof/>
          <w:sz w:val="22"/>
          <w:szCs w:val="22"/>
          <w:u w:val="single"/>
        </w:rPr>
        <w:t>FSH</w:t>
      </w:r>
      <w:r w:rsidR="00FB3108">
        <w:rPr>
          <w:rFonts w:ascii="Times New Roman" w:hAnsi="Times New Roman"/>
          <w:noProof/>
          <w:sz w:val="22"/>
          <w:szCs w:val="22"/>
          <w:u w:val="single"/>
        </w:rPr>
        <w:t>, LH</w:t>
      </w:r>
      <w:r w:rsidR="004931AC">
        <w:rPr>
          <w:rFonts w:ascii="Times New Roman" w:hAnsi="Times New Roman"/>
          <w:noProof/>
          <w:sz w:val="22"/>
          <w:szCs w:val="22"/>
          <w:u w:val="single"/>
        </w:rPr>
        <w:t>,</w:t>
      </w:r>
      <w:r w:rsidR="0093141B">
        <w:rPr>
          <w:rFonts w:ascii="Times New Roman" w:hAnsi="Times New Roman"/>
          <w:noProof/>
          <w:sz w:val="22"/>
          <w:szCs w:val="22"/>
          <w:u w:val="single"/>
        </w:rPr>
        <w:t xml:space="preserve"> </w:t>
      </w:r>
      <w:r w:rsidR="00CA193C">
        <w:rPr>
          <w:rFonts w:ascii="Times New Roman" w:hAnsi="Times New Roman"/>
          <w:noProof/>
          <w:sz w:val="22"/>
          <w:szCs w:val="22"/>
          <w:u w:val="single"/>
        </w:rPr>
        <w:t xml:space="preserve">and </w:t>
      </w:r>
      <w:r w:rsidR="00CA193C" w:rsidRPr="00F066A2">
        <w:rPr>
          <w:rFonts w:ascii="Times New Roman" w:hAnsi="Times New Roman"/>
          <w:noProof/>
          <w:sz w:val="22"/>
          <w:szCs w:val="22"/>
          <w:u w:val="single"/>
        </w:rPr>
        <w:t>Inhibin</w:t>
      </w:r>
      <w:r w:rsidR="004931AC">
        <w:rPr>
          <w:rFonts w:ascii="Times New Roman" w:hAnsi="Times New Roman"/>
          <w:noProof/>
          <w:sz w:val="22"/>
          <w:szCs w:val="22"/>
        </w:rPr>
        <w:t xml:space="preserve"> </w:t>
      </w:r>
    </w:p>
    <w:p w:rsidR="004029B9" w:rsidRDefault="009968C3" w:rsidP="009968C3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Hormones were measured by </w:t>
      </w:r>
      <w:r w:rsidR="009204F8">
        <w:rPr>
          <w:rFonts w:ascii="Times New Roman" w:hAnsi="Times New Roman"/>
          <w:noProof/>
          <w:sz w:val="22"/>
          <w:szCs w:val="22"/>
        </w:rPr>
        <w:t>automated microparticulate enzyme immunoassay</w:t>
      </w:r>
      <w:r>
        <w:rPr>
          <w:rFonts w:ascii="Times New Roman" w:hAnsi="Times New Roman"/>
          <w:noProof/>
          <w:sz w:val="22"/>
          <w:szCs w:val="22"/>
        </w:rPr>
        <w:t>.  The correlation coefficient was 0.99 and 0.98 for FSH and LH respectively.  Inhibin had a</w:t>
      </w:r>
      <w:r w:rsidR="00CA193C">
        <w:rPr>
          <w:rFonts w:ascii="Times New Roman" w:hAnsi="Times New Roman"/>
          <w:noProof/>
          <w:sz w:val="22"/>
          <w:szCs w:val="22"/>
        </w:rPr>
        <w:t xml:space="preserve"> c</w:t>
      </w:r>
      <w:r>
        <w:rPr>
          <w:rFonts w:ascii="Times New Roman" w:hAnsi="Times New Roman"/>
          <w:noProof/>
          <w:sz w:val="22"/>
          <w:szCs w:val="22"/>
        </w:rPr>
        <w:t>oefficient of variation of 6.8% (Inhibin), Oestr</w:t>
      </w:r>
      <w:r w:rsidR="00F5132D">
        <w:rPr>
          <w:rFonts w:ascii="Times New Roman" w:hAnsi="Times New Roman"/>
          <w:noProof/>
          <w:sz w:val="22"/>
          <w:szCs w:val="22"/>
        </w:rPr>
        <w:t>ad</w:t>
      </w:r>
      <w:r>
        <w:rPr>
          <w:rFonts w:ascii="Times New Roman" w:hAnsi="Times New Roman"/>
          <w:noProof/>
          <w:sz w:val="22"/>
          <w:szCs w:val="22"/>
        </w:rPr>
        <w:t xml:space="preserve">iol assay had a </w:t>
      </w:r>
      <w:r w:rsidR="009204F8">
        <w:rPr>
          <w:rFonts w:ascii="Times New Roman" w:hAnsi="Times New Roman"/>
          <w:noProof/>
          <w:sz w:val="22"/>
          <w:szCs w:val="22"/>
        </w:rPr>
        <w:t>sensitivity of 20pmol/L</w:t>
      </w:r>
      <w:r w:rsidR="00F5132D">
        <w:rPr>
          <w:rFonts w:ascii="Times New Roman" w:hAnsi="Times New Roman"/>
          <w:noProof/>
          <w:sz w:val="22"/>
          <w:szCs w:val="22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t>(</w:t>
      </w:r>
      <w:r w:rsidR="00F5132D">
        <w:rPr>
          <w:rFonts w:ascii="Times New Roman" w:hAnsi="Times New Roman"/>
          <w:noProof/>
          <w:sz w:val="22"/>
          <w:szCs w:val="22"/>
        </w:rPr>
        <w:t>Oestradiol</w:t>
      </w:r>
      <w:r>
        <w:rPr>
          <w:rFonts w:ascii="Times New Roman" w:hAnsi="Times New Roman"/>
          <w:noProof/>
          <w:sz w:val="22"/>
          <w:szCs w:val="22"/>
        </w:rPr>
        <w:t>)</w:t>
      </w:r>
      <w:r w:rsidR="009204F8">
        <w:rPr>
          <w:rFonts w:ascii="Times New Roman" w:hAnsi="Times New Roman"/>
          <w:noProof/>
          <w:sz w:val="22"/>
          <w:szCs w:val="22"/>
        </w:rPr>
        <w:t xml:space="preserve"> and inter-assay coefficient of variation 6.6% at 400 pmol/L, and between-assay coefficient of variation 11% at 110 pmol/L, 13% at 470 pmol/L and 13% at 1160 pmol/L. </w:t>
      </w:r>
    </w:p>
    <w:p w:rsidR="004029B9" w:rsidRDefault="004029B9" w:rsidP="009204F8">
      <w:pPr>
        <w:pStyle w:val="Explnote"/>
        <w:spacing w:line="480" w:lineRule="auto"/>
        <w:ind w:left="0" w:right="20" w:firstLine="360"/>
        <w:jc w:val="both"/>
        <w:rPr>
          <w:rFonts w:ascii="Times New Roman" w:hAnsi="Times New Roman"/>
          <w:noProof/>
          <w:sz w:val="22"/>
          <w:szCs w:val="22"/>
        </w:rPr>
      </w:pPr>
    </w:p>
    <w:p w:rsidR="00835061" w:rsidRPr="00F066A2" w:rsidRDefault="00835061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  <w:u w:val="single"/>
        </w:rPr>
      </w:pPr>
      <w:r w:rsidRPr="00F066A2">
        <w:rPr>
          <w:rFonts w:ascii="Times New Roman" w:hAnsi="Times New Roman"/>
          <w:noProof/>
          <w:sz w:val="22"/>
          <w:szCs w:val="22"/>
          <w:u w:val="single"/>
        </w:rPr>
        <w:t>SHBG and DHEAS</w:t>
      </w:r>
    </w:p>
    <w:p w:rsidR="004029B9" w:rsidRDefault="009204F8" w:rsidP="00F066A2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SHBG and DHEAS were measured by automated enzyme immunoassay. The intra- and inter-assay coefficients of variation for SHBG measures</w:t>
      </w:r>
      <w:r w:rsidR="001653E1">
        <w:rPr>
          <w:rFonts w:ascii="Times New Roman" w:hAnsi="Times New Roman"/>
          <w:noProof/>
          <w:sz w:val="22"/>
          <w:szCs w:val="22"/>
        </w:rPr>
        <w:t xml:space="preserve"> using this instrument</w:t>
      </w:r>
      <w:r>
        <w:rPr>
          <w:rFonts w:ascii="Times New Roman" w:hAnsi="Times New Roman"/>
          <w:noProof/>
          <w:sz w:val="22"/>
          <w:szCs w:val="22"/>
        </w:rPr>
        <w:t xml:space="preserve"> were 3.2% and 11.3% respectively, and for DHEAS measures were 9.5% and 13% respectively.</w:t>
      </w:r>
      <w:r w:rsidR="001653E1">
        <w:rPr>
          <w:rFonts w:ascii="Times New Roman" w:hAnsi="Times New Roman"/>
          <w:noProof/>
          <w:sz w:val="22"/>
          <w:szCs w:val="22"/>
        </w:rPr>
        <w:t xml:space="preserve"> </w:t>
      </w:r>
    </w:p>
    <w:p w:rsidR="00F066A2" w:rsidRDefault="00F066A2" w:rsidP="009204F8">
      <w:pPr>
        <w:pStyle w:val="Explnote"/>
        <w:spacing w:line="480" w:lineRule="auto"/>
        <w:ind w:left="0" w:right="20" w:firstLine="360"/>
        <w:jc w:val="both"/>
        <w:rPr>
          <w:rFonts w:ascii="Times New Roman" w:hAnsi="Times New Roman"/>
          <w:noProof/>
          <w:sz w:val="22"/>
          <w:szCs w:val="22"/>
        </w:rPr>
      </w:pPr>
    </w:p>
    <w:p w:rsidR="00835061" w:rsidRPr="00F066A2" w:rsidRDefault="00835061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  <w:u w:val="single"/>
        </w:rPr>
      </w:pPr>
      <w:r w:rsidRPr="00F066A2">
        <w:rPr>
          <w:rFonts w:ascii="Times New Roman" w:hAnsi="Times New Roman"/>
          <w:noProof/>
          <w:sz w:val="22"/>
          <w:szCs w:val="22"/>
          <w:u w:val="single"/>
        </w:rPr>
        <w:t>Testosterone</w:t>
      </w:r>
    </w:p>
    <w:p w:rsidR="009204F8" w:rsidRDefault="009968C3" w:rsidP="00F066A2">
      <w:pPr>
        <w:pStyle w:val="Explnote"/>
        <w:spacing w:line="480" w:lineRule="auto"/>
        <w:ind w:left="0" w:right="20" w:firstLine="7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T</w:t>
      </w:r>
      <w:r w:rsidR="009204F8">
        <w:rPr>
          <w:rFonts w:ascii="Times New Roman" w:hAnsi="Times New Roman"/>
          <w:noProof/>
          <w:sz w:val="22"/>
          <w:szCs w:val="22"/>
        </w:rPr>
        <w:t xml:space="preserve">otal serum testosterone was measured using double-antibody RIA, after sample sample extraction and polyethalene glycol-enhanced separation of bound from free ligand with </w:t>
      </w:r>
      <w:r w:rsidR="009204F8" w:rsidRPr="00845936">
        <w:rPr>
          <w:rFonts w:ascii="Times New Roman" w:hAnsi="Times New Roman"/>
          <w:noProof/>
          <w:sz w:val="22"/>
          <w:szCs w:val="22"/>
          <w:vertAlign w:val="superscript"/>
        </w:rPr>
        <w:t>125</w:t>
      </w:r>
      <w:r w:rsidR="009204F8">
        <w:rPr>
          <w:rFonts w:ascii="Times New Roman" w:hAnsi="Times New Roman"/>
          <w:noProof/>
          <w:sz w:val="22"/>
          <w:szCs w:val="22"/>
        </w:rPr>
        <w:t xml:space="preserve">Itestisterone (iodinated testosterone) as tracer. The between-assay coefficient of variation at a testosterone level of 2nmol/L was </w:t>
      </w:r>
      <w:r>
        <w:rPr>
          <w:rFonts w:ascii="Times New Roman" w:hAnsi="Times New Roman"/>
          <w:noProof/>
          <w:sz w:val="22"/>
          <w:szCs w:val="22"/>
        </w:rPr>
        <w:t xml:space="preserve">5.8 to </w:t>
      </w:r>
      <w:r w:rsidR="009204F8">
        <w:rPr>
          <w:rFonts w:ascii="Times New Roman" w:hAnsi="Times New Roman"/>
          <w:noProof/>
          <w:sz w:val="22"/>
          <w:szCs w:val="22"/>
        </w:rPr>
        <w:t xml:space="preserve">12%. </w:t>
      </w:r>
      <w:r>
        <w:rPr>
          <w:rFonts w:ascii="Times New Roman" w:hAnsi="Times New Roman"/>
          <w:noProof/>
          <w:sz w:val="22"/>
          <w:szCs w:val="22"/>
        </w:rPr>
        <w:t xml:space="preserve">With an </w:t>
      </w:r>
      <w:r w:rsidR="00C304B2">
        <w:rPr>
          <w:rFonts w:ascii="Times New Roman" w:hAnsi="Times New Roman"/>
          <w:noProof/>
          <w:sz w:val="22"/>
          <w:szCs w:val="22"/>
        </w:rPr>
        <w:t xml:space="preserve">assay range of </w:t>
      </w:r>
      <w:r w:rsidR="00C304B2" w:rsidRPr="00C304B2">
        <w:rPr>
          <w:rFonts w:ascii="Times New Roman" w:hAnsi="Times New Roman"/>
          <w:noProof/>
          <w:sz w:val="22"/>
          <w:szCs w:val="22"/>
        </w:rPr>
        <w:t xml:space="preserve">0.35 – 52.1 nmol/L </w:t>
      </w:r>
      <w:r w:rsidR="00C304B2">
        <w:rPr>
          <w:rFonts w:ascii="Times New Roman" w:hAnsi="Times New Roman"/>
          <w:noProof/>
          <w:sz w:val="22"/>
          <w:szCs w:val="22"/>
        </w:rPr>
        <w:t xml:space="preserve">and a total coefficient of variation of </w:t>
      </w:r>
      <w:r w:rsidR="00C304B2" w:rsidRPr="00C304B2">
        <w:rPr>
          <w:rFonts w:ascii="Times New Roman" w:hAnsi="Times New Roman"/>
          <w:noProof/>
          <w:sz w:val="22"/>
          <w:szCs w:val="22"/>
        </w:rPr>
        <w:t>≤13.3%</w:t>
      </w:r>
      <w:r w:rsidR="003D1349">
        <w:rPr>
          <w:rFonts w:ascii="Times New Roman" w:hAnsi="Times New Roman"/>
          <w:noProof/>
          <w:sz w:val="22"/>
          <w:szCs w:val="22"/>
        </w:rPr>
        <w:t>.</w:t>
      </w:r>
      <w:r w:rsidR="00B11211">
        <w:rPr>
          <w:rFonts w:ascii="Times New Roman" w:hAnsi="Times New Roman"/>
          <w:noProof/>
          <w:sz w:val="22"/>
          <w:szCs w:val="22"/>
        </w:rPr>
        <w:t xml:space="preserve"> </w:t>
      </w:r>
      <w:r w:rsidR="003D1349">
        <w:rPr>
          <w:rFonts w:ascii="Times New Roman" w:hAnsi="Times New Roman"/>
          <w:noProof/>
          <w:sz w:val="22"/>
          <w:szCs w:val="22"/>
        </w:rPr>
        <w:t xml:space="preserve"> </w:t>
      </w:r>
    </w:p>
    <w:p w:rsidR="00282E5B" w:rsidRDefault="00282E5B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</w:rPr>
      </w:pPr>
    </w:p>
    <w:p w:rsidR="00282E5B" w:rsidRPr="00F066A2" w:rsidRDefault="00282E5B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  <w:u w:val="single"/>
        </w:rPr>
      </w:pPr>
      <w:r w:rsidRPr="00F066A2">
        <w:rPr>
          <w:rFonts w:ascii="Times New Roman" w:hAnsi="Times New Roman"/>
          <w:noProof/>
          <w:sz w:val="22"/>
          <w:szCs w:val="22"/>
          <w:u w:val="single"/>
        </w:rPr>
        <w:t>Vitamin D</w:t>
      </w:r>
    </w:p>
    <w:p w:rsidR="00282E5B" w:rsidRDefault="00282E5B" w:rsidP="00F066A2">
      <w:pPr>
        <w:pStyle w:val="Explnote"/>
        <w:spacing w:line="480" w:lineRule="auto"/>
        <w:ind w:left="0" w:right="20"/>
        <w:jc w:val="both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Vitamin D was measured </w:t>
      </w:r>
      <w:r w:rsidR="0006465A">
        <w:rPr>
          <w:rFonts w:ascii="Times New Roman" w:hAnsi="Times New Roman"/>
          <w:noProof/>
          <w:sz w:val="22"/>
          <w:szCs w:val="22"/>
        </w:rPr>
        <w:t>using standard</w:t>
      </w:r>
      <w:r w:rsidR="00024A81">
        <w:rPr>
          <w:rFonts w:ascii="Times New Roman" w:hAnsi="Times New Roman"/>
          <w:noProof/>
          <w:sz w:val="22"/>
          <w:szCs w:val="22"/>
        </w:rPr>
        <w:t xml:space="preserve"> methods</w:t>
      </w:r>
      <w:r w:rsidR="0006465A">
        <w:rPr>
          <w:rFonts w:ascii="Times New Roman" w:hAnsi="Times New Roman"/>
          <w:noProof/>
          <w:sz w:val="22"/>
          <w:szCs w:val="22"/>
        </w:rPr>
        <w:t xml:space="preserve">.  </w:t>
      </w:r>
      <w:r w:rsidR="0034285F">
        <w:rPr>
          <w:rFonts w:ascii="Times New Roman" w:hAnsi="Times New Roman"/>
          <w:noProof/>
          <w:sz w:val="22"/>
          <w:szCs w:val="22"/>
        </w:rPr>
        <w:t xml:space="preserve">The instrument assay range is </w:t>
      </w:r>
      <w:r w:rsidR="0034285F" w:rsidRPr="0034285F">
        <w:rPr>
          <w:rFonts w:ascii="Times New Roman" w:hAnsi="Times New Roman"/>
          <w:noProof/>
          <w:sz w:val="22"/>
          <w:szCs w:val="22"/>
        </w:rPr>
        <w:t>0.0–160.0 ng/mL</w:t>
      </w:r>
      <w:r w:rsidR="0034285F">
        <w:rPr>
          <w:rFonts w:ascii="Times New Roman" w:hAnsi="Times New Roman"/>
          <w:noProof/>
          <w:sz w:val="22"/>
          <w:szCs w:val="22"/>
        </w:rPr>
        <w:t>.</w:t>
      </w:r>
    </w:p>
    <w:p w:rsidR="002719F1" w:rsidRDefault="002719F1"/>
    <w:p w:rsidR="00E822CE" w:rsidRDefault="00E822CE"/>
    <w:p w:rsidR="00E822CE" w:rsidRDefault="00E822CE"/>
    <w:p w:rsidR="00E822CE" w:rsidRDefault="00E822CE"/>
    <w:p w:rsidR="00E822CE" w:rsidRPr="00E822CE" w:rsidRDefault="00E822CE" w:rsidP="008D31C3">
      <w:pPr>
        <w:pStyle w:val="Explnote"/>
        <w:spacing w:line="480" w:lineRule="auto"/>
        <w:ind w:left="0" w:right="20"/>
        <w:jc w:val="center"/>
        <w:rPr>
          <w:rFonts w:ascii="Times New Roman" w:hAnsi="Times New Roman"/>
          <w:b/>
          <w:noProof/>
          <w:sz w:val="22"/>
          <w:szCs w:val="22"/>
        </w:rPr>
      </w:pPr>
      <w:bookmarkStart w:id="0" w:name="_GoBack"/>
      <w:bookmarkEnd w:id="0"/>
      <w:r w:rsidRPr="00E822CE">
        <w:rPr>
          <w:rFonts w:ascii="Times New Roman" w:hAnsi="Times New Roman"/>
          <w:b/>
          <w:noProof/>
          <w:sz w:val="22"/>
          <w:szCs w:val="22"/>
        </w:rPr>
        <w:lastRenderedPageBreak/>
        <w:t>References</w:t>
      </w:r>
    </w:p>
    <w:p w:rsidR="00E822CE" w:rsidRPr="009458D8" w:rsidRDefault="00E822CE" w:rsidP="00E822CE">
      <w:pPr>
        <w:pStyle w:val="EndNoteBibliography"/>
        <w:spacing w:after="0" w:line="480" w:lineRule="auto"/>
        <w:ind w:left="709" w:hanging="720"/>
        <w:rPr>
          <w:rFonts w:ascii="Times New Roman" w:hAnsi="Times New Roman" w:cs="Times New Roman"/>
          <w:sz w:val="24"/>
          <w:szCs w:val="24"/>
        </w:rPr>
      </w:pPr>
      <w:bookmarkStart w:id="1" w:name="_ENREF_52"/>
      <w:r>
        <w:rPr>
          <w:rFonts w:ascii="Times New Roman" w:hAnsi="Times New Roman" w:cs="Times New Roman"/>
          <w:sz w:val="24"/>
          <w:szCs w:val="24"/>
        </w:rPr>
        <w:t>1</w:t>
      </w:r>
      <w:r w:rsidRPr="009458D8">
        <w:rPr>
          <w:rFonts w:ascii="Times New Roman" w:hAnsi="Times New Roman" w:cs="Times New Roman"/>
          <w:sz w:val="24"/>
          <w:szCs w:val="24"/>
        </w:rPr>
        <w:t>. Guthrie JR, Ball M, Dudley EC, Garamszegi CV, Wahlqvist ML, Dennerstein L et al. Impaired fasting glycaemia in middle-aged women: a prospective study. International journal of obesity and related metabolic disorders : journal of the International Association for the Study of Obesity. 2001;25(5):646-51. doi:10.1038/sj.ijo.0801569.</w:t>
      </w:r>
      <w:bookmarkEnd w:id="1"/>
    </w:p>
    <w:p w:rsidR="00E822CE" w:rsidRPr="009458D8" w:rsidRDefault="00E822CE" w:rsidP="00E822CE">
      <w:pPr>
        <w:pStyle w:val="EndNoteBibliography"/>
        <w:spacing w:after="0" w:line="480" w:lineRule="auto"/>
        <w:ind w:left="709" w:hanging="720"/>
        <w:rPr>
          <w:rFonts w:ascii="Times New Roman" w:hAnsi="Times New Roman" w:cs="Times New Roman"/>
          <w:sz w:val="24"/>
          <w:szCs w:val="24"/>
        </w:rPr>
      </w:pPr>
      <w:bookmarkStart w:id="2" w:name="_ENREF_53"/>
      <w:r>
        <w:rPr>
          <w:rFonts w:ascii="Times New Roman" w:hAnsi="Times New Roman" w:cs="Times New Roman"/>
          <w:sz w:val="24"/>
          <w:szCs w:val="24"/>
        </w:rPr>
        <w:t>2</w:t>
      </w:r>
      <w:r w:rsidRPr="009458D8">
        <w:rPr>
          <w:rFonts w:ascii="Times New Roman" w:hAnsi="Times New Roman" w:cs="Times New Roman"/>
          <w:sz w:val="24"/>
          <w:szCs w:val="24"/>
        </w:rPr>
        <w:t>. Guthrie JR, Clark MS, Dennerstein L, Burger HG. Serum C-reactive protein and plasma homocysteine levels are associated with hormone therapy use and other factors: a population-based study of middle-aged Australian-born women. Climacteric : the journal of the International Menopause Society. 2005;8(3):263-70. doi:10.1080/13697130500162611.</w:t>
      </w:r>
      <w:bookmarkEnd w:id="2"/>
    </w:p>
    <w:p w:rsidR="00E822CE" w:rsidRPr="009458D8" w:rsidRDefault="00E822CE" w:rsidP="00E822CE">
      <w:pPr>
        <w:pStyle w:val="EndNoteBibliography"/>
        <w:spacing w:after="0" w:line="480" w:lineRule="auto"/>
        <w:ind w:left="709" w:hanging="720"/>
        <w:rPr>
          <w:rFonts w:ascii="Times New Roman" w:hAnsi="Times New Roman" w:cs="Times New Roman"/>
          <w:sz w:val="24"/>
          <w:szCs w:val="24"/>
        </w:rPr>
      </w:pPr>
      <w:bookmarkStart w:id="3" w:name="_ENREF_19"/>
      <w:r>
        <w:rPr>
          <w:rFonts w:ascii="Times New Roman" w:hAnsi="Times New Roman" w:cs="Times New Roman"/>
          <w:sz w:val="24"/>
          <w:szCs w:val="24"/>
        </w:rPr>
        <w:t>3</w:t>
      </w:r>
      <w:r w:rsidRPr="009458D8">
        <w:rPr>
          <w:rFonts w:ascii="Times New Roman" w:hAnsi="Times New Roman" w:cs="Times New Roman"/>
          <w:sz w:val="24"/>
          <w:szCs w:val="24"/>
        </w:rPr>
        <w:t xml:space="preserve">. Burger HG, Dudley EC, Hopper JL, Shelley JM, Green A, Smith A et al. The endocrinology of the menopausal transition: a cross-sectional study of a population-based sample. J Clin Endocrinol Metab. 1995;80(12):3537-45. </w:t>
      </w:r>
      <w:bookmarkEnd w:id="3"/>
    </w:p>
    <w:p w:rsidR="00E822CE" w:rsidRDefault="00E822CE"/>
    <w:sectPr w:rsidR="00E82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F8"/>
    <w:rsid w:val="00024564"/>
    <w:rsid w:val="00024A81"/>
    <w:rsid w:val="00047326"/>
    <w:rsid w:val="0006465A"/>
    <w:rsid w:val="00091AB5"/>
    <w:rsid w:val="001653E1"/>
    <w:rsid w:val="002014A5"/>
    <w:rsid w:val="002379B5"/>
    <w:rsid w:val="00247D81"/>
    <w:rsid w:val="002719F1"/>
    <w:rsid w:val="00282E5B"/>
    <w:rsid w:val="003309A7"/>
    <w:rsid w:val="0034285F"/>
    <w:rsid w:val="00356788"/>
    <w:rsid w:val="003830FE"/>
    <w:rsid w:val="003D1349"/>
    <w:rsid w:val="003F6288"/>
    <w:rsid w:val="003F75C8"/>
    <w:rsid w:val="004029B9"/>
    <w:rsid w:val="00476062"/>
    <w:rsid w:val="00486A50"/>
    <w:rsid w:val="0048762B"/>
    <w:rsid w:val="004931AC"/>
    <w:rsid w:val="004B0363"/>
    <w:rsid w:val="005C7D09"/>
    <w:rsid w:val="005D0FFC"/>
    <w:rsid w:val="005F3857"/>
    <w:rsid w:val="00642A52"/>
    <w:rsid w:val="006A1309"/>
    <w:rsid w:val="006C417E"/>
    <w:rsid w:val="007D194D"/>
    <w:rsid w:val="007D3D39"/>
    <w:rsid w:val="00835061"/>
    <w:rsid w:val="008B5C6F"/>
    <w:rsid w:val="008D31C3"/>
    <w:rsid w:val="008D523F"/>
    <w:rsid w:val="008F2ED1"/>
    <w:rsid w:val="009204F8"/>
    <w:rsid w:val="00931290"/>
    <w:rsid w:val="0093141B"/>
    <w:rsid w:val="009636B2"/>
    <w:rsid w:val="009968C3"/>
    <w:rsid w:val="009D762E"/>
    <w:rsid w:val="00B11211"/>
    <w:rsid w:val="00B20AE6"/>
    <w:rsid w:val="00BD03A1"/>
    <w:rsid w:val="00C304B2"/>
    <w:rsid w:val="00CA193C"/>
    <w:rsid w:val="00D10216"/>
    <w:rsid w:val="00E41928"/>
    <w:rsid w:val="00E822CE"/>
    <w:rsid w:val="00EB1F1F"/>
    <w:rsid w:val="00ED1D98"/>
    <w:rsid w:val="00EF77A2"/>
    <w:rsid w:val="00F066A2"/>
    <w:rsid w:val="00F30722"/>
    <w:rsid w:val="00F414C8"/>
    <w:rsid w:val="00F5132D"/>
    <w:rsid w:val="00F808EE"/>
    <w:rsid w:val="00FB3108"/>
    <w:rsid w:val="00FC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9049AE-D5AC-4016-8E0E-E6B0816B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lnote">
    <w:name w:val="Expl note"/>
    <w:basedOn w:val="Normal"/>
    <w:rsid w:val="009204F8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Palatino" w:eastAsia="Times New Roman" w:hAnsi="Palatino" w:cs="Times New Roman"/>
      <w:sz w:val="20"/>
      <w:szCs w:val="20"/>
      <w:lang w:val="en-US" w:eastAsia="en-AU"/>
    </w:rPr>
  </w:style>
  <w:style w:type="paragraph" w:customStyle="1" w:styleId="EndNoteBibliography">
    <w:name w:val="EndNote Bibliography"/>
    <w:basedOn w:val="Normal"/>
    <w:link w:val="EndNoteBibliographyChar"/>
    <w:rsid w:val="00E822CE"/>
    <w:pPr>
      <w:spacing w:after="20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822CE"/>
    <w:rPr>
      <w:rFonts w:ascii="Calibri" w:hAnsi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Coulson</dc:creator>
  <cp:keywords/>
  <dc:description/>
  <cp:lastModifiedBy>Melissa Coulson</cp:lastModifiedBy>
  <cp:revision>51</cp:revision>
  <dcterms:created xsi:type="dcterms:W3CDTF">2016-09-16T03:03:00Z</dcterms:created>
  <dcterms:modified xsi:type="dcterms:W3CDTF">2016-09-20T06:41:00Z</dcterms:modified>
</cp:coreProperties>
</file>