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11B" w:rsidRDefault="00C9211B" w:rsidP="008E5291">
      <w:pPr>
        <w:autoSpaceDE w:val="0"/>
        <w:autoSpaceDN w:val="0"/>
        <w:adjustRightInd w:val="0"/>
        <w:spacing w:after="0" w:line="240" w:lineRule="auto"/>
        <w:rPr>
          <w:lang w:val="en-CA"/>
        </w:rPr>
      </w:pPr>
    </w:p>
    <w:p w:rsidR="00C9211B" w:rsidRPr="00EF46A6" w:rsidRDefault="00C9211B" w:rsidP="006B6A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3366FF"/>
          <w:sz w:val="56"/>
          <w:szCs w:val="48"/>
          <w:lang w:val="en-CA" w:eastAsia="en-CA"/>
        </w:rPr>
      </w:pPr>
      <w:r w:rsidRPr="00EF46A6">
        <w:rPr>
          <w:b/>
          <w:bCs/>
          <w:color w:val="3366FF"/>
          <w:sz w:val="56"/>
          <w:szCs w:val="48"/>
          <w:lang w:val="en-CA" w:eastAsia="en-CA"/>
        </w:rPr>
        <w:t>The Acute Kidney Injury (AKI) Follow-up Clinic at St. Michael’s Hospital</w:t>
      </w:r>
    </w:p>
    <w:p w:rsidR="00C9211B" w:rsidRPr="00442F0D" w:rsidRDefault="00C9211B" w:rsidP="009E3537">
      <w:pPr>
        <w:autoSpaceDE w:val="0"/>
        <w:autoSpaceDN w:val="0"/>
        <w:adjustRightInd w:val="0"/>
        <w:spacing w:after="0" w:line="240" w:lineRule="auto"/>
        <w:rPr>
          <w:b/>
          <w:bCs/>
          <w:color w:val="231F20"/>
          <w:sz w:val="32"/>
          <w:szCs w:val="32"/>
          <w:lang w:val="en-CA" w:eastAsia="en-CA"/>
        </w:rPr>
      </w:pPr>
      <w:r w:rsidRPr="00442F0D">
        <w:rPr>
          <w:b/>
          <w:bCs/>
          <w:color w:val="231F20"/>
          <w:sz w:val="32"/>
          <w:szCs w:val="32"/>
          <w:lang w:val="en-CA" w:eastAsia="en-CA"/>
        </w:rPr>
        <w:t>Did you know???</w:t>
      </w:r>
    </w:p>
    <w:p w:rsidR="00C9211B" w:rsidRPr="009D7BDA" w:rsidRDefault="00C9211B" w:rsidP="00442F0D">
      <w:pPr>
        <w:autoSpaceDE w:val="0"/>
        <w:autoSpaceDN w:val="0"/>
        <w:adjustRightInd w:val="0"/>
        <w:spacing w:after="0" w:line="240" w:lineRule="auto"/>
        <w:ind w:left="720"/>
        <w:rPr>
          <w:color w:val="231F20"/>
          <w:sz w:val="32"/>
          <w:szCs w:val="32"/>
          <w:lang w:val="en-CA" w:eastAsia="en-CA"/>
        </w:rPr>
      </w:pPr>
      <w:r w:rsidRPr="009D7BDA">
        <w:rPr>
          <w:color w:val="231F20"/>
          <w:sz w:val="32"/>
          <w:szCs w:val="32"/>
          <w:lang w:val="en-CA" w:eastAsia="en-CA"/>
        </w:rPr>
        <w:sym w:font="Wingdings" w:char="F0E0"/>
      </w:r>
      <w:r w:rsidRPr="009D7BDA">
        <w:rPr>
          <w:color w:val="231F20"/>
          <w:sz w:val="32"/>
          <w:szCs w:val="32"/>
          <w:lang w:val="en-CA" w:eastAsia="en-CA"/>
        </w:rPr>
        <w:t xml:space="preserve">AKI survivors have a </w:t>
      </w:r>
      <w:r w:rsidRPr="00EF46A6">
        <w:rPr>
          <w:i/>
          <w:color w:val="FF0000"/>
          <w:sz w:val="32"/>
          <w:szCs w:val="32"/>
          <w:lang w:val="en-CA" w:eastAsia="en-CA"/>
        </w:rPr>
        <w:t>40%</w:t>
      </w:r>
      <w:r w:rsidR="000A381B" w:rsidRPr="00EF46A6">
        <w:rPr>
          <w:i/>
          <w:color w:val="FF0000"/>
          <w:sz w:val="32"/>
          <w:szCs w:val="32"/>
          <w:lang w:val="en-CA" w:eastAsia="en-CA"/>
        </w:rPr>
        <w:t xml:space="preserve"> increased</w:t>
      </w:r>
      <w:r w:rsidRPr="00EF46A6">
        <w:rPr>
          <w:i/>
          <w:color w:val="FF0000"/>
          <w:sz w:val="32"/>
          <w:szCs w:val="32"/>
          <w:lang w:val="en-CA" w:eastAsia="en-CA"/>
        </w:rPr>
        <w:t xml:space="preserve"> risk of dying </w:t>
      </w:r>
      <w:r w:rsidRPr="009D7BDA">
        <w:rPr>
          <w:color w:val="231F20"/>
          <w:sz w:val="32"/>
          <w:szCs w:val="32"/>
          <w:lang w:val="en-CA" w:eastAsia="en-CA"/>
        </w:rPr>
        <w:t>in the 2 years after the initial hospitalization</w:t>
      </w:r>
      <w:r>
        <w:rPr>
          <w:color w:val="231F20"/>
          <w:sz w:val="32"/>
          <w:szCs w:val="32"/>
          <w:lang w:val="en-CA" w:eastAsia="en-CA"/>
        </w:rPr>
        <w:tab/>
      </w:r>
    </w:p>
    <w:p w:rsidR="00C9211B" w:rsidRPr="009D7BDA" w:rsidRDefault="00C9211B" w:rsidP="00442F0D">
      <w:pPr>
        <w:autoSpaceDE w:val="0"/>
        <w:autoSpaceDN w:val="0"/>
        <w:adjustRightInd w:val="0"/>
        <w:spacing w:after="0" w:line="240" w:lineRule="auto"/>
        <w:ind w:left="720"/>
        <w:rPr>
          <w:color w:val="000000"/>
          <w:sz w:val="32"/>
          <w:szCs w:val="32"/>
          <w:lang w:val="en-CA" w:eastAsia="en-CA"/>
        </w:rPr>
      </w:pPr>
      <w:r w:rsidRPr="009D7BDA">
        <w:rPr>
          <w:sz w:val="32"/>
          <w:szCs w:val="32"/>
        </w:rPr>
        <w:sym w:font="Wingdings" w:char="F0E0"/>
      </w:r>
      <w:r w:rsidRPr="009D7BDA">
        <w:rPr>
          <w:sz w:val="32"/>
          <w:szCs w:val="32"/>
        </w:rPr>
        <w:t xml:space="preserve">AKI is associated with the </w:t>
      </w:r>
      <w:r w:rsidRPr="00EF46A6">
        <w:rPr>
          <w:i/>
          <w:color w:val="FF0000"/>
          <w:sz w:val="32"/>
          <w:szCs w:val="32"/>
        </w:rPr>
        <w:t>development of new or accelerated chronic kidney disease</w:t>
      </w:r>
    </w:p>
    <w:p w:rsidR="00C9211B" w:rsidRPr="009D7BDA" w:rsidRDefault="00C9211B" w:rsidP="00442F0D">
      <w:pPr>
        <w:autoSpaceDE w:val="0"/>
        <w:autoSpaceDN w:val="0"/>
        <w:adjustRightInd w:val="0"/>
        <w:spacing w:after="0" w:line="240" w:lineRule="auto"/>
        <w:ind w:left="720"/>
        <w:rPr>
          <w:sz w:val="32"/>
          <w:szCs w:val="32"/>
          <w:lang w:val="en-CA" w:eastAsia="en-CA"/>
        </w:rPr>
      </w:pPr>
      <w:r w:rsidRPr="009D7BDA">
        <w:rPr>
          <w:sz w:val="32"/>
          <w:szCs w:val="32"/>
          <w:lang w:val="en-CA" w:eastAsia="en-CA"/>
        </w:rPr>
        <w:sym w:font="Wingdings" w:char="F0E0"/>
      </w:r>
      <w:proofErr w:type="gramStart"/>
      <w:r w:rsidRPr="009D7BDA">
        <w:rPr>
          <w:sz w:val="32"/>
          <w:szCs w:val="32"/>
          <w:lang w:val="en-CA" w:eastAsia="en-CA"/>
        </w:rPr>
        <w:t>the</w:t>
      </w:r>
      <w:proofErr w:type="gramEnd"/>
      <w:r w:rsidRPr="009D7BDA">
        <w:rPr>
          <w:sz w:val="32"/>
          <w:szCs w:val="32"/>
          <w:lang w:val="en-CA" w:eastAsia="en-CA"/>
        </w:rPr>
        <w:t xml:space="preserve"> </w:t>
      </w:r>
      <w:r w:rsidRPr="00EF46A6">
        <w:rPr>
          <w:i/>
          <w:color w:val="FF0000"/>
          <w:sz w:val="32"/>
          <w:szCs w:val="32"/>
          <w:lang w:val="en-CA" w:eastAsia="en-CA"/>
        </w:rPr>
        <w:t>association of</w:t>
      </w:r>
      <w:r w:rsidRPr="009D7BDA">
        <w:rPr>
          <w:sz w:val="32"/>
          <w:szCs w:val="32"/>
          <w:lang w:val="en-CA" w:eastAsia="en-CA"/>
        </w:rPr>
        <w:t xml:space="preserve"> </w:t>
      </w:r>
      <w:r w:rsidRPr="00EF46A6">
        <w:rPr>
          <w:i/>
          <w:color w:val="FF0000"/>
          <w:sz w:val="32"/>
          <w:szCs w:val="32"/>
          <w:lang w:val="en-CA" w:eastAsia="en-CA"/>
        </w:rPr>
        <w:t>AKI with long-term mortality</w:t>
      </w:r>
      <w:r w:rsidRPr="009D7BDA">
        <w:rPr>
          <w:sz w:val="32"/>
          <w:szCs w:val="32"/>
          <w:lang w:val="en-CA" w:eastAsia="en-CA"/>
        </w:rPr>
        <w:t xml:space="preserve"> is present even in patients with rapidly reversible AKI</w:t>
      </w:r>
    </w:p>
    <w:p w:rsidR="00C9211B" w:rsidRDefault="00C9211B" w:rsidP="00B66EA1">
      <w:pPr>
        <w:pStyle w:val="NoSpacing"/>
      </w:pPr>
    </w:p>
    <w:p w:rsidR="00C9211B" w:rsidRPr="00EF46A6" w:rsidRDefault="00C9211B" w:rsidP="00EF46A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66"/>
          <w:szCs w:val="66"/>
        </w:rPr>
      </w:pPr>
      <w:proofErr w:type="gramStart"/>
      <w:r w:rsidRPr="00EF46A6">
        <w:rPr>
          <w:sz w:val="66"/>
          <w:szCs w:val="66"/>
        </w:rPr>
        <w:t>After an episode of AKI…</w:t>
      </w:r>
      <w:proofErr w:type="gramEnd"/>
    </w:p>
    <w:p w:rsidR="00C9211B" w:rsidRPr="00EF46A6" w:rsidRDefault="00C9211B" w:rsidP="00EF46A6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3366FF"/>
          <w:sz w:val="76"/>
          <w:szCs w:val="76"/>
        </w:rPr>
      </w:pPr>
      <w:r w:rsidRPr="00EF46A6">
        <w:rPr>
          <w:b/>
          <w:bCs/>
          <w:color w:val="3366FF"/>
          <w:sz w:val="76"/>
          <w:szCs w:val="76"/>
        </w:rPr>
        <w:t>Refer to the AKI Follow-up Clinic</w:t>
      </w:r>
    </w:p>
    <w:p w:rsidR="00EF46A6" w:rsidRPr="00EF46A6" w:rsidRDefault="00EF46A6" w:rsidP="0079166C">
      <w:pPr>
        <w:pStyle w:val="NoSpacing"/>
        <w:rPr>
          <w:sz w:val="28"/>
          <w:szCs w:val="40"/>
        </w:rPr>
      </w:pPr>
    </w:p>
    <w:p w:rsidR="00C9211B" w:rsidRPr="001D0C0A" w:rsidRDefault="00C9211B" w:rsidP="0079166C">
      <w:pPr>
        <w:pStyle w:val="NoSpacing"/>
        <w:rPr>
          <w:sz w:val="40"/>
          <w:szCs w:val="40"/>
        </w:rPr>
      </w:pPr>
      <w:r w:rsidRPr="00EF46A6">
        <w:rPr>
          <w:sz w:val="40"/>
          <w:szCs w:val="40"/>
          <w:u w:val="single"/>
        </w:rPr>
        <w:t>Fax:</w:t>
      </w:r>
      <w:r w:rsidRPr="001D0C0A">
        <w:rPr>
          <w:sz w:val="40"/>
          <w:szCs w:val="40"/>
        </w:rPr>
        <w:t xml:space="preserve"> </w:t>
      </w:r>
      <w:r w:rsidR="00EF46A6">
        <w:rPr>
          <w:sz w:val="40"/>
          <w:szCs w:val="40"/>
        </w:rPr>
        <w:t xml:space="preserve">   </w:t>
      </w:r>
      <w:r w:rsidRPr="001D0C0A">
        <w:rPr>
          <w:sz w:val="40"/>
          <w:szCs w:val="40"/>
        </w:rPr>
        <w:t>416-867-3709</w:t>
      </w:r>
      <w:r>
        <w:rPr>
          <w:sz w:val="40"/>
          <w:szCs w:val="40"/>
        </w:rPr>
        <w:tab/>
      </w:r>
      <w:r w:rsidRPr="00EF46A6">
        <w:rPr>
          <w:sz w:val="40"/>
          <w:szCs w:val="40"/>
          <w:u w:val="single"/>
        </w:rPr>
        <w:t>Tel:</w:t>
      </w:r>
      <w:r>
        <w:rPr>
          <w:sz w:val="40"/>
          <w:szCs w:val="40"/>
        </w:rPr>
        <w:tab/>
      </w:r>
      <w:r w:rsidRPr="001D0C0A">
        <w:rPr>
          <w:sz w:val="40"/>
          <w:szCs w:val="40"/>
        </w:rPr>
        <w:t xml:space="preserve"> 416-867-</w:t>
      </w:r>
      <w:bookmarkStart w:id="0" w:name="_GoBack"/>
      <w:bookmarkEnd w:id="0"/>
      <w:r>
        <w:rPr>
          <w:sz w:val="40"/>
          <w:szCs w:val="40"/>
        </w:rPr>
        <w:t xml:space="preserve">7460 </w:t>
      </w:r>
      <w:r w:rsidR="00EF46A6">
        <w:rPr>
          <w:sz w:val="40"/>
          <w:szCs w:val="40"/>
        </w:rPr>
        <w:t>(</w:t>
      </w:r>
      <w:r>
        <w:rPr>
          <w:sz w:val="40"/>
          <w:szCs w:val="40"/>
        </w:rPr>
        <w:t>ext</w:t>
      </w:r>
      <w:r w:rsidR="00EF46A6">
        <w:rPr>
          <w:sz w:val="40"/>
          <w:szCs w:val="40"/>
        </w:rPr>
        <w:t>.</w:t>
      </w:r>
      <w:r>
        <w:rPr>
          <w:sz w:val="40"/>
          <w:szCs w:val="40"/>
        </w:rPr>
        <w:t xml:space="preserve"> 8209</w:t>
      </w:r>
      <w:r w:rsidR="00EF46A6">
        <w:rPr>
          <w:sz w:val="40"/>
          <w:szCs w:val="40"/>
        </w:rPr>
        <w:t>)</w:t>
      </w:r>
    </w:p>
    <w:p w:rsidR="00C9211B" w:rsidRDefault="00C9211B" w:rsidP="00F24D3C">
      <w:pPr>
        <w:pStyle w:val="NoSpacing"/>
        <w:rPr>
          <w:sz w:val="40"/>
          <w:szCs w:val="40"/>
        </w:rPr>
      </w:pPr>
      <w:r w:rsidRPr="00EF46A6">
        <w:rPr>
          <w:sz w:val="40"/>
          <w:szCs w:val="40"/>
          <w:u w:val="single"/>
        </w:rPr>
        <w:t>Email:</w:t>
      </w:r>
      <w:r>
        <w:rPr>
          <w:sz w:val="40"/>
          <w:szCs w:val="40"/>
        </w:rPr>
        <w:t xml:space="preserve"> </w:t>
      </w:r>
      <w:hyperlink r:id="rId7" w:history="1">
        <w:r w:rsidR="00F24D3C" w:rsidRPr="00466771">
          <w:rPr>
            <w:rStyle w:val="Hyperlink"/>
            <w:sz w:val="40"/>
            <w:szCs w:val="40"/>
          </w:rPr>
          <w:t>akiclinic@smh.ca</w:t>
        </w:r>
      </w:hyperlink>
      <w:r w:rsidR="00F24D3C">
        <w:rPr>
          <w:sz w:val="40"/>
          <w:szCs w:val="40"/>
        </w:rPr>
        <w:t xml:space="preserve"> </w:t>
      </w:r>
    </w:p>
    <w:p w:rsidR="00C9211B" w:rsidRDefault="00C9211B" w:rsidP="00394D76">
      <w:pPr>
        <w:pStyle w:val="NoSpacing"/>
        <w:jc w:val="center"/>
        <w:rPr>
          <w:sz w:val="40"/>
          <w:szCs w:val="40"/>
        </w:rPr>
      </w:pPr>
    </w:p>
    <w:p w:rsidR="00C9211B" w:rsidRPr="00275CCC" w:rsidRDefault="00C9211B" w:rsidP="00394D76">
      <w:pPr>
        <w:pStyle w:val="NoSpacing"/>
        <w:jc w:val="center"/>
        <w:rPr>
          <w:sz w:val="40"/>
          <w:szCs w:val="40"/>
          <w:u w:val="single"/>
        </w:rPr>
      </w:pPr>
      <w:r w:rsidRPr="00275CCC">
        <w:rPr>
          <w:sz w:val="40"/>
          <w:szCs w:val="40"/>
          <w:u w:val="single"/>
        </w:rPr>
        <w:t>All patients with an episode of AKI should be considered for</w:t>
      </w:r>
      <w:r w:rsidR="003215A4">
        <w:rPr>
          <w:sz w:val="40"/>
          <w:szCs w:val="40"/>
          <w:u w:val="single"/>
        </w:rPr>
        <w:t xml:space="preserve"> post-discharge n</w:t>
      </w:r>
      <w:r w:rsidR="009A4452">
        <w:rPr>
          <w:sz w:val="40"/>
          <w:szCs w:val="40"/>
          <w:u w:val="single"/>
        </w:rPr>
        <w:t>ephrology care</w:t>
      </w:r>
    </w:p>
    <w:p w:rsidR="00C9211B" w:rsidRDefault="00C9211B" w:rsidP="00B66EA1">
      <w:pPr>
        <w:pStyle w:val="NoSpacing"/>
      </w:pPr>
    </w:p>
    <w:p w:rsidR="00EF46A6" w:rsidRDefault="00EF46A6" w:rsidP="00B66EA1">
      <w:pPr>
        <w:pStyle w:val="NoSpacing"/>
        <w:rPr>
          <w:b/>
          <w:bCs/>
          <w:sz w:val="26"/>
          <w:szCs w:val="26"/>
        </w:rPr>
      </w:pPr>
    </w:p>
    <w:p w:rsidR="00C9211B" w:rsidRPr="00EF46A6" w:rsidRDefault="00C9211B" w:rsidP="00B66EA1">
      <w:pPr>
        <w:pStyle w:val="NoSpacing"/>
        <w:rPr>
          <w:b/>
          <w:bCs/>
          <w:i/>
          <w:sz w:val="26"/>
          <w:szCs w:val="26"/>
        </w:rPr>
      </w:pPr>
      <w:r w:rsidRPr="00EF46A6">
        <w:rPr>
          <w:b/>
          <w:bCs/>
          <w:i/>
          <w:sz w:val="26"/>
          <w:szCs w:val="26"/>
        </w:rPr>
        <w:t>Referra</w:t>
      </w:r>
      <w:r w:rsidR="00A531E8" w:rsidRPr="00EF46A6">
        <w:rPr>
          <w:b/>
          <w:bCs/>
          <w:i/>
          <w:sz w:val="26"/>
          <w:szCs w:val="26"/>
        </w:rPr>
        <w:t xml:space="preserve">l criteria (even if </w:t>
      </w:r>
      <w:r w:rsidRPr="00EF46A6">
        <w:rPr>
          <w:b/>
          <w:bCs/>
          <w:i/>
          <w:sz w:val="26"/>
          <w:szCs w:val="26"/>
        </w:rPr>
        <w:t>partially or completely recovered kidney function):</w:t>
      </w:r>
    </w:p>
    <w:p w:rsidR="00C9211B" w:rsidRDefault="00C9211B" w:rsidP="003B0C46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2A21DF">
        <w:rPr>
          <w:sz w:val="26"/>
          <w:szCs w:val="26"/>
        </w:rPr>
        <w:t>doubling of serum creatinine during hospitalization or from known pre-admission baseline</w:t>
      </w:r>
    </w:p>
    <w:p w:rsidR="0047206F" w:rsidRPr="002A21DF" w:rsidRDefault="0047206F" w:rsidP="003B0C46">
      <w:pPr>
        <w:pStyle w:val="NoSpacing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creatinine over 354µmol/L during an AKI episode</w:t>
      </w:r>
    </w:p>
    <w:p w:rsidR="00C9211B" w:rsidRPr="002A21DF" w:rsidRDefault="00C9211B" w:rsidP="003B0C46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2A21DF">
        <w:rPr>
          <w:sz w:val="26"/>
          <w:szCs w:val="26"/>
        </w:rPr>
        <w:t>requirement for any dialysis to manage AKI</w:t>
      </w:r>
    </w:p>
    <w:p w:rsidR="00EF46A6" w:rsidRDefault="00EF46A6" w:rsidP="00A531E8">
      <w:pPr>
        <w:pStyle w:val="NoSpacing"/>
        <w:ind w:left="360" w:hanging="360"/>
        <w:rPr>
          <w:b/>
          <w:bCs/>
          <w:sz w:val="26"/>
          <w:szCs w:val="26"/>
        </w:rPr>
      </w:pPr>
    </w:p>
    <w:p w:rsidR="00C9211B" w:rsidRDefault="00C9211B" w:rsidP="00A531E8">
      <w:pPr>
        <w:pStyle w:val="NoSpacing"/>
        <w:ind w:left="360" w:hanging="360"/>
        <w:rPr>
          <w:b/>
          <w:bCs/>
          <w:i/>
          <w:sz w:val="26"/>
          <w:szCs w:val="26"/>
        </w:rPr>
      </w:pPr>
      <w:r w:rsidRPr="00EF46A6">
        <w:rPr>
          <w:b/>
          <w:bCs/>
          <w:i/>
          <w:sz w:val="26"/>
          <w:szCs w:val="26"/>
        </w:rPr>
        <w:t>Exclusion criteria:</w:t>
      </w:r>
    </w:p>
    <w:p w:rsidR="003215A4" w:rsidRPr="003215A4" w:rsidRDefault="003215A4" w:rsidP="003215A4">
      <w:pPr>
        <w:pStyle w:val="NoSpacing"/>
        <w:numPr>
          <w:ilvl w:val="0"/>
          <w:numId w:val="7"/>
        </w:numPr>
        <w:rPr>
          <w:sz w:val="26"/>
          <w:szCs w:val="26"/>
        </w:rPr>
      </w:pPr>
      <w:r w:rsidRPr="002A21DF">
        <w:rPr>
          <w:sz w:val="26"/>
          <w:szCs w:val="26"/>
        </w:rPr>
        <w:t>kidney transplant recipients</w:t>
      </w:r>
    </w:p>
    <w:p w:rsidR="00613406" w:rsidRPr="00EF46A6" w:rsidRDefault="001812C6" w:rsidP="00613406">
      <w:pPr>
        <w:pStyle w:val="NoSpacing"/>
        <w:numPr>
          <w:ilvl w:val="0"/>
          <w:numId w:val="7"/>
        </w:numPr>
        <w:rPr>
          <w:b/>
          <w:bCs/>
          <w:i/>
          <w:sz w:val="26"/>
          <w:szCs w:val="26"/>
        </w:rPr>
      </w:pPr>
      <w:r>
        <w:rPr>
          <w:bCs/>
          <w:sz w:val="26"/>
          <w:szCs w:val="26"/>
        </w:rPr>
        <w:t>s</w:t>
      </w:r>
      <w:r w:rsidR="00613406">
        <w:rPr>
          <w:bCs/>
          <w:sz w:val="26"/>
          <w:szCs w:val="26"/>
        </w:rPr>
        <w:t>evere pre-existing CKD</w:t>
      </w:r>
      <w:r w:rsidR="004B2A43">
        <w:rPr>
          <w:bCs/>
          <w:sz w:val="26"/>
          <w:szCs w:val="26"/>
        </w:rPr>
        <w:t xml:space="preserve"> (b</w:t>
      </w:r>
      <w:r w:rsidR="00F0474C">
        <w:rPr>
          <w:bCs/>
          <w:sz w:val="26"/>
          <w:szCs w:val="26"/>
        </w:rPr>
        <w:t xml:space="preserve">aseline </w:t>
      </w:r>
      <w:proofErr w:type="spellStart"/>
      <w:r w:rsidR="00F0474C">
        <w:rPr>
          <w:bCs/>
          <w:sz w:val="26"/>
          <w:szCs w:val="26"/>
        </w:rPr>
        <w:t>eGFR</w:t>
      </w:r>
      <w:proofErr w:type="spellEnd"/>
      <w:r w:rsidR="00F0474C">
        <w:rPr>
          <w:bCs/>
          <w:sz w:val="26"/>
          <w:szCs w:val="26"/>
        </w:rPr>
        <w:t>&lt;</w:t>
      </w:r>
      <w:r w:rsidR="003215A4">
        <w:rPr>
          <w:bCs/>
          <w:sz w:val="26"/>
          <w:szCs w:val="26"/>
        </w:rPr>
        <w:t>30mL</w:t>
      </w:r>
      <w:r w:rsidR="004B2A43">
        <w:rPr>
          <w:bCs/>
          <w:sz w:val="26"/>
          <w:szCs w:val="26"/>
        </w:rPr>
        <w:t>/min</w:t>
      </w:r>
      <w:r w:rsidR="003215A4">
        <w:rPr>
          <w:bCs/>
          <w:sz w:val="26"/>
          <w:szCs w:val="26"/>
        </w:rPr>
        <w:t>/1.73m</w:t>
      </w:r>
      <w:r w:rsidR="003215A4" w:rsidRPr="003215A4">
        <w:rPr>
          <w:bCs/>
          <w:sz w:val="26"/>
          <w:szCs w:val="26"/>
          <w:vertAlign w:val="superscript"/>
        </w:rPr>
        <w:t>2</w:t>
      </w:r>
      <w:r w:rsidR="004B2A43">
        <w:rPr>
          <w:bCs/>
          <w:sz w:val="26"/>
          <w:szCs w:val="26"/>
        </w:rPr>
        <w:t>)</w:t>
      </w:r>
    </w:p>
    <w:p w:rsidR="00C9211B" w:rsidRDefault="00C9211B" w:rsidP="003B0C46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2A21DF">
        <w:rPr>
          <w:sz w:val="26"/>
          <w:szCs w:val="26"/>
        </w:rPr>
        <w:t>diagnosis of glomerulonephritis, vasculitis, HUS/TTP, polycystic kidney disease</w:t>
      </w:r>
      <w:r w:rsidR="003215A4">
        <w:rPr>
          <w:sz w:val="26"/>
          <w:szCs w:val="26"/>
        </w:rPr>
        <w:t>, myeloma</w:t>
      </w:r>
    </w:p>
    <w:p w:rsidR="003215A4" w:rsidRPr="002A21DF" w:rsidRDefault="003215A4" w:rsidP="003B0C46">
      <w:pPr>
        <w:pStyle w:val="NoSpacing"/>
        <w:numPr>
          <w:ilvl w:val="0"/>
          <w:numId w:val="5"/>
        </w:numPr>
        <w:rPr>
          <w:sz w:val="26"/>
          <w:szCs w:val="26"/>
        </w:rPr>
      </w:pPr>
      <w:r>
        <w:rPr>
          <w:sz w:val="26"/>
          <w:szCs w:val="26"/>
        </w:rPr>
        <w:t>palliation as primary goal of care</w:t>
      </w:r>
    </w:p>
    <w:p w:rsidR="00C9211B" w:rsidRPr="002A21DF" w:rsidRDefault="00C9211B" w:rsidP="003B0C46">
      <w:pPr>
        <w:pStyle w:val="NoSpacing"/>
        <w:numPr>
          <w:ilvl w:val="0"/>
          <w:numId w:val="5"/>
        </w:numPr>
        <w:rPr>
          <w:sz w:val="26"/>
          <w:szCs w:val="26"/>
        </w:rPr>
      </w:pPr>
      <w:r w:rsidRPr="002A21DF">
        <w:rPr>
          <w:sz w:val="26"/>
          <w:szCs w:val="26"/>
        </w:rPr>
        <w:t>patien</w:t>
      </w:r>
      <w:r w:rsidR="003215A4">
        <w:rPr>
          <w:sz w:val="26"/>
          <w:szCs w:val="26"/>
        </w:rPr>
        <w:t>ts with previously established n</w:t>
      </w:r>
      <w:r w:rsidRPr="002A21DF">
        <w:rPr>
          <w:sz w:val="26"/>
          <w:szCs w:val="26"/>
        </w:rPr>
        <w:t>ephrology follow-up (including need for dialysis post-discharge</w:t>
      </w:r>
      <w:r w:rsidR="00E35049">
        <w:rPr>
          <w:sz w:val="26"/>
          <w:szCs w:val="26"/>
        </w:rPr>
        <w:t>)</w:t>
      </w:r>
    </w:p>
    <w:sectPr w:rsidR="00C9211B" w:rsidRPr="002A21DF" w:rsidSect="00EF46A6">
      <w:headerReference w:type="default" r:id="rId8"/>
      <w:pgSz w:w="12240" w:h="15840"/>
      <w:pgMar w:top="1276" w:right="900" w:bottom="709" w:left="993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6CF" w:rsidRDefault="00AF06CF" w:rsidP="00074CEC">
      <w:pPr>
        <w:spacing w:after="0" w:line="240" w:lineRule="auto"/>
      </w:pPr>
      <w:r>
        <w:separator/>
      </w:r>
    </w:p>
  </w:endnote>
  <w:endnote w:type="continuationSeparator" w:id="0">
    <w:p w:rsidR="00AF06CF" w:rsidRDefault="00AF06CF" w:rsidP="00074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6CF" w:rsidRDefault="00AF06CF" w:rsidP="00074CEC">
      <w:pPr>
        <w:spacing w:after="0" w:line="240" w:lineRule="auto"/>
      </w:pPr>
      <w:r>
        <w:separator/>
      </w:r>
    </w:p>
  </w:footnote>
  <w:footnote w:type="continuationSeparator" w:id="0">
    <w:p w:rsidR="00AF06CF" w:rsidRDefault="00AF06CF" w:rsidP="00074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11B" w:rsidRDefault="00F80645">
    <w:pPr>
      <w:pStyle w:val="Header"/>
    </w:pPr>
    <w:r>
      <w:rPr>
        <w:noProof/>
        <w:lang w:val="en-CA" w:eastAsia="en-CA"/>
      </w:rPr>
      <w:drawing>
        <wp:inline distT="0" distB="0" distL="0" distR="0">
          <wp:extent cx="1285875" cy="523875"/>
          <wp:effectExtent l="0" t="0" r="9525" b="9525"/>
          <wp:docPr id="1" name="Picture 1" descr="SM_logoTagline_stkd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M_logoTagline_stkd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67831"/>
    <w:multiLevelType w:val="hybridMultilevel"/>
    <w:tmpl w:val="9EB404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535F4"/>
    <w:multiLevelType w:val="hybridMultilevel"/>
    <w:tmpl w:val="1EB2DA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DA4423"/>
    <w:multiLevelType w:val="hybridMultilevel"/>
    <w:tmpl w:val="7AC669F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2A115C"/>
    <w:multiLevelType w:val="hybridMultilevel"/>
    <w:tmpl w:val="2E82A41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586780"/>
    <w:multiLevelType w:val="hybridMultilevel"/>
    <w:tmpl w:val="AF70EC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35464"/>
    <w:multiLevelType w:val="multilevel"/>
    <w:tmpl w:val="AF70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020A23"/>
    <w:multiLevelType w:val="hybridMultilevel"/>
    <w:tmpl w:val="266432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A754B2"/>
    <w:rsid w:val="00026017"/>
    <w:rsid w:val="00074CEC"/>
    <w:rsid w:val="00090BB8"/>
    <w:rsid w:val="000A381B"/>
    <w:rsid w:val="000A7D67"/>
    <w:rsid w:val="000D6B73"/>
    <w:rsid w:val="000E7A2A"/>
    <w:rsid w:val="00157F9E"/>
    <w:rsid w:val="001812C6"/>
    <w:rsid w:val="001968F2"/>
    <w:rsid w:val="001A0E51"/>
    <w:rsid w:val="001A2760"/>
    <w:rsid w:val="001D0C0A"/>
    <w:rsid w:val="001E7377"/>
    <w:rsid w:val="001F4717"/>
    <w:rsid w:val="00215480"/>
    <w:rsid w:val="0024707B"/>
    <w:rsid w:val="00262B0B"/>
    <w:rsid w:val="00275CCC"/>
    <w:rsid w:val="00285D35"/>
    <w:rsid w:val="00290AF8"/>
    <w:rsid w:val="0029596B"/>
    <w:rsid w:val="002A21DF"/>
    <w:rsid w:val="002C3059"/>
    <w:rsid w:val="002D6B14"/>
    <w:rsid w:val="003215A4"/>
    <w:rsid w:val="0032352A"/>
    <w:rsid w:val="00365C20"/>
    <w:rsid w:val="00394D76"/>
    <w:rsid w:val="003B0C46"/>
    <w:rsid w:val="003C40F6"/>
    <w:rsid w:val="003C6BEF"/>
    <w:rsid w:val="003E4531"/>
    <w:rsid w:val="003F2656"/>
    <w:rsid w:val="00437C6F"/>
    <w:rsid w:val="00442F0D"/>
    <w:rsid w:val="004536A4"/>
    <w:rsid w:val="0046223E"/>
    <w:rsid w:val="0047206F"/>
    <w:rsid w:val="004B2A43"/>
    <w:rsid w:val="004B583E"/>
    <w:rsid w:val="00501A11"/>
    <w:rsid w:val="00510C39"/>
    <w:rsid w:val="00527C12"/>
    <w:rsid w:val="00527D9C"/>
    <w:rsid w:val="00552937"/>
    <w:rsid w:val="0056314A"/>
    <w:rsid w:val="005B2C2F"/>
    <w:rsid w:val="006105DA"/>
    <w:rsid w:val="00613406"/>
    <w:rsid w:val="00623072"/>
    <w:rsid w:val="00630339"/>
    <w:rsid w:val="006571AE"/>
    <w:rsid w:val="00675AEC"/>
    <w:rsid w:val="006A1974"/>
    <w:rsid w:val="006B6AF9"/>
    <w:rsid w:val="006C511D"/>
    <w:rsid w:val="006C5F78"/>
    <w:rsid w:val="006F7950"/>
    <w:rsid w:val="00766D2D"/>
    <w:rsid w:val="0079166C"/>
    <w:rsid w:val="007B3CF8"/>
    <w:rsid w:val="007E1466"/>
    <w:rsid w:val="00820779"/>
    <w:rsid w:val="00842CC4"/>
    <w:rsid w:val="00842F5C"/>
    <w:rsid w:val="00850247"/>
    <w:rsid w:val="008D3609"/>
    <w:rsid w:val="008E5291"/>
    <w:rsid w:val="008E5A85"/>
    <w:rsid w:val="00902F92"/>
    <w:rsid w:val="00915584"/>
    <w:rsid w:val="0099599E"/>
    <w:rsid w:val="009A4452"/>
    <w:rsid w:val="009A48B0"/>
    <w:rsid w:val="009D7BDA"/>
    <w:rsid w:val="009E239B"/>
    <w:rsid w:val="009E3537"/>
    <w:rsid w:val="00A05491"/>
    <w:rsid w:val="00A276CF"/>
    <w:rsid w:val="00A531E8"/>
    <w:rsid w:val="00A5594C"/>
    <w:rsid w:val="00A62215"/>
    <w:rsid w:val="00A754B2"/>
    <w:rsid w:val="00A9619A"/>
    <w:rsid w:val="00AC1521"/>
    <w:rsid w:val="00AF06CF"/>
    <w:rsid w:val="00B15225"/>
    <w:rsid w:val="00B66EA1"/>
    <w:rsid w:val="00BB755F"/>
    <w:rsid w:val="00C7337F"/>
    <w:rsid w:val="00C83A84"/>
    <w:rsid w:val="00C9211B"/>
    <w:rsid w:val="00C93315"/>
    <w:rsid w:val="00CC2A1B"/>
    <w:rsid w:val="00D82BF1"/>
    <w:rsid w:val="00D966C0"/>
    <w:rsid w:val="00DA083E"/>
    <w:rsid w:val="00DB10BF"/>
    <w:rsid w:val="00DE707E"/>
    <w:rsid w:val="00E00CB1"/>
    <w:rsid w:val="00E15BD7"/>
    <w:rsid w:val="00E35049"/>
    <w:rsid w:val="00E42ED4"/>
    <w:rsid w:val="00E82326"/>
    <w:rsid w:val="00E828B0"/>
    <w:rsid w:val="00EE493F"/>
    <w:rsid w:val="00EF46A6"/>
    <w:rsid w:val="00F0474C"/>
    <w:rsid w:val="00F24D3C"/>
    <w:rsid w:val="00F46914"/>
    <w:rsid w:val="00F55D8E"/>
    <w:rsid w:val="00F80645"/>
    <w:rsid w:val="00F8109F"/>
    <w:rsid w:val="00F87611"/>
    <w:rsid w:val="00F91FBC"/>
    <w:rsid w:val="00FD1139"/>
    <w:rsid w:val="00FE7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EA1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754B2"/>
    <w:rPr>
      <w:rFonts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074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CEC"/>
    <w:rPr>
      <w:rFonts w:ascii="Calibri" w:eastAsia="Times New Roman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074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CEC"/>
    <w:rPr>
      <w:rFonts w:ascii="Calibri" w:eastAsia="Times New Roman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74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CEC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rsid w:val="00394D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EA1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754B2"/>
    <w:rPr>
      <w:rFonts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074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CEC"/>
    <w:rPr>
      <w:rFonts w:ascii="Calibri" w:eastAsia="Times New Roman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074C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CEC"/>
    <w:rPr>
      <w:rFonts w:ascii="Calibri" w:eastAsia="Times New Roman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74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CEC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rsid w:val="00394D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kiclinic@smh.ca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</vt:lpstr>
    </vt:vector>
  </TitlesOfParts>
  <Company>St. Michael's Hospital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creator>Samuel Silver</dc:creator>
  <cp:lastModifiedBy>Samuel Silver</cp:lastModifiedBy>
  <cp:revision>11</cp:revision>
  <dcterms:created xsi:type="dcterms:W3CDTF">2013-10-16T18:15:00Z</dcterms:created>
  <dcterms:modified xsi:type="dcterms:W3CDTF">2015-04-03T13:37:00Z</dcterms:modified>
</cp:coreProperties>
</file>