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7CAA" w14:textId="77777777" w:rsidR="00EA4CDD" w:rsidRPr="00E7472A" w:rsidRDefault="00EA4CDD" w:rsidP="00EA4CDD">
      <w:pPr>
        <w:spacing w:beforeLines="50" w:afterLines="50" w:after="120" w:line="240" w:lineRule="auto"/>
        <w:rPr>
          <w:rFonts w:eastAsia="SimSun" w:cs="Times New Roman"/>
          <w:b/>
          <w:sz w:val="21"/>
          <w:szCs w:val="21"/>
        </w:rPr>
      </w:pPr>
      <w:r w:rsidRPr="00E7472A">
        <w:rPr>
          <w:rFonts w:eastAsia="SimSun" w:cs="Times New Roman"/>
          <w:b/>
          <w:sz w:val="21"/>
          <w:szCs w:val="21"/>
        </w:rPr>
        <w:t xml:space="preserve">Table </w:t>
      </w:r>
      <w:r>
        <w:rPr>
          <w:rFonts w:eastAsia="SimSun" w:cs="Times New Roman"/>
          <w:b/>
          <w:sz w:val="21"/>
          <w:szCs w:val="21"/>
        </w:rPr>
        <w:t>S1</w:t>
      </w:r>
      <w:r w:rsidRPr="00E7472A">
        <w:rPr>
          <w:rFonts w:eastAsia="SimSun" w:cs="Times New Roman"/>
          <w:b/>
          <w:sz w:val="21"/>
          <w:szCs w:val="21"/>
        </w:rPr>
        <w:t>. Anatomical regions with significant cerebrovascular reactivity differences among CS, PS and HC groups.</w:t>
      </w:r>
    </w:p>
    <w:tbl>
      <w:tblPr>
        <w:tblStyle w:val="3"/>
        <w:tblW w:w="8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2135"/>
        <w:gridCol w:w="2298"/>
        <w:gridCol w:w="1478"/>
      </w:tblGrid>
      <w:tr w:rsidR="00EA4CDD" w:rsidRPr="00E7472A" w14:paraId="7A8CAAC1" w14:textId="77777777" w:rsidTr="006B420B">
        <w:trPr>
          <w:trHeight w:val="340"/>
        </w:trPr>
        <w:tc>
          <w:tcPr>
            <w:tcW w:w="2300" w:type="dxa"/>
            <w:tcBorders>
              <w:top w:val="single" w:sz="4" w:space="0" w:color="auto"/>
            </w:tcBorders>
            <w:vAlign w:val="center"/>
          </w:tcPr>
          <w:p w14:paraId="2E0E8EF4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  <w:t>Anatomical regions</w:t>
            </w:r>
          </w:p>
        </w:tc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EF097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  <w:t>Cluster size (Voxels)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0DBC6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  <w:t>Peak MNI coordinate</w:t>
            </w:r>
            <w:r w:rsidRPr="00E7472A">
              <w:rPr>
                <w:rFonts w:eastAsia="SimSun"/>
                <w:b/>
                <w:bCs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0BC8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  <w:t xml:space="preserve">Peak </w:t>
            </w:r>
            <w:r w:rsidRPr="00E7472A">
              <w:rPr>
                <w:rFonts w:eastAsia="SimSun"/>
                <w:b/>
                <w:bCs/>
                <w:i/>
                <w:iCs/>
                <w:sz w:val="18"/>
                <w:szCs w:val="18"/>
                <w14:ligatures w14:val="standardContextual"/>
              </w:rPr>
              <w:t>F</w:t>
            </w:r>
            <w:r w:rsidRPr="00E7472A">
              <w:rPr>
                <w:rFonts w:eastAsia="SimSun"/>
                <w:b/>
                <w:bCs/>
                <w:sz w:val="18"/>
                <w:szCs w:val="18"/>
                <w14:ligatures w14:val="standardContextual"/>
              </w:rPr>
              <w:t xml:space="preserve"> value</w:t>
            </w:r>
            <w:r w:rsidRPr="00E7472A">
              <w:rPr>
                <w:rFonts w:eastAsia="Yu Gothic"/>
                <w:b/>
                <w:bCs/>
                <w:sz w:val="18"/>
                <w:szCs w:val="18"/>
                <w:vertAlign w:val="superscript"/>
                <w14:ligatures w14:val="standardContextual"/>
              </w:rPr>
              <w:t>†</w:t>
            </w:r>
          </w:p>
        </w:tc>
      </w:tr>
      <w:tr w:rsidR="00EA4CDD" w:rsidRPr="00E7472A" w14:paraId="294DD891" w14:textId="77777777" w:rsidTr="006B420B">
        <w:trPr>
          <w:trHeight w:val="454"/>
        </w:trPr>
        <w:tc>
          <w:tcPr>
            <w:tcW w:w="2300" w:type="dxa"/>
            <w:tcBorders>
              <w:top w:val="single" w:sz="4" w:space="0" w:color="auto"/>
            </w:tcBorders>
            <w:vAlign w:val="center"/>
          </w:tcPr>
          <w:p w14:paraId="017FA9AD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Bi.LG</w:t>
            </w:r>
            <w:proofErr w:type="spellEnd"/>
            <w:proofErr w:type="gramEnd"/>
            <w:r w:rsidRPr="00E7472A">
              <w:rPr>
                <w:rFonts w:eastAsia="DengXian"/>
                <w:sz w:val="18"/>
                <w:szCs w:val="18"/>
              </w:rPr>
              <w:t>/Cuneus</w:t>
            </w:r>
          </w:p>
        </w:tc>
        <w:tc>
          <w:tcPr>
            <w:tcW w:w="2135" w:type="dxa"/>
            <w:tcBorders>
              <w:top w:val="single" w:sz="4" w:space="0" w:color="auto"/>
            </w:tcBorders>
            <w:vAlign w:val="center"/>
          </w:tcPr>
          <w:p w14:paraId="199CFEBB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1472</w:t>
            </w:r>
          </w:p>
        </w:tc>
        <w:tc>
          <w:tcPr>
            <w:tcW w:w="2298" w:type="dxa"/>
            <w:tcBorders>
              <w:top w:val="single" w:sz="4" w:space="0" w:color="auto"/>
            </w:tcBorders>
            <w:vAlign w:val="center"/>
          </w:tcPr>
          <w:p w14:paraId="36E51E35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18, -87, -12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0EC4A72B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22.81</w:t>
            </w:r>
          </w:p>
        </w:tc>
      </w:tr>
      <w:tr w:rsidR="00EA4CDD" w:rsidRPr="00E7472A" w14:paraId="7E598093" w14:textId="77777777" w:rsidTr="006B420B">
        <w:trPr>
          <w:trHeight w:val="454"/>
        </w:trPr>
        <w:tc>
          <w:tcPr>
            <w:tcW w:w="2300" w:type="dxa"/>
            <w:vAlign w:val="center"/>
          </w:tcPr>
          <w:p w14:paraId="2A79F224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Bi.medFC</w:t>
            </w:r>
            <w:proofErr w:type="spellEnd"/>
            <w:proofErr w:type="gramEnd"/>
          </w:p>
        </w:tc>
        <w:tc>
          <w:tcPr>
            <w:tcW w:w="2135" w:type="dxa"/>
            <w:vAlign w:val="center"/>
          </w:tcPr>
          <w:p w14:paraId="234B2326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120</w:t>
            </w:r>
          </w:p>
        </w:tc>
        <w:tc>
          <w:tcPr>
            <w:tcW w:w="2298" w:type="dxa"/>
            <w:vAlign w:val="center"/>
          </w:tcPr>
          <w:p w14:paraId="14903B01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0, 45, 51</w:t>
            </w:r>
          </w:p>
        </w:tc>
        <w:tc>
          <w:tcPr>
            <w:tcW w:w="1478" w:type="dxa"/>
            <w:vAlign w:val="center"/>
          </w:tcPr>
          <w:p w14:paraId="7C3452CD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19.09</w:t>
            </w:r>
          </w:p>
        </w:tc>
      </w:tr>
      <w:tr w:rsidR="00EA4CDD" w:rsidRPr="00E7472A" w14:paraId="6F8A9118" w14:textId="77777777" w:rsidTr="006B420B">
        <w:trPr>
          <w:trHeight w:val="454"/>
        </w:trPr>
        <w:tc>
          <w:tcPr>
            <w:tcW w:w="2300" w:type="dxa"/>
            <w:vAlign w:val="center"/>
          </w:tcPr>
          <w:p w14:paraId="4AA67C37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Bi.ParaCing</w:t>
            </w:r>
            <w:proofErr w:type="spellEnd"/>
            <w:proofErr w:type="gramEnd"/>
            <w:r w:rsidRPr="00E7472A">
              <w:rPr>
                <w:rFonts w:eastAsia="DengXian"/>
                <w:sz w:val="18"/>
                <w:szCs w:val="18"/>
              </w:rPr>
              <w:t>/ACC</w:t>
            </w:r>
          </w:p>
        </w:tc>
        <w:tc>
          <w:tcPr>
            <w:tcW w:w="2135" w:type="dxa"/>
            <w:vAlign w:val="center"/>
          </w:tcPr>
          <w:p w14:paraId="6FF82AB6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316</w:t>
            </w:r>
          </w:p>
        </w:tc>
        <w:tc>
          <w:tcPr>
            <w:tcW w:w="2298" w:type="dxa"/>
            <w:vAlign w:val="center"/>
          </w:tcPr>
          <w:p w14:paraId="1E8B7511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0, 36, 18</w:t>
            </w:r>
          </w:p>
        </w:tc>
        <w:tc>
          <w:tcPr>
            <w:tcW w:w="1478" w:type="dxa"/>
            <w:vAlign w:val="center"/>
          </w:tcPr>
          <w:p w14:paraId="6716C4D8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19.02</w:t>
            </w:r>
          </w:p>
        </w:tc>
      </w:tr>
      <w:tr w:rsidR="00EA4CDD" w:rsidRPr="00E7472A" w14:paraId="542CE17B" w14:textId="77777777" w:rsidTr="006B420B">
        <w:trPr>
          <w:trHeight w:val="454"/>
        </w:trPr>
        <w:tc>
          <w:tcPr>
            <w:tcW w:w="2300" w:type="dxa"/>
            <w:vAlign w:val="center"/>
          </w:tcPr>
          <w:p w14:paraId="31ED44E0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Bi.ParaCL</w:t>
            </w:r>
            <w:proofErr w:type="spellEnd"/>
            <w:proofErr w:type="gramEnd"/>
            <w:r w:rsidRPr="00E7472A">
              <w:rPr>
                <w:rFonts w:eastAsia="DengXian"/>
                <w:sz w:val="18"/>
                <w:szCs w:val="18"/>
              </w:rPr>
              <w:t>/</w:t>
            </w:r>
            <w:proofErr w:type="spellStart"/>
            <w:r w:rsidRPr="00E7472A">
              <w:rPr>
                <w:rFonts w:eastAsia="DengXian"/>
                <w:sz w:val="18"/>
                <w:szCs w:val="18"/>
              </w:rPr>
              <w:t>PreCG</w:t>
            </w:r>
            <w:proofErr w:type="spellEnd"/>
          </w:p>
        </w:tc>
        <w:tc>
          <w:tcPr>
            <w:tcW w:w="2135" w:type="dxa"/>
            <w:vAlign w:val="center"/>
          </w:tcPr>
          <w:p w14:paraId="7678024A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140</w:t>
            </w:r>
          </w:p>
        </w:tc>
        <w:tc>
          <w:tcPr>
            <w:tcW w:w="2298" w:type="dxa"/>
            <w:vAlign w:val="center"/>
          </w:tcPr>
          <w:p w14:paraId="74FCC492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-12, -18, 78</w:t>
            </w:r>
          </w:p>
        </w:tc>
        <w:tc>
          <w:tcPr>
            <w:tcW w:w="1478" w:type="dxa"/>
            <w:vAlign w:val="center"/>
          </w:tcPr>
          <w:p w14:paraId="200E0044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DengXian"/>
                <w:sz w:val="18"/>
                <w:szCs w:val="18"/>
              </w:rPr>
            </w:pPr>
            <w:r w:rsidRPr="00E7472A">
              <w:rPr>
                <w:rFonts w:eastAsia="DengXian"/>
                <w:sz w:val="18"/>
                <w:szCs w:val="18"/>
              </w:rPr>
              <w:t>14.84</w:t>
            </w:r>
          </w:p>
        </w:tc>
      </w:tr>
      <w:tr w:rsidR="00EA4CDD" w:rsidRPr="00E7472A" w14:paraId="595F92F5" w14:textId="77777777" w:rsidTr="006B420B">
        <w:trPr>
          <w:trHeight w:val="454"/>
        </w:trPr>
        <w:tc>
          <w:tcPr>
            <w:tcW w:w="2300" w:type="dxa"/>
            <w:vAlign w:val="center"/>
          </w:tcPr>
          <w:p w14:paraId="58D30F0A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Bi.Putamen</w:t>
            </w:r>
            <w:proofErr w:type="spellEnd"/>
            <w:proofErr w:type="gramEnd"/>
          </w:p>
        </w:tc>
        <w:tc>
          <w:tcPr>
            <w:tcW w:w="2135" w:type="dxa"/>
            <w:vAlign w:val="center"/>
          </w:tcPr>
          <w:p w14:paraId="33F4C6EE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429</w:t>
            </w:r>
          </w:p>
        </w:tc>
        <w:tc>
          <w:tcPr>
            <w:tcW w:w="2298" w:type="dxa"/>
            <w:vAlign w:val="center"/>
          </w:tcPr>
          <w:p w14:paraId="50805933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-24, 9, 9</w:t>
            </w:r>
          </w:p>
        </w:tc>
        <w:tc>
          <w:tcPr>
            <w:tcW w:w="1478" w:type="dxa"/>
            <w:vAlign w:val="center"/>
          </w:tcPr>
          <w:p w14:paraId="66EAD0F7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14.3</w:t>
            </w:r>
          </w:p>
        </w:tc>
      </w:tr>
      <w:tr w:rsidR="00EA4CDD" w:rsidRPr="00E7472A" w14:paraId="59BC1E7C" w14:textId="77777777" w:rsidTr="006B420B">
        <w:trPr>
          <w:trHeight w:val="454"/>
        </w:trPr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4295AB2D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proofErr w:type="spellStart"/>
            <w:proofErr w:type="gramStart"/>
            <w:r w:rsidRPr="00E7472A">
              <w:rPr>
                <w:rFonts w:eastAsia="DengXian"/>
                <w:sz w:val="18"/>
                <w:szCs w:val="18"/>
              </w:rPr>
              <w:t>Bi.Thalamus</w:t>
            </w:r>
            <w:proofErr w:type="spellEnd"/>
            <w:proofErr w:type="gramEnd"/>
          </w:p>
        </w:tc>
        <w:tc>
          <w:tcPr>
            <w:tcW w:w="2135" w:type="dxa"/>
            <w:tcBorders>
              <w:bottom w:val="single" w:sz="4" w:space="0" w:color="auto"/>
            </w:tcBorders>
            <w:vAlign w:val="center"/>
          </w:tcPr>
          <w:p w14:paraId="02D4C5F4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122</w:t>
            </w:r>
          </w:p>
        </w:tc>
        <w:tc>
          <w:tcPr>
            <w:tcW w:w="2298" w:type="dxa"/>
            <w:tcBorders>
              <w:bottom w:val="single" w:sz="4" w:space="0" w:color="auto"/>
            </w:tcBorders>
            <w:vAlign w:val="center"/>
          </w:tcPr>
          <w:p w14:paraId="37BAC4A2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SimSun"/>
                <w:sz w:val="18"/>
                <w:szCs w:val="18"/>
                <w14:ligatures w14:val="standardContextual"/>
              </w:rPr>
              <w:t>12, -24, 4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vAlign w:val="center"/>
          </w:tcPr>
          <w:p w14:paraId="13164E07" w14:textId="77777777" w:rsidR="00EA4CDD" w:rsidRPr="00E7472A" w:rsidRDefault="00EA4CDD" w:rsidP="006B420B">
            <w:pPr>
              <w:widowControl w:val="0"/>
              <w:adjustRightInd w:val="0"/>
              <w:snapToGrid w:val="0"/>
              <w:spacing w:before="0" w:line="240" w:lineRule="auto"/>
              <w:rPr>
                <w:rFonts w:eastAsia="SimSun"/>
                <w:sz w:val="18"/>
                <w:szCs w:val="18"/>
                <w14:ligatures w14:val="standardContextual"/>
              </w:rPr>
            </w:pPr>
            <w:r w:rsidRPr="00E7472A">
              <w:rPr>
                <w:rFonts w:eastAsia="DengXian"/>
                <w:sz w:val="18"/>
                <w:szCs w:val="18"/>
              </w:rPr>
              <w:t>9.85</w:t>
            </w:r>
          </w:p>
        </w:tc>
      </w:tr>
    </w:tbl>
    <w:p w14:paraId="03B2FF45" w14:textId="20EA60E0" w:rsidR="00EA45B9" w:rsidRDefault="00EA4CDD">
      <w:proofErr w:type="gramStart"/>
      <w:r w:rsidRPr="00E7472A">
        <w:rPr>
          <w:rFonts w:eastAsia="SimSun" w:cs="Times New Roman"/>
          <w:sz w:val="18"/>
          <w:szCs w:val="18"/>
        </w:rPr>
        <w:t>Note.—</w:t>
      </w:r>
      <w:proofErr w:type="gramEnd"/>
      <w:r w:rsidRPr="00E7472A">
        <w:rPr>
          <w:rFonts w:eastAsia="SimSun" w:cs="Times New Roman"/>
          <w:sz w:val="18"/>
          <w:szCs w:val="18"/>
        </w:rPr>
        <w:t xml:space="preserve">The results of voxel-based comparison were </w:t>
      </w:r>
      <w:proofErr w:type="spellStart"/>
      <w:r w:rsidRPr="00E7472A">
        <w:rPr>
          <w:rFonts w:eastAsia="SimSun" w:cs="Times New Roman"/>
          <w:sz w:val="18"/>
          <w:szCs w:val="18"/>
        </w:rPr>
        <w:t>thresholded</w:t>
      </w:r>
      <w:proofErr w:type="spellEnd"/>
      <w:r w:rsidRPr="00E7472A">
        <w:rPr>
          <w:rFonts w:eastAsia="SimSun" w:cs="Times New Roman"/>
          <w:sz w:val="18"/>
          <w:szCs w:val="18"/>
        </w:rPr>
        <w:t xml:space="preserve"> based on an uncorrected voxel-wise height threshold of </w:t>
      </w:r>
      <w:r w:rsidRPr="00E7472A">
        <w:rPr>
          <w:rFonts w:eastAsia="SimSun" w:cs="Times New Roman"/>
          <w:i/>
          <w:iCs/>
          <w:sz w:val="18"/>
          <w:szCs w:val="18"/>
        </w:rPr>
        <w:t>p</w:t>
      </w:r>
      <w:r w:rsidRPr="00E7472A">
        <w:rPr>
          <w:rFonts w:eastAsia="SimSun" w:cs="Times New Roman"/>
          <w:sz w:val="18"/>
          <w:szCs w:val="18"/>
        </w:rPr>
        <w:t xml:space="preserve"> &lt;0.001 combined with a family-wise error (FWE) corrected cluster-wise threshold of </w:t>
      </w:r>
      <w:r w:rsidRPr="00E7472A">
        <w:rPr>
          <w:rFonts w:eastAsia="SimSun" w:cs="Times New Roman"/>
          <w:i/>
          <w:iCs/>
          <w:sz w:val="18"/>
          <w:szCs w:val="18"/>
        </w:rPr>
        <w:t>p</w:t>
      </w:r>
      <w:r w:rsidRPr="00E7472A">
        <w:rPr>
          <w:rFonts w:eastAsia="SimSun" w:cs="Times New Roman"/>
          <w:sz w:val="18"/>
          <w:szCs w:val="18"/>
        </w:rPr>
        <w:t xml:space="preserve"> &lt;0.05. CS = capsular stroke, PS = pontine stroke, HC = healthy control, MNI = Montral Neurologic Institute, Bi. = bilateral, LG = lingual gyrus, </w:t>
      </w:r>
      <w:proofErr w:type="spellStart"/>
      <w:r w:rsidRPr="00E7472A">
        <w:rPr>
          <w:rFonts w:eastAsia="SimSun" w:cs="Times New Roman"/>
          <w:sz w:val="18"/>
          <w:szCs w:val="18"/>
        </w:rPr>
        <w:t>ParaCing</w:t>
      </w:r>
      <w:proofErr w:type="spellEnd"/>
      <w:r w:rsidRPr="00E7472A">
        <w:rPr>
          <w:rFonts w:eastAsia="SimSun" w:cs="Times New Roman"/>
          <w:sz w:val="18"/>
          <w:szCs w:val="18"/>
        </w:rPr>
        <w:t xml:space="preserve"> = paracingulate, ACC = anterior cingulate cortex, </w:t>
      </w:r>
      <w:proofErr w:type="spellStart"/>
      <w:r w:rsidRPr="00E7472A">
        <w:rPr>
          <w:rFonts w:eastAsia="SimSun" w:cs="Times New Roman"/>
          <w:sz w:val="18"/>
          <w:szCs w:val="18"/>
        </w:rPr>
        <w:t>ParaCL</w:t>
      </w:r>
      <w:proofErr w:type="spellEnd"/>
      <w:r w:rsidRPr="00E7472A">
        <w:rPr>
          <w:rFonts w:eastAsia="SimSun" w:cs="Times New Roman"/>
          <w:sz w:val="18"/>
          <w:szCs w:val="18"/>
        </w:rPr>
        <w:t xml:space="preserve"> = paracentral lobule, </w:t>
      </w:r>
      <w:proofErr w:type="spellStart"/>
      <w:r w:rsidRPr="00E7472A">
        <w:rPr>
          <w:rFonts w:eastAsia="SimSun" w:cs="Times New Roman"/>
          <w:sz w:val="18"/>
          <w:szCs w:val="18"/>
        </w:rPr>
        <w:t>PreCG</w:t>
      </w:r>
      <w:proofErr w:type="spellEnd"/>
      <w:r w:rsidRPr="00E7472A">
        <w:rPr>
          <w:rFonts w:eastAsia="SimSun" w:cs="Times New Roman"/>
          <w:sz w:val="18"/>
          <w:szCs w:val="18"/>
        </w:rPr>
        <w:t xml:space="preserve"> = precentral gyrus, </w:t>
      </w:r>
      <w:proofErr w:type="spellStart"/>
      <w:r w:rsidRPr="00E7472A">
        <w:rPr>
          <w:rFonts w:eastAsia="SimSun" w:cs="Times New Roman"/>
          <w:sz w:val="18"/>
          <w:szCs w:val="18"/>
        </w:rPr>
        <w:t>medFC</w:t>
      </w:r>
      <w:proofErr w:type="spellEnd"/>
      <w:r w:rsidRPr="00E7472A">
        <w:rPr>
          <w:rFonts w:eastAsia="SimSun" w:cs="Times New Roman"/>
          <w:sz w:val="18"/>
          <w:szCs w:val="18"/>
        </w:rPr>
        <w:t xml:space="preserve"> = medial frontal cortex, PCU = precuneus, AG = angular gyrus. </w:t>
      </w:r>
      <w:r w:rsidRPr="00E7472A">
        <w:rPr>
          <w:rFonts w:eastAsia="SimSun" w:cs="Times New Roman"/>
          <w:sz w:val="18"/>
          <w:szCs w:val="18"/>
          <w:vertAlign w:val="superscript"/>
        </w:rPr>
        <w:t>*</w:t>
      </w:r>
      <w:r w:rsidRPr="00E7472A">
        <w:rPr>
          <w:rFonts w:eastAsia="SimSun" w:cs="Times New Roman"/>
          <w:sz w:val="18"/>
          <w:szCs w:val="18"/>
        </w:rPr>
        <w:t xml:space="preserve">Peak MNI </w:t>
      </w:r>
      <w:proofErr w:type="gramStart"/>
      <w:r w:rsidRPr="00E7472A">
        <w:rPr>
          <w:rFonts w:eastAsia="SimSun" w:cs="Times New Roman"/>
          <w:sz w:val="18"/>
          <w:szCs w:val="18"/>
        </w:rPr>
        <w:t>coordinate</w:t>
      </w:r>
      <w:proofErr w:type="gramEnd"/>
      <w:r w:rsidRPr="00E7472A">
        <w:rPr>
          <w:rFonts w:eastAsia="SimSun" w:cs="Times New Roman"/>
          <w:sz w:val="18"/>
          <w:szCs w:val="18"/>
        </w:rPr>
        <w:t xml:space="preserve"> </w:t>
      </w:r>
      <w:proofErr w:type="gramStart"/>
      <w:r w:rsidRPr="00E7472A">
        <w:rPr>
          <w:rFonts w:eastAsia="SimSun" w:cs="Times New Roman"/>
          <w:sz w:val="18"/>
          <w:szCs w:val="18"/>
        </w:rPr>
        <w:t>location</w:t>
      </w:r>
      <w:proofErr w:type="gramEnd"/>
      <w:r w:rsidRPr="00E7472A">
        <w:rPr>
          <w:rFonts w:eastAsia="SimSun" w:cs="Times New Roman"/>
          <w:sz w:val="18"/>
          <w:szCs w:val="18"/>
        </w:rPr>
        <w:t xml:space="preserve"> of the voxel with the largest difference in MNI space. </w:t>
      </w:r>
      <w:r w:rsidRPr="00E7472A">
        <w:rPr>
          <w:rFonts w:eastAsia="SimSun" w:cs="Times New Roman"/>
          <w:sz w:val="18"/>
          <w:szCs w:val="18"/>
          <w:vertAlign w:val="superscript"/>
        </w:rPr>
        <w:t>†</w:t>
      </w:r>
      <w:r w:rsidRPr="00E7472A">
        <w:rPr>
          <w:rFonts w:eastAsia="SimSun" w:cs="Times New Roman"/>
          <w:sz w:val="18"/>
          <w:szCs w:val="18"/>
        </w:rPr>
        <w:t>Peak F value refers to the largest difference.</w:t>
      </w:r>
    </w:p>
    <w:sectPr w:rsidR="00EA4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DD"/>
    <w:rsid w:val="00246AE2"/>
    <w:rsid w:val="00936A2E"/>
    <w:rsid w:val="00951B66"/>
    <w:rsid w:val="00D571DF"/>
    <w:rsid w:val="00EA45B9"/>
    <w:rsid w:val="00EA4CDD"/>
    <w:rsid w:val="00F82EC7"/>
    <w:rsid w:val="00FD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2717"/>
  <w15:chartTrackingRefBased/>
  <w15:docId w15:val="{074B347F-D310-4F4B-AA16-19FE1131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CDD"/>
    <w:pPr>
      <w:spacing w:before="120" w:after="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CD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CD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CD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CD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CD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CD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CD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CDD"/>
    <w:pPr>
      <w:keepNext/>
      <w:keepLines/>
      <w:spacing w:before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CDD"/>
    <w:pPr>
      <w:keepNext/>
      <w:keepLines/>
      <w:spacing w:before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CDD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4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CDD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4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CD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4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CDD"/>
    <w:pPr>
      <w:spacing w:before="0"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4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CDD"/>
    <w:rPr>
      <w:b/>
      <w:bCs/>
      <w:smallCaps/>
      <w:color w:val="0F4761" w:themeColor="accent1" w:themeShade="BF"/>
      <w:spacing w:val="5"/>
    </w:rPr>
  </w:style>
  <w:style w:type="table" w:customStyle="1" w:styleId="3">
    <w:name w:val="网格型3"/>
    <w:basedOn w:val="TableNormal"/>
    <w:next w:val="TableGrid"/>
    <w:uiPriority w:val="39"/>
    <w:qFormat/>
    <w:rsid w:val="00EA4CDD"/>
    <w:pPr>
      <w:spacing w:after="0" w:line="240" w:lineRule="auto"/>
    </w:pPr>
    <w:rPr>
      <w:rFonts w:ascii="DengXian" w:eastAsiaTheme="minorEastAsia" w:hAnsi="DengXian" w:cs="Times New Roman"/>
      <w:sz w:val="21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A4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>Springer Nature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2025-09-04T05:28:00Z</dcterms:created>
  <dcterms:modified xsi:type="dcterms:W3CDTF">2025-09-04T05:30:00Z</dcterms:modified>
</cp:coreProperties>
</file>