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F164" w14:textId="77777777" w:rsidR="00DE1181" w:rsidRPr="00B37703" w:rsidRDefault="00000000">
      <w:pPr>
        <w:pStyle w:val="Titolo1"/>
        <w:rPr>
          <w:rFonts w:cstheme="majorHAnsi"/>
        </w:rPr>
      </w:pPr>
      <w:r w:rsidRPr="00B37703">
        <w:rPr>
          <w:rFonts w:cstheme="majorHAnsi"/>
        </w:rPr>
        <w:t>Supplementary Table S1. Comparative studies on wearable EEG devices</w:t>
      </w:r>
    </w:p>
    <w:p w14:paraId="0C2C8B7C" w14:textId="77777777" w:rsidR="00DE1181" w:rsidRPr="00B37703" w:rsidRDefault="00000000">
      <w:pPr>
        <w:rPr>
          <w:rFonts w:asciiTheme="majorHAnsi" w:hAnsiTheme="majorHAnsi" w:cstheme="majorHAnsi"/>
        </w:rPr>
      </w:pPr>
      <w:r w:rsidRPr="00B37703">
        <w:rPr>
          <w:rFonts w:asciiTheme="majorHAnsi" w:hAnsiTheme="majorHAnsi" w:cstheme="majorHAnsi"/>
        </w:rPr>
        <w:t>Table S1 summarizes representative comparative studies evaluating consumer- and research-grade EEG devices. The table outlines the study year, devices compared, experimental setting, evaluation metrics, key outcomes, and the main methodological gaps highlighted by each work.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1142"/>
        <w:gridCol w:w="1419"/>
        <w:gridCol w:w="1412"/>
        <w:gridCol w:w="1377"/>
        <w:gridCol w:w="1320"/>
        <w:gridCol w:w="1339"/>
      </w:tblGrid>
      <w:tr w:rsidR="00DE1181" w:rsidRPr="00B37703" w14:paraId="6F9BB917" w14:textId="77777777" w:rsidTr="00B37703">
        <w:tc>
          <w:tcPr>
            <w:tcW w:w="1101" w:type="dxa"/>
          </w:tcPr>
          <w:p w14:paraId="23EFCBB8" w14:textId="77777777" w:rsidR="00DE1181" w:rsidRPr="00B37703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B37703">
              <w:rPr>
                <w:rFonts w:asciiTheme="majorHAnsi" w:hAnsiTheme="majorHAnsi" w:cstheme="majorHAnsi"/>
                <w:b/>
                <w:bCs/>
              </w:rPr>
              <w:t>Year</w:t>
            </w:r>
          </w:p>
        </w:tc>
        <w:tc>
          <w:tcPr>
            <w:tcW w:w="795" w:type="dxa"/>
          </w:tcPr>
          <w:p w14:paraId="41672A1C" w14:textId="77777777" w:rsidR="00DE1181" w:rsidRPr="00B37703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B37703">
              <w:rPr>
                <w:rFonts w:asciiTheme="majorHAnsi" w:hAnsiTheme="majorHAnsi" w:cstheme="majorHAnsi"/>
                <w:b/>
                <w:bCs/>
              </w:rPr>
              <w:t>Authors</w:t>
            </w:r>
          </w:p>
        </w:tc>
        <w:tc>
          <w:tcPr>
            <w:tcW w:w="1434" w:type="dxa"/>
          </w:tcPr>
          <w:p w14:paraId="2DC74CF7" w14:textId="77777777" w:rsidR="00DE1181" w:rsidRPr="00B37703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B37703">
              <w:rPr>
                <w:rFonts w:asciiTheme="majorHAnsi" w:hAnsiTheme="majorHAnsi" w:cstheme="majorHAnsi"/>
                <w:b/>
                <w:bCs/>
              </w:rPr>
              <w:t>Devices compared</w:t>
            </w:r>
          </w:p>
        </w:tc>
        <w:tc>
          <w:tcPr>
            <w:tcW w:w="1436" w:type="dxa"/>
          </w:tcPr>
          <w:p w14:paraId="51E05C92" w14:textId="77777777" w:rsidR="00DE1181" w:rsidRPr="00B37703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B37703">
              <w:rPr>
                <w:rFonts w:asciiTheme="majorHAnsi" w:hAnsiTheme="majorHAnsi" w:cstheme="majorHAnsi"/>
                <w:b/>
                <w:bCs/>
              </w:rPr>
              <w:t>Setting / Task</w:t>
            </w:r>
          </w:p>
        </w:tc>
        <w:tc>
          <w:tcPr>
            <w:tcW w:w="1400" w:type="dxa"/>
          </w:tcPr>
          <w:p w14:paraId="274C39C3" w14:textId="77777777" w:rsidR="00DE1181" w:rsidRPr="00B37703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B37703">
              <w:rPr>
                <w:rFonts w:asciiTheme="majorHAnsi" w:hAnsiTheme="majorHAnsi" w:cstheme="majorHAnsi"/>
                <w:b/>
                <w:bCs/>
              </w:rPr>
              <w:t>Metrics used</w:t>
            </w:r>
          </w:p>
        </w:tc>
        <w:tc>
          <w:tcPr>
            <w:tcW w:w="1337" w:type="dxa"/>
          </w:tcPr>
          <w:p w14:paraId="3250B6D2" w14:textId="77777777" w:rsidR="00DE1181" w:rsidRPr="00B37703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B37703">
              <w:rPr>
                <w:rFonts w:asciiTheme="majorHAnsi" w:hAnsiTheme="majorHAnsi" w:cstheme="majorHAnsi"/>
                <w:b/>
                <w:bCs/>
              </w:rPr>
              <w:t>Key outcomes</w:t>
            </w:r>
          </w:p>
        </w:tc>
        <w:tc>
          <w:tcPr>
            <w:tcW w:w="1353" w:type="dxa"/>
          </w:tcPr>
          <w:p w14:paraId="5D826CFB" w14:textId="77777777" w:rsidR="00DE1181" w:rsidRPr="00B37703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B37703">
              <w:rPr>
                <w:rFonts w:asciiTheme="majorHAnsi" w:hAnsiTheme="majorHAnsi" w:cstheme="majorHAnsi"/>
                <w:b/>
                <w:bCs/>
              </w:rPr>
              <w:t>Identified gaps</w:t>
            </w:r>
          </w:p>
        </w:tc>
      </w:tr>
      <w:tr w:rsidR="00DE1181" w:rsidRPr="00B37703" w14:paraId="32D48FB7" w14:textId="77777777" w:rsidTr="00B37703">
        <w:tc>
          <w:tcPr>
            <w:tcW w:w="1101" w:type="dxa"/>
          </w:tcPr>
          <w:p w14:paraId="44189460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2017</w:t>
            </w:r>
          </w:p>
        </w:tc>
        <w:tc>
          <w:tcPr>
            <w:tcW w:w="795" w:type="dxa"/>
          </w:tcPr>
          <w:p w14:paraId="7E010BCD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Ratti et al.</w:t>
            </w:r>
          </w:p>
        </w:tc>
        <w:tc>
          <w:tcPr>
            <w:tcW w:w="1434" w:type="dxa"/>
          </w:tcPr>
          <w:p w14:paraId="092EAB04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Medical-grade (B-Alert, Enobio) vs Consumer (Muse, Mindwave)</w:t>
            </w:r>
          </w:p>
        </w:tc>
        <w:tc>
          <w:tcPr>
            <w:tcW w:w="1436" w:type="dxa"/>
          </w:tcPr>
          <w:p w14:paraId="5E636F86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Resting-state (eyes open/closed)</w:t>
            </w:r>
          </w:p>
        </w:tc>
        <w:tc>
          <w:tcPr>
            <w:tcW w:w="1400" w:type="dxa"/>
          </w:tcPr>
          <w:p w14:paraId="27BA54ED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PSD, SNR, test–retest reliability</w:t>
            </w:r>
          </w:p>
        </w:tc>
        <w:tc>
          <w:tcPr>
            <w:tcW w:w="1337" w:type="dxa"/>
          </w:tcPr>
          <w:p w14:paraId="3258DB7E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Consumer devices captured main EEG bands but showed higher variability and artefacts.</w:t>
            </w:r>
          </w:p>
        </w:tc>
        <w:tc>
          <w:tcPr>
            <w:tcW w:w="1353" w:type="dxa"/>
          </w:tcPr>
          <w:p w14:paraId="15E950FC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Controlled conditions only; no dynamic or ecological tasks.</w:t>
            </w:r>
          </w:p>
        </w:tc>
      </w:tr>
      <w:tr w:rsidR="00DE1181" w:rsidRPr="00B37703" w14:paraId="701B2FF2" w14:textId="77777777" w:rsidTr="00B37703">
        <w:tc>
          <w:tcPr>
            <w:tcW w:w="1101" w:type="dxa"/>
          </w:tcPr>
          <w:p w14:paraId="1F9A33DA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2022</w:t>
            </w:r>
          </w:p>
        </w:tc>
        <w:tc>
          <w:tcPr>
            <w:tcW w:w="795" w:type="dxa"/>
          </w:tcPr>
          <w:p w14:paraId="79C3F9E6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Gao et al.</w:t>
            </w:r>
          </w:p>
        </w:tc>
        <w:tc>
          <w:tcPr>
            <w:tcW w:w="1434" w:type="dxa"/>
          </w:tcPr>
          <w:p w14:paraId="6E56E63C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Wearable frontal EEG (Mindeep) vs Neuroscan</w:t>
            </w:r>
          </w:p>
        </w:tc>
        <w:tc>
          <w:tcPr>
            <w:tcW w:w="1436" w:type="dxa"/>
          </w:tcPr>
          <w:p w14:paraId="16CB8B67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Resting-state, auditory oddball, attention tasks</w:t>
            </w:r>
          </w:p>
        </w:tc>
        <w:tc>
          <w:tcPr>
            <w:tcW w:w="1400" w:type="dxa"/>
          </w:tcPr>
          <w:p w14:paraId="19AFAEC9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Cross-correlation, ERP amplitude, classification accuracy</w:t>
            </w:r>
          </w:p>
        </w:tc>
        <w:tc>
          <w:tcPr>
            <w:tcW w:w="1337" w:type="dxa"/>
          </w:tcPr>
          <w:p w14:paraId="03D109A0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Wearable showed high correlation with reference system but reduced ERP amplitude.</w:t>
            </w:r>
          </w:p>
        </w:tc>
        <w:tc>
          <w:tcPr>
            <w:tcW w:w="1353" w:type="dxa"/>
          </w:tcPr>
          <w:p w14:paraId="056ADFDF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Frontal-only layout; limited spatial coverage; small sample size.</w:t>
            </w:r>
          </w:p>
        </w:tc>
      </w:tr>
      <w:tr w:rsidR="00DE1181" w:rsidRPr="00B37703" w14:paraId="0130F9EA" w14:textId="77777777" w:rsidTr="00B37703">
        <w:tc>
          <w:tcPr>
            <w:tcW w:w="1101" w:type="dxa"/>
          </w:tcPr>
          <w:p w14:paraId="5E0B511F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2023</w:t>
            </w:r>
          </w:p>
        </w:tc>
        <w:tc>
          <w:tcPr>
            <w:tcW w:w="795" w:type="dxa"/>
          </w:tcPr>
          <w:p w14:paraId="7333F5FD" w14:textId="3D2AFD5F" w:rsidR="00DE1181" w:rsidRPr="00B37703" w:rsidRDefault="00745B3D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Mahdid</w:t>
            </w:r>
            <w:proofErr w:type="spellEnd"/>
            <w:r>
              <w:rPr>
                <w:rFonts w:asciiTheme="majorHAnsi" w:hAnsiTheme="majorHAnsi" w:cstheme="majorHAnsi"/>
              </w:rPr>
              <w:t xml:space="preserve"> et al.</w:t>
            </w:r>
          </w:p>
        </w:tc>
        <w:tc>
          <w:tcPr>
            <w:tcW w:w="1434" w:type="dxa"/>
          </w:tcPr>
          <w:p w14:paraId="2B70E20C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Research-grade vs four consumer-grade headsets</w:t>
            </w:r>
          </w:p>
        </w:tc>
        <w:tc>
          <w:tcPr>
            <w:tcW w:w="1436" w:type="dxa"/>
          </w:tcPr>
          <w:p w14:paraId="249CB902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Functional connectivity analysis across tasks</w:t>
            </w:r>
          </w:p>
        </w:tc>
        <w:tc>
          <w:tcPr>
            <w:tcW w:w="1400" w:type="dxa"/>
          </w:tcPr>
          <w:p w14:paraId="2B72429E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Connectivity strength, coherence patterns</w:t>
            </w:r>
          </w:p>
        </w:tc>
        <w:tc>
          <w:tcPr>
            <w:tcW w:w="1337" w:type="dxa"/>
          </w:tcPr>
          <w:p w14:paraId="59726669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Wearables reproduced main connectivity trends but with weaker coherence and stability.</w:t>
            </w:r>
          </w:p>
        </w:tc>
        <w:tc>
          <w:tcPr>
            <w:tcW w:w="1353" w:type="dxa"/>
          </w:tcPr>
          <w:p w14:paraId="14CFC122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Few ecological tasks; limited multi-metric validation.</w:t>
            </w:r>
          </w:p>
        </w:tc>
      </w:tr>
      <w:tr w:rsidR="00DE1181" w:rsidRPr="00B37703" w14:paraId="0E6F8FDD" w14:textId="77777777" w:rsidTr="00B37703">
        <w:tc>
          <w:tcPr>
            <w:tcW w:w="1101" w:type="dxa"/>
          </w:tcPr>
          <w:p w14:paraId="4EF04133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lastRenderedPageBreak/>
              <w:t>2024</w:t>
            </w:r>
          </w:p>
        </w:tc>
        <w:tc>
          <w:tcPr>
            <w:tcW w:w="795" w:type="dxa"/>
          </w:tcPr>
          <w:p w14:paraId="72022E66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Mikhaylov et al.</w:t>
            </w:r>
          </w:p>
        </w:tc>
        <w:tc>
          <w:tcPr>
            <w:tcW w:w="1434" w:type="dxa"/>
          </w:tcPr>
          <w:p w14:paraId="58BAE16F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Research-grade vs three consumer-grade (Muse S, PSBD Headband, Lite Headphones)</w:t>
            </w:r>
          </w:p>
        </w:tc>
        <w:tc>
          <w:tcPr>
            <w:tcW w:w="1436" w:type="dxa"/>
          </w:tcPr>
          <w:p w14:paraId="14674C33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Resting-state recordings</w:t>
            </w:r>
          </w:p>
        </w:tc>
        <w:tc>
          <w:tcPr>
            <w:tcW w:w="1400" w:type="dxa"/>
          </w:tcPr>
          <w:p w14:paraId="59E2F114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PSD, signal quality indices, electrode-wise comparisons</w:t>
            </w:r>
          </w:p>
        </w:tc>
        <w:tc>
          <w:tcPr>
            <w:tcW w:w="1337" w:type="dxa"/>
          </w:tcPr>
          <w:p w14:paraId="72478113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Consumer headsets showed increased low-frequency power and artefacts.</w:t>
            </w:r>
          </w:p>
        </w:tc>
        <w:tc>
          <w:tcPr>
            <w:tcW w:w="1353" w:type="dxa"/>
          </w:tcPr>
          <w:p w14:paraId="3C2FBCEC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No task-based evaluation; only resting-state data.</w:t>
            </w:r>
          </w:p>
        </w:tc>
      </w:tr>
      <w:tr w:rsidR="00DE1181" w:rsidRPr="00B37703" w14:paraId="3FCEC2B8" w14:textId="77777777" w:rsidTr="00B37703">
        <w:tc>
          <w:tcPr>
            <w:tcW w:w="1101" w:type="dxa"/>
          </w:tcPr>
          <w:p w14:paraId="68EEDADD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2025</w:t>
            </w:r>
          </w:p>
        </w:tc>
        <w:tc>
          <w:tcPr>
            <w:tcW w:w="795" w:type="dxa"/>
          </w:tcPr>
          <w:p w14:paraId="2E4F385D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Arpaia et al.</w:t>
            </w:r>
          </w:p>
        </w:tc>
        <w:tc>
          <w:tcPr>
            <w:tcW w:w="1434" w:type="dxa"/>
          </w:tcPr>
          <w:p w14:paraId="303206BA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Systematic review of 58 studies on wearable EEG</w:t>
            </w:r>
          </w:p>
        </w:tc>
        <w:tc>
          <w:tcPr>
            <w:tcW w:w="1436" w:type="dxa"/>
          </w:tcPr>
          <w:p w14:paraId="0A38D73A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Various real-world and motion contexts</w:t>
            </w:r>
          </w:p>
        </w:tc>
        <w:tc>
          <w:tcPr>
            <w:tcW w:w="1400" w:type="dxa"/>
          </w:tcPr>
          <w:p w14:paraId="41A594C0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Artifact detection and correction techniques</w:t>
            </w:r>
          </w:p>
        </w:tc>
        <w:tc>
          <w:tcPr>
            <w:tcW w:w="1337" w:type="dxa"/>
          </w:tcPr>
          <w:p w14:paraId="08486AF0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Identified motion- and electrode-related artefacts as main limitations for wearable EEG.</w:t>
            </w:r>
          </w:p>
        </w:tc>
        <w:tc>
          <w:tcPr>
            <w:tcW w:w="1353" w:type="dxa"/>
          </w:tcPr>
          <w:p w14:paraId="5D3B1CDA" w14:textId="77777777" w:rsidR="00DE1181" w:rsidRPr="00B37703" w:rsidRDefault="00000000">
            <w:pPr>
              <w:rPr>
                <w:rFonts w:asciiTheme="majorHAnsi" w:hAnsiTheme="majorHAnsi" w:cstheme="majorHAnsi"/>
              </w:rPr>
            </w:pPr>
            <w:r w:rsidRPr="00B37703">
              <w:rPr>
                <w:rFonts w:asciiTheme="majorHAnsi" w:hAnsiTheme="majorHAnsi" w:cstheme="majorHAnsi"/>
              </w:rPr>
              <w:t>Scarce analysis of neurometric validity and subjective correlation.</w:t>
            </w:r>
          </w:p>
        </w:tc>
      </w:tr>
    </w:tbl>
    <w:p w14:paraId="737A1C69" w14:textId="5EDA8B80" w:rsidR="00745B3D" w:rsidRPr="00745B3D" w:rsidRDefault="00745B3D" w:rsidP="00745B3D">
      <w:pPr>
        <w:pStyle w:val="Titolo1"/>
        <w:rPr>
          <w:lang w:val="it-IT"/>
        </w:rPr>
      </w:pPr>
      <w:proofErr w:type="spellStart"/>
      <w:r w:rsidRPr="00745B3D">
        <w:rPr>
          <w:lang w:val="it-IT"/>
        </w:rPr>
        <w:t>References</w:t>
      </w:r>
      <w:proofErr w:type="spellEnd"/>
    </w:p>
    <w:p w14:paraId="29B3BDB1" w14:textId="30201860" w:rsidR="00745B3D" w:rsidRPr="00745B3D" w:rsidRDefault="00745B3D" w:rsidP="00745B3D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</w:rPr>
      </w:pPr>
      <w:r w:rsidRPr="00745B3D">
        <w:rPr>
          <w:rFonts w:asciiTheme="majorHAnsi" w:hAnsiTheme="majorHAnsi" w:cstheme="majorHAnsi"/>
          <w:lang w:val="it-IT"/>
        </w:rPr>
        <w:t xml:space="preserve">Ratti, E., </w:t>
      </w:r>
      <w:proofErr w:type="spellStart"/>
      <w:r w:rsidRPr="00745B3D">
        <w:rPr>
          <w:rFonts w:asciiTheme="majorHAnsi" w:hAnsiTheme="majorHAnsi" w:cstheme="majorHAnsi"/>
          <w:lang w:val="it-IT"/>
        </w:rPr>
        <w:t>Waninger</w:t>
      </w:r>
      <w:proofErr w:type="spellEnd"/>
      <w:r w:rsidRPr="00745B3D">
        <w:rPr>
          <w:rFonts w:asciiTheme="majorHAnsi" w:hAnsiTheme="majorHAnsi" w:cstheme="majorHAnsi"/>
          <w:lang w:val="it-IT"/>
        </w:rPr>
        <w:t xml:space="preserve">, S., </w:t>
      </w:r>
      <w:proofErr w:type="spellStart"/>
      <w:r w:rsidRPr="00745B3D">
        <w:rPr>
          <w:rFonts w:asciiTheme="majorHAnsi" w:hAnsiTheme="majorHAnsi" w:cstheme="majorHAnsi"/>
          <w:lang w:val="it-IT"/>
        </w:rPr>
        <w:t>Berka</w:t>
      </w:r>
      <w:proofErr w:type="spellEnd"/>
      <w:r w:rsidRPr="00745B3D">
        <w:rPr>
          <w:rFonts w:asciiTheme="majorHAnsi" w:hAnsiTheme="majorHAnsi" w:cstheme="majorHAnsi"/>
          <w:lang w:val="it-IT"/>
        </w:rPr>
        <w:t xml:space="preserve">, C., Ruffini, G., </w:t>
      </w:r>
      <w:proofErr w:type="spellStart"/>
      <w:r w:rsidRPr="00745B3D">
        <w:rPr>
          <w:rFonts w:asciiTheme="majorHAnsi" w:hAnsiTheme="majorHAnsi" w:cstheme="majorHAnsi"/>
          <w:lang w:val="it-IT"/>
        </w:rPr>
        <w:t>Verma</w:t>
      </w:r>
      <w:proofErr w:type="spellEnd"/>
      <w:r w:rsidRPr="00745B3D">
        <w:rPr>
          <w:rFonts w:asciiTheme="majorHAnsi" w:hAnsiTheme="majorHAnsi" w:cstheme="majorHAnsi"/>
          <w:lang w:val="it-IT"/>
        </w:rPr>
        <w:t xml:space="preserve">, A., &amp; Menicucci, D. (2017). </w:t>
      </w:r>
      <w:r w:rsidRPr="00745B3D">
        <w:rPr>
          <w:rFonts w:asciiTheme="majorHAnsi" w:hAnsiTheme="majorHAnsi" w:cstheme="majorHAnsi"/>
        </w:rPr>
        <w:t>Comparison of medical and consumer wireless EEG systems for research use: A technical review. Sensors, 17(12), 2333.</w:t>
      </w:r>
      <w:r w:rsidRPr="00745B3D">
        <w:rPr>
          <w:rFonts w:asciiTheme="majorHAnsi" w:hAnsiTheme="majorHAnsi" w:cstheme="majorHAnsi"/>
        </w:rPr>
        <w:t xml:space="preserve"> </w:t>
      </w:r>
      <w:r w:rsidRPr="00745B3D">
        <w:rPr>
          <w:rFonts w:asciiTheme="majorHAnsi" w:hAnsiTheme="majorHAnsi" w:cstheme="majorHAnsi"/>
        </w:rPr>
        <w:t>https://doi.org/10.3390/s17122333</w:t>
      </w:r>
    </w:p>
    <w:p w14:paraId="2FEB6DAA" w14:textId="61B4C417" w:rsidR="00745B3D" w:rsidRPr="00745B3D" w:rsidRDefault="00745B3D" w:rsidP="00745B3D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</w:rPr>
      </w:pPr>
      <w:r w:rsidRPr="00745B3D">
        <w:rPr>
          <w:rFonts w:asciiTheme="majorHAnsi" w:hAnsiTheme="majorHAnsi" w:cstheme="majorHAnsi"/>
        </w:rPr>
        <w:t>Gao, L., Chen, H., Zhou, C., Zhang, Y., &amp; Li, L. (2022). Signal quality investigation of a new wearable frontal-lobe EEG device. Sensors, 22(5), 1898.</w:t>
      </w:r>
      <w:r w:rsidRPr="00745B3D">
        <w:rPr>
          <w:rFonts w:asciiTheme="majorHAnsi" w:hAnsiTheme="majorHAnsi" w:cstheme="majorHAnsi"/>
        </w:rPr>
        <w:t xml:space="preserve"> </w:t>
      </w:r>
      <w:r w:rsidRPr="00745B3D">
        <w:rPr>
          <w:rFonts w:asciiTheme="majorHAnsi" w:hAnsiTheme="majorHAnsi" w:cstheme="majorHAnsi"/>
        </w:rPr>
        <w:t>https://doi.org/10.3390/s22051898</w:t>
      </w:r>
    </w:p>
    <w:p w14:paraId="3A399101" w14:textId="5D049F27" w:rsidR="00745B3D" w:rsidRPr="00745B3D" w:rsidRDefault="00745B3D" w:rsidP="00745B3D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</w:rPr>
      </w:pPr>
      <w:r w:rsidRPr="00745B3D">
        <w:rPr>
          <w:rFonts w:asciiTheme="majorHAnsi" w:hAnsiTheme="majorHAnsi" w:cstheme="majorHAnsi"/>
        </w:rPr>
        <w:t xml:space="preserve">Y. </w:t>
      </w:r>
      <w:proofErr w:type="spellStart"/>
      <w:r w:rsidRPr="00745B3D">
        <w:rPr>
          <w:rFonts w:asciiTheme="majorHAnsi" w:hAnsiTheme="majorHAnsi" w:cstheme="majorHAnsi"/>
        </w:rPr>
        <w:t>Mahdid</w:t>
      </w:r>
      <w:proofErr w:type="spellEnd"/>
      <w:r w:rsidRPr="00745B3D">
        <w:rPr>
          <w:rFonts w:asciiTheme="majorHAnsi" w:hAnsiTheme="majorHAnsi" w:cstheme="majorHAnsi"/>
        </w:rPr>
        <w:t xml:space="preserve">, U. Lee and S. Blain-Moraes, "Assessing the Quality of Wearable EEG Systems Using Functional Connectivity," in IEEE Access, vol. 8, pp. 193214-193225, 2020, </w:t>
      </w:r>
      <w:proofErr w:type="spellStart"/>
      <w:r w:rsidRPr="00745B3D">
        <w:rPr>
          <w:rFonts w:asciiTheme="majorHAnsi" w:hAnsiTheme="majorHAnsi" w:cstheme="majorHAnsi"/>
        </w:rPr>
        <w:t>doi</w:t>
      </w:r>
      <w:proofErr w:type="spellEnd"/>
      <w:r w:rsidRPr="00745B3D">
        <w:rPr>
          <w:rFonts w:asciiTheme="majorHAnsi" w:hAnsiTheme="majorHAnsi" w:cstheme="majorHAnsi"/>
        </w:rPr>
        <w:t>: 10.1109/ACCESS.202</w:t>
      </w:r>
    </w:p>
    <w:p w14:paraId="412A8B4A" w14:textId="4DD116A9" w:rsidR="00745B3D" w:rsidRPr="00745B3D" w:rsidRDefault="00745B3D" w:rsidP="00745B3D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745B3D">
        <w:rPr>
          <w:rFonts w:asciiTheme="majorHAnsi" w:hAnsiTheme="majorHAnsi" w:cstheme="majorHAnsi"/>
        </w:rPr>
        <w:t xml:space="preserve">Mikhaylov, A., Averbukh, N., Kabanova, E., Kuznetsov, I., &amp; </w:t>
      </w:r>
      <w:proofErr w:type="spellStart"/>
      <w:r w:rsidRPr="00745B3D">
        <w:rPr>
          <w:rFonts w:asciiTheme="majorHAnsi" w:hAnsiTheme="majorHAnsi" w:cstheme="majorHAnsi"/>
        </w:rPr>
        <w:t>Gaiduk</w:t>
      </w:r>
      <w:proofErr w:type="spellEnd"/>
      <w:r w:rsidRPr="00745B3D">
        <w:rPr>
          <w:rFonts w:asciiTheme="majorHAnsi" w:hAnsiTheme="majorHAnsi" w:cstheme="majorHAnsi"/>
        </w:rPr>
        <w:t xml:space="preserve">, P. (2024). Comparison of EEG signal spectral characteristics obtained with consumer- and research-grade devices. </w:t>
      </w:r>
      <w:proofErr w:type="spellStart"/>
      <w:r w:rsidRPr="00745B3D">
        <w:rPr>
          <w:rFonts w:asciiTheme="majorHAnsi" w:hAnsiTheme="majorHAnsi" w:cstheme="majorHAnsi"/>
          <w:lang w:val="it-IT"/>
        </w:rPr>
        <w:t>Sensors</w:t>
      </w:r>
      <w:proofErr w:type="spellEnd"/>
      <w:r w:rsidRPr="00745B3D">
        <w:rPr>
          <w:rFonts w:asciiTheme="majorHAnsi" w:hAnsiTheme="majorHAnsi" w:cstheme="majorHAnsi"/>
          <w:lang w:val="it-IT"/>
        </w:rPr>
        <w:t>, 24(24), 8108.</w:t>
      </w:r>
      <w:r w:rsidRPr="00745B3D">
        <w:rPr>
          <w:rFonts w:asciiTheme="majorHAnsi" w:hAnsiTheme="majorHAnsi" w:cstheme="majorHAnsi"/>
          <w:lang w:val="it-IT"/>
        </w:rPr>
        <w:t xml:space="preserve"> </w:t>
      </w:r>
      <w:r w:rsidRPr="00745B3D">
        <w:rPr>
          <w:rFonts w:asciiTheme="majorHAnsi" w:hAnsiTheme="majorHAnsi" w:cstheme="majorHAnsi"/>
          <w:lang w:val="it-IT"/>
        </w:rPr>
        <w:t>https://doi.org/10.3390/s24248108</w:t>
      </w:r>
    </w:p>
    <w:p w14:paraId="4E93ED49" w14:textId="03E7C484" w:rsidR="00745B3D" w:rsidRPr="00745B3D" w:rsidRDefault="00745B3D" w:rsidP="00745B3D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</w:rPr>
      </w:pPr>
      <w:r w:rsidRPr="00745B3D">
        <w:rPr>
          <w:rFonts w:asciiTheme="majorHAnsi" w:hAnsiTheme="majorHAnsi" w:cstheme="majorHAnsi"/>
          <w:lang w:val="it-IT"/>
        </w:rPr>
        <w:t xml:space="preserve">Arpaia, P., Baccigalupi, A., &amp; </w:t>
      </w:r>
      <w:proofErr w:type="spellStart"/>
      <w:r w:rsidRPr="00745B3D">
        <w:rPr>
          <w:rFonts w:asciiTheme="majorHAnsi" w:hAnsiTheme="majorHAnsi" w:cstheme="majorHAnsi"/>
          <w:lang w:val="it-IT"/>
        </w:rPr>
        <w:t>Daponte</w:t>
      </w:r>
      <w:proofErr w:type="spellEnd"/>
      <w:r w:rsidRPr="00745B3D">
        <w:rPr>
          <w:rFonts w:asciiTheme="majorHAnsi" w:hAnsiTheme="majorHAnsi" w:cstheme="majorHAnsi"/>
          <w:lang w:val="it-IT"/>
        </w:rPr>
        <w:t xml:space="preserve">, P. (2025). </w:t>
      </w:r>
      <w:r w:rsidRPr="00745B3D">
        <w:rPr>
          <w:rFonts w:asciiTheme="majorHAnsi" w:hAnsiTheme="majorHAnsi" w:cstheme="majorHAnsi"/>
        </w:rPr>
        <w:t>A systematic review of techniques for artifact detection in wearable EEG. Sensors, 25(18), 5770.</w:t>
      </w:r>
      <w:r w:rsidRPr="00745B3D">
        <w:rPr>
          <w:rFonts w:asciiTheme="majorHAnsi" w:hAnsiTheme="majorHAnsi" w:cstheme="majorHAnsi"/>
        </w:rPr>
        <w:t xml:space="preserve"> </w:t>
      </w:r>
      <w:r w:rsidRPr="00745B3D">
        <w:rPr>
          <w:rFonts w:asciiTheme="majorHAnsi" w:hAnsiTheme="majorHAnsi" w:cstheme="majorHAnsi"/>
        </w:rPr>
        <w:t>https://doi.org/10.3390/s25185770</w:t>
      </w:r>
    </w:p>
    <w:sectPr w:rsidR="00745B3D" w:rsidRPr="00745B3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1D71523"/>
    <w:multiLevelType w:val="hybridMultilevel"/>
    <w:tmpl w:val="35DEF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265103">
    <w:abstractNumId w:val="8"/>
  </w:num>
  <w:num w:numId="2" w16cid:durableId="1807888514">
    <w:abstractNumId w:val="6"/>
  </w:num>
  <w:num w:numId="3" w16cid:durableId="1496798807">
    <w:abstractNumId w:val="5"/>
  </w:num>
  <w:num w:numId="4" w16cid:durableId="693654039">
    <w:abstractNumId w:val="4"/>
  </w:num>
  <w:num w:numId="5" w16cid:durableId="1479688004">
    <w:abstractNumId w:val="7"/>
  </w:num>
  <w:num w:numId="6" w16cid:durableId="2017923861">
    <w:abstractNumId w:val="3"/>
  </w:num>
  <w:num w:numId="7" w16cid:durableId="468327278">
    <w:abstractNumId w:val="2"/>
  </w:num>
  <w:num w:numId="8" w16cid:durableId="1669359424">
    <w:abstractNumId w:val="1"/>
  </w:num>
  <w:num w:numId="9" w16cid:durableId="535389519">
    <w:abstractNumId w:val="0"/>
  </w:num>
  <w:num w:numId="10" w16cid:durableId="13080536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4AE1"/>
    <w:rsid w:val="0029639D"/>
    <w:rsid w:val="00326F90"/>
    <w:rsid w:val="00745B3D"/>
    <w:rsid w:val="007E2E96"/>
    <w:rsid w:val="00AA1D8D"/>
    <w:rsid w:val="00B37703"/>
    <w:rsid w:val="00B47730"/>
    <w:rsid w:val="00CB0664"/>
    <w:rsid w:val="00DE1181"/>
    <w:rsid w:val="00E362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56E19"/>
  <w14:defaultImageDpi w14:val="300"/>
  <w15:docId w15:val="{DD48388B-CCFA-4899-A608-989D4900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Ronca</dc:creator>
  <cp:keywords/>
  <cp:lastModifiedBy>Vincenzo Ronca</cp:lastModifiedBy>
  <cp:revision>3</cp:revision>
  <dcterms:created xsi:type="dcterms:W3CDTF">2013-12-23T23:15:00Z</dcterms:created>
  <dcterms:modified xsi:type="dcterms:W3CDTF">2025-11-07T12:40:00Z</dcterms:modified>
  <cp:category/>
</cp:coreProperties>
</file>