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5F06E" w14:textId="4EFA0EC4" w:rsidR="0025576D" w:rsidRPr="00537483" w:rsidRDefault="0025576D" w:rsidP="0025576D">
      <w:pPr>
        <w:spacing w:line="276" w:lineRule="auto"/>
        <w:jc w:val="center"/>
        <w:rPr>
          <w:rFonts w:ascii="Garamond" w:hAnsi="Garamond"/>
          <w:b/>
          <w:bCs/>
          <w:sz w:val="28"/>
          <w:szCs w:val="28"/>
        </w:rPr>
      </w:pPr>
      <w:r w:rsidRPr="00537483">
        <w:rPr>
          <w:rFonts w:ascii="Garamond" w:hAnsi="Garamond"/>
          <w:b/>
          <w:bCs/>
          <w:sz w:val="28"/>
          <w:szCs w:val="28"/>
        </w:rPr>
        <w:t xml:space="preserve">Supplementary Material: </w:t>
      </w:r>
      <w:r w:rsidRPr="00537483">
        <w:rPr>
          <w:rFonts w:ascii="Garamond" w:hAnsi="Garamond"/>
          <w:b/>
          <w:bCs/>
          <w:sz w:val="28"/>
          <w:szCs w:val="28"/>
        </w:rPr>
        <w:t>Metric-based correlation of the martensite distribution to degree of strain inhomogeneity in plasticity of dual phase steels</w:t>
      </w:r>
    </w:p>
    <w:p w14:paraId="2B655DDD" w14:textId="77777777" w:rsidR="0025576D" w:rsidRPr="00537483" w:rsidRDefault="0025576D" w:rsidP="0025576D">
      <w:pPr>
        <w:spacing w:line="276" w:lineRule="auto"/>
        <w:jc w:val="center"/>
        <w:rPr>
          <w:rFonts w:ascii="Garamond" w:hAnsi="Garamond"/>
          <w:b/>
          <w:bCs/>
          <w:vertAlign w:val="superscript"/>
        </w:rPr>
      </w:pPr>
      <w:r w:rsidRPr="00537483">
        <w:rPr>
          <w:rFonts w:ascii="Garamond" w:hAnsi="Garamond"/>
          <w:b/>
          <w:bCs/>
        </w:rPr>
        <w:t xml:space="preserve">M. H. </w:t>
      </w:r>
      <w:proofErr w:type="spellStart"/>
      <w:r w:rsidRPr="00537483">
        <w:rPr>
          <w:rFonts w:ascii="Garamond" w:hAnsi="Garamond"/>
          <w:b/>
          <w:bCs/>
        </w:rPr>
        <w:t>Joudivand</w:t>
      </w:r>
      <w:proofErr w:type="spellEnd"/>
      <w:r w:rsidRPr="00537483">
        <w:rPr>
          <w:rFonts w:ascii="Garamond" w:hAnsi="Garamond"/>
          <w:b/>
          <w:bCs/>
        </w:rPr>
        <w:t xml:space="preserve"> </w:t>
      </w:r>
      <w:proofErr w:type="spellStart"/>
      <w:r w:rsidRPr="00537483">
        <w:rPr>
          <w:rFonts w:ascii="Garamond" w:hAnsi="Garamond"/>
          <w:b/>
          <w:bCs/>
        </w:rPr>
        <w:t>Sarand</w:t>
      </w:r>
      <w:proofErr w:type="spellEnd"/>
      <w:r w:rsidRPr="00537483">
        <w:rPr>
          <w:rFonts w:ascii="Garamond" w:hAnsi="Garamond"/>
          <w:b/>
          <w:bCs/>
        </w:rPr>
        <w:t xml:space="preserve"> </w:t>
      </w:r>
      <w:r w:rsidRPr="00537483">
        <w:rPr>
          <w:rFonts w:ascii="Garamond" w:hAnsi="Garamond"/>
          <w:b/>
          <w:bCs/>
          <w:vertAlign w:val="superscript"/>
        </w:rPr>
        <w:t>1</w:t>
      </w:r>
      <w:r w:rsidRPr="00537483">
        <w:rPr>
          <w:rFonts w:ascii="Garamond" w:hAnsi="Garamond"/>
          <w:b/>
          <w:bCs/>
        </w:rPr>
        <w:t xml:space="preserve"> and I. B. </w:t>
      </w:r>
      <w:proofErr w:type="spellStart"/>
      <w:r w:rsidRPr="00537483">
        <w:rPr>
          <w:rFonts w:ascii="Garamond" w:hAnsi="Garamond"/>
          <w:b/>
          <w:bCs/>
        </w:rPr>
        <w:t>Misirlioglu</w:t>
      </w:r>
      <w:proofErr w:type="spellEnd"/>
      <w:r w:rsidRPr="00537483">
        <w:rPr>
          <w:rFonts w:ascii="Garamond" w:hAnsi="Garamond"/>
          <w:b/>
          <w:bCs/>
        </w:rPr>
        <w:t xml:space="preserve"> </w:t>
      </w:r>
      <w:r w:rsidRPr="00537483">
        <w:rPr>
          <w:rFonts w:ascii="Garamond" w:hAnsi="Garamond"/>
          <w:b/>
          <w:bCs/>
          <w:vertAlign w:val="superscript"/>
        </w:rPr>
        <w:t>2, 3</w:t>
      </w:r>
    </w:p>
    <w:p w14:paraId="6ACEC013" w14:textId="77777777" w:rsidR="0025576D" w:rsidRPr="00537483" w:rsidRDefault="0025576D" w:rsidP="0025576D">
      <w:pPr>
        <w:spacing w:line="276" w:lineRule="auto"/>
        <w:jc w:val="center"/>
        <w:rPr>
          <w:rFonts w:ascii="Garamond" w:hAnsi="Garamond"/>
          <w:b/>
          <w:bCs/>
        </w:rPr>
      </w:pPr>
      <w:r w:rsidRPr="00537483">
        <w:rPr>
          <w:rFonts w:ascii="Garamond" w:hAnsi="Garamond"/>
          <w:vertAlign w:val="superscript"/>
        </w:rPr>
        <w:t>1</w:t>
      </w:r>
      <w:r w:rsidRPr="00537483">
        <w:rPr>
          <w:rFonts w:ascii="Garamond" w:hAnsi="Garamond"/>
        </w:rPr>
        <w:t xml:space="preserve"> Kraftwerk Living Technologies GmbH, Maria-Theresia-</w:t>
      </w:r>
      <w:proofErr w:type="spellStart"/>
      <w:r w:rsidRPr="00537483">
        <w:rPr>
          <w:rFonts w:ascii="Garamond" w:hAnsi="Garamond"/>
        </w:rPr>
        <w:t>Straße</w:t>
      </w:r>
      <w:proofErr w:type="spellEnd"/>
      <w:r w:rsidRPr="00537483">
        <w:rPr>
          <w:rFonts w:ascii="Garamond" w:hAnsi="Garamond"/>
        </w:rPr>
        <w:t xml:space="preserve"> 49, 4600 Wels, Austria</w:t>
      </w:r>
    </w:p>
    <w:p w14:paraId="18AB7C1C" w14:textId="77777777" w:rsidR="0025576D" w:rsidRPr="00537483" w:rsidRDefault="0025576D" w:rsidP="0025576D">
      <w:pPr>
        <w:spacing w:line="276" w:lineRule="auto"/>
        <w:jc w:val="center"/>
        <w:rPr>
          <w:rFonts w:ascii="Garamond" w:hAnsi="Garamond"/>
        </w:rPr>
      </w:pPr>
      <w:r w:rsidRPr="00537483">
        <w:rPr>
          <w:rFonts w:ascii="Garamond" w:hAnsi="Garamond"/>
          <w:vertAlign w:val="superscript"/>
        </w:rPr>
        <w:t xml:space="preserve">2 </w:t>
      </w:r>
      <w:r w:rsidRPr="00537483">
        <w:rPr>
          <w:rFonts w:ascii="Garamond" w:hAnsi="Garamond"/>
        </w:rPr>
        <w:t xml:space="preserve">Faculty of Engineering and Natural Sciences, </w:t>
      </w:r>
      <w:proofErr w:type="spellStart"/>
      <w:r w:rsidRPr="00537483">
        <w:rPr>
          <w:rFonts w:ascii="Garamond" w:hAnsi="Garamond"/>
        </w:rPr>
        <w:t>Sabanci</w:t>
      </w:r>
      <w:proofErr w:type="spellEnd"/>
      <w:r w:rsidRPr="00537483">
        <w:rPr>
          <w:rFonts w:ascii="Garamond" w:hAnsi="Garamond"/>
        </w:rPr>
        <w:t xml:space="preserve"> University, </w:t>
      </w:r>
      <w:proofErr w:type="spellStart"/>
      <w:r w:rsidRPr="00537483">
        <w:rPr>
          <w:rFonts w:ascii="Garamond" w:hAnsi="Garamond"/>
        </w:rPr>
        <w:t>Orhanli</w:t>
      </w:r>
      <w:proofErr w:type="spellEnd"/>
      <w:r w:rsidRPr="00537483">
        <w:rPr>
          <w:rFonts w:ascii="Garamond" w:hAnsi="Garamond"/>
        </w:rPr>
        <w:t>/Tuzla, 34956 Istanbul, Turkey</w:t>
      </w:r>
    </w:p>
    <w:p w14:paraId="05C50489" w14:textId="77777777" w:rsidR="0025576D" w:rsidRPr="00537483" w:rsidRDefault="0025576D" w:rsidP="0025576D">
      <w:pPr>
        <w:spacing w:line="276" w:lineRule="auto"/>
        <w:jc w:val="center"/>
        <w:rPr>
          <w:rFonts w:ascii="Garamond" w:hAnsi="Garamond"/>
        </w:rPr>
      </w:pPr>
      <w:r w:rsidRPr="00537483">
        <w:rPr>
          <w:rFonts w:ascii="Garamond" w:hAnsi="Garamond"/>
          <w:vertAlign w:val="superscript"/>
        </w:rPr>
        <w:t xml:space="preserve">3 </w:t>
      </w:r>
      <w:r w:rsidRPr="00537483">
        <w:rPr>
          <w:rFonts w:ascii="Garamond" w:hAnsi="Garamond"/>
        </w:rPr>
        <w:t xml:space="preserve">Center of Excellence for Functional Surfaces and Interfaces for Nano-Diagnostics (EFSUN), </w:t>
      </w:r>
      <w:proofErr w:type="spellStart"/>
      <w:r w:rsidRPr="00537483">
        <w:rPr>
          <w:rFonts w:ascii="Garamond" w:hAnsi="Garamond"/>
        </w:rPr>
        <w:t>Sabanci</w:t>
      </w:r>
      <w:proofErr w:type="spellEnd"/>
      <w:r w:rsidRPr="00537483">
        <w:rPr>
          <w:rFonts w:ascii="Garamond" w:hAnsi="Garamond"/>
        </w:rPr>
        <w:t xml:space="preserve"> University, </w:t>
      </w:r>
      <w:proofErr w:type="spellStart"/>
      <w:r w:rsidRPr="00537483">
        <w:rPr>
          <w:rFonts w:ascii="Garamond" w:hAnsi="Garamond"/>
        </w:rPr>
        <w:t>Orhanli</w:t>
      </w:r>
      <w:proofErr w:type="spellEnd"/>
      <w:r w:rsidRPr="00537483">
        <w:rPr>
          <w:rFonts w:ascii="Garamond" w:hAnsi="Garamond"/>
        </w:rPr>
        <w:t>/Tuzla, 34956 Istanbul, Turkey</w:t>
      </w:r>
    </w:p>
    <w:p w14:paraId="3AAAAA83" w14:textId="77777777" w:rsidR="008C75B0" w:rsidRPr="00537483" w:rsidRDefault="008C75B0" w:rsidP="0025576D">
      <w:pPr>
        <w:pStyle w:val="Heading1"/>
        <w:numPr>
          <w:ilvl w:val="0"/>
          <w:numId w:val="0"/>
        </w:numPr>
        <w:shd w:val="clear" w:color="auto" w:fill="FFFFFF"/>
        <w:spacing w:before="0" w:after="0" w:line="240" w:lineRule="auto"/>
        <w:rPr>
          <w:rFonts w:ascii="Garamond" w:hAnsi="Garamond"/>
          <w:sz w:val="22"/>
          <w:szCs w:val="22"/>
        </w:rPr>
      </w:pPr>
    </w:p>
    <w:p w14:paraId="12881AA9" w14:textId="3CA28796" w:rsidR="0025576D" w:rsidRPr="00537483" w:rsidRDefault="0025576D" w:rsidP="0025576D">
      <w:pPr>
        <w:pStyle w:val="Heading1"/>
        <w:numPr>
          <w:ilvl w:val="0"/>
          <w:numId w:val="0"/>
        </w:numPr>
        <w:shd w:val="clear" w:color="auto" w:fill="FFFFFF"/>
        <w:spacing w:before="0" w:after="0" w:line="240" w:lineRule="auto"/>
        <w:rPr>
          <w:rFonts w:ascii="Garamond" w:hAnsi="Garamond"/>
          <w:sz w:val="22"/>
          <w:szCs w:val="22"/>
        </w:rPr>
      </w:pPr>
      <w:r w:rsidRPr="00537483">
        <w:rPr>
          <w:rFonts w:ascii="Garamond" w:hAnsi="Garamond"/>
          <w:sz w:val="22"/>
          <w:szCs w:val="22"/>
        </w:rPr>
        <w:t xml:space="preserve">In this document we provide the CPFEM analysis of the microstructural data provided in </w:t>
      </w:r>
      <w:proofErr w:type="spellStart"/>
      <w:r w:rsidRPr="00537483">
        <w:rPr>
          <w:rFonts w:ascii="Garamond" w:hAnsi="Garamond"/>
          <w:sz w:val="22"/>
          <w:szCs w:val="22"/>
        </w:rPr>
        <w:t>Bas</w:t>
      </w:r>
      <w:r w:rsidR="00595E78" w:rsidRPr="00537483">
        <w:rPr>
          <w:rFonts w:ascii="Garamond" w:hAnsi="Garamond"/>
          <w:sz w:val="22"/>
          <w:szCs w:val="22"/>
        </w:rPr>
        <w:t>u</w:t>
      </w:r>
      <w:proofErr w:type="spellEnd"/>
      <w:r w:rsidRPr="00537483">
        <w:rPr>
          <w:rFonts w:ascii="Garamond" w:hAnsi="Garamond"/>
          <w:sz w:val="22"/>
          <w:szCs w:val="22"/>
        </w:rPr>
        <w:t xml:space="preserve"> et al [</w:t>
      </w:r>
      <w:r w:rsidR="00233BF8" w:rsidRPr="00537483">
        <w:rPr>
          <w:rFonts w:ascii="Garamond" w:hAnsi="Garamond"/>
          <w:sz w:val="22"/>
          <w:szCs w:val="22"/>
        </w:rPr>
        <w:t>28</w:t>
      </w:r>
      <w:r w:rsidRPr="00537483">
        <w:rPr>
          <w:rFonts w:ascii="Garamond" w:hAnsi="Garamond"/>
          <w:sz w:val="22"/>
          <w:szCs w:val="22"/>
        </w:rPr>
        <w:t xml:space="preserve">] for their </w:t>
      </w:r>
      <w:r w:rsidR="00233BF8" w:rsidRPr="00537483">
        <w:rPr>
          <w:rFonts w:ascii="Garamond" w:hAnsi="Garamond"/>
          <w:sz w:val="22"/>
          <w:szCs w:val="22"/>
        </w:rPr>
        <w:t>dual-phase steel</w:t>
      </w:r>
      <w:r w:rsidRPr="00537483">
        <w:rPr>
          <w:rFonts w:ascii="Garamond" w:hAnsi="Garamond"/>
          <w:sz w:val="22"/>
          <w:szCs w:val="22"/>
        </w:rPr>
        <w:t xml:space="preserve"> alloy. We </w:t>
      </w:r>
      <w:r w:rsidR="00CB6457" w:rsidRPr="00537483">
        <w:rPr>
          <w:rFonts w:ascii="Garamond" w:hAnsi="Garamond"/>
          <w:sz w:val="22"/>
          <w:szCs w:val="22"/>
        </w:rPr>
        <w:t>computed</w:t>
      </w:r>
      <w:r w:rsidRPr="00537483">
        <w:rPr>
          <w:rFonts w:ascii="Garamond" w:hAnsi="Garamond"/>
          <w:sz w:val="22"/>
          <w:szCs w:val="22"/>
        </w:rPr>
        <w:t xml:space="preserve"> the MCF and </w:t>
      </w:r>
      <w:proofErr w:type="spellStart"/>
      <w:r w:rsidRPr="00537483">
        <w:rPr>
          <w:rFonts w:ascii="Garamond" w:hAnsi="Garamond"/>
          <w:sz w:val="22"/>
          <w:szCs w:val="22"/>
        </w:rPr>
        <w:t>CoV</w:t>
      </w:r>
      <w:proofErr w:type="spellEnd"/>
      <w:r w:rsidRPr="00537483">
        <w:rPr>
          <w:rFonts w:ascii="Garamond" w:hAnsi="Garamond"/>
          <w:sz w:val="22"/>
          <w:szCs w:val="22"/>
        </w:rPr>
        <w:t xml:space="preserve"> metrics that we formulate in our current manuscript</w:t>
      </w:r>
      <w:r w:rsidR="00CB6457" w:rsidRPr="00537483">
        <w:rPr>
          <w:rFonts w:ascii="Garamond" w:hAnsi="Garamond"/>
          <w:sz w:val="22"/>
          <w:szCs w:val="22"/>
        </w:rPr>
        <w:t xml:space="preserve"> for</w:t>
      </w:r>
      <w:r w:rsidRPr="00537483">
        <w:rPr>
          <w:rFonts w:ascii="Garamond" w:hAnsi="Garamond"/>
          <w:sz w:val="22"/>
          <w:szCs w:val="22"/>
        </w:rPr>
        <w:t xml:space="preserve"> the experiments conducted </w:t>
      </w:r>
      <w:r w:rsidR="00233BF8" w:rsidRPr="00537483">
        <w:rPr>
          <w:rFonts w:ascii="Garamond" w:hAnsi="Garamond"/>
          <w:sz w:val="22"/>
          <w:szCs w:val="22"/>
        </w:rPr>
        <w:t>therein</w:t>
      </w:r>
      <w:r w:rsidRPr="00537483">
        <w:rPr>
          <w:rFonts w:ascii="Garamond" w:hAnsi="Garamond"/>
          <w:sz w:val="22"/>
          <w:szCs w:val="22"/>
        </w:rPr>
        <w:t xml:space="preserve"> </w:t>
      </w:r>
      <w:r w:rsidRPr="00537483">
        <w:rPr>
          <w:rFonts w:ascii="Garamond" w:hAnsi="Garamond"/>
          <w:sz w:val="22"/>
          <w:szCs w:val="22"/>
        </w:rPr>
        <w:fldChar w:fldCharType="begin"/>
      </w:r>
      <w:r w:rsidRPr="00537483">
        <w:rPr>
          <w:rFonts w:ascii="Garamond" w:hAnsi="Garamond"/>
          <w:sz w:val="22"/>
          <w:szCs w:val="22"/>
        </w:rPr>
        <w:instrText xml:space="preserve"> ADDIN EN.CITE &lt;EndNote&gt;&lt;Cite&gt;&lt;Author&gt;Pelligra&lt;/Author&gt;&lt;Year&gt;2022&lt;/Year&gt;&lt;RecNum&gt;229&lt;/RecNum&gt;&lt;DisplayText&gt;[153]&lt;/DisplayText&gt;&lt;record&gt;&lt;rec-number&gt;229&lt;/rec-number&gt;&lt;foreign-keys&gt;&lt;key app="EN" db-id="a9dz5par2ws52gef2w7vwpf8azrf29avr2ze" timestamp="1682281228" guid="b3561c8e-d3df-43ab-9859-bdfb3a3686da"&gt;229&lt;/key&gt;&lt;/foreign-keys&gt;&lt;ref-type name="Journal Article"&gt;17&lt;/ref-type&gt;&lt;contributors&gt;&lt;authors&gt;&lt;author&gt;Pelligra, Concetta&lt;/author&gt;&lt;author&gt;Samei, Javad&lt;/author&gt;&lt;author&gt;Kang, Jidong&lt;/author&gt;&lt;author&gt;Wilkinson, David S&lt;/author&gt;&lt;/authors&gt;&lt;/contributors&gt;&lt;titles&gt;&lt;title&gt;The effect of vanadium on microstrain partitioning and localized damage during deformation of unnotched and notched DP1300 steels&lt;/title&gt;&lt;secondary-title&gt;International Journal of Plasticity&lt;/secondary-title&gt;&lt;/titles&gt;&lt;periodical&gt;&lt;full-title&gt;International Journal of Plasticity&lt;/full-title&gt;&lt;/periodical&gt;&lt;pages&gt;103435&lt;/pages&gt;&lt;volume&gt;158&lt;/volume&gt;&lt;dates&gt;&lt;year&gt;2022&lt;/year&gt;&lt;/dates&gt;&lt;isbn&gt;0749-6419&lt;/isbn&gt;&lt;urls&gt;&lt;/urls&gt;&lt;/record&gt;&lt;/Cite&gt;&lt;/EndNote&gt;</w:instrText>
      </w:r>
      <w:r w:rsidRPr="00537483">
        <w:rPr>
          <w:rFonts w:ascii="Garamond" w:hAnsi="Garamond"/>
          <w:sz w:val="22"/>
          <w:szCs w:val="22"/>
        </w:rPr>
        <w:fldChar w:fldCharType="separate"/>
      </w:r>
      <w:r w:rsidRPr="00537483">
        <w:rPr>
          <w:rFonts w:ascii="Garamond" w:hAnsi="Garamond"/>
          <w:noProof/>
          <w:sz w:val="22"/>
          <w:szCs w:val="22"/>
        </w:rPr>
        <w:t>[</w:t>
      </w:r>
      <w:r w:rsidR="00233BF8" w:rsidRPr="00537483">
        <w:rPr>
          <w:rFonts w:ascii="Garamond" w:hAnsi="Garamond"/>
          <w:noProof/>
          <w:sz w:val="22"/>
          <w:szCs w:val="22"/>
        </w:rPr>
        <w:t>28</w:t>
      </w:r>
      <w:r w:rsidRPr="00537483">
        <w:rPr>
          <w:rFonts w:ascii="Garamond" w:hAnsi="Garamond"/>
          <w:noProof/>
          <w:sz w:val="22"/>
          <w:szCs w:val="22"/>
        </w:rPr>
        <w:t>]</w:t>
      </w:r>
      <w:r w:rsidRPr="00537483">
        <w:rPr>
          <w:rFonts w:ascii="Garamond" w:hAnsi="Garamond"/>
          <w:sz w:val="22"/>
          <w:szCs w:val="22"/>
        </w:rPr>
        <w:fldChar w:fldCharType="end"/>
      </w:r>
      <w:r w:rsidRPr="00537483">
        <w:rPr>
          <w:rFonts w:ascii="Garamond" w:hAnsi="Garamond"/>
          <w:sz w:val="22"/>
          <w:szCs w:val="22"/>
        </w:rPr>
        <w:t xml:space="preserve">. Their data is limited to the initial distribution of ferrite and martensite phases and the strain maps </w:t>
      </w:r>
      <w:r w:rsidRPr="00537483">
        <w:rPr>
          <w:rFonts w:ascii="Garamond" w:hAnsi="Garamond"/>
          <w:i/>
          <w:iCs/>
          <w:sz w:val="22"/>
          <w:szCs w:val="22"/>
        </w:rPr>
        <w:t>after deformation</w:t>
      </w:r>
      <w:r w:rsidRPr="00537483">
        <w:rPr>
          <w:rFonts w:ascii="Garamond" w:hAnsi="Garamond"/>
          <w:sz w:val="22"/>
          <w:szCs w:val="22"/>
        </w:rPr>
        <w:t>.</w:t>
      </w:r>
      <w:r w:rsidR="00CB6457" w:rsidRPr="00537483">
        <w:rPr>
          <w:rFonts w:ascii="Garamond" w:hAnsi="Garamond"/>
          <w:sz w:val="22"/>
          <w:szCs w:val="22"/>
        </w:rPr>
        <w:t xml:space="preserve"> While it is possible to process the microstructural image to compute the MCF from digitalized data (See Figure S1), the strain data published therein is extracted from the deformed sample(s).</w:t>
      </w:r>
      <w:r w:rsidRPr="00537483">
        <w:rPr>
          <w:rFonts w:ascii="Garamond" w:hAnsi="Garamond"/>
          <w:sz w:val="22"/>
          <w:szCs w:val="22"/>
        </w:rPr>
        <w:t xml:space="preserve"> </w:t>
      </w:r>
      <w:r w:rsidR="00CB6457" w:rsidRPr="00537483">
        <w:rPr>
          <w:rFonts w:ascii="Garamond" w:hAnsi="Garamond"/>
          <w:sz w:val="22"/>
          <w:szCs w:val="22"/>
        </w:rPr>
        <w:t>Moreover</w:t>
      </w:r>
      <w:r w:rsidRPr="00537483">
        <w:rPr>
          <w:rFonts w:ascii="Garamond" w:hAnsi="Garamond"/>
          <w:sz w:val="22"/>
          <w:szCs w:val="22"/>
        </w:rPr>
        <w:t xml:space="preserve">, because we cannot convert their strain data into a digitally processable form, we ran the CPFEM plasticity simulation </w:t>
      </w:r>
      <w:r w:rsidR="00CB6457" w:rsidRPr="00537483">
        <w:rPr>
          <w:rFonts w:ascii="Garamond" w:hAnsi="Garamond"/>
          <w:sz w:val="22"/>
          <w:szCs w:val="22"/>
        </w:rPr>
        <w:t>(See Ref. [</w:t>
      </w:r>
      <w:r w:rsidR="00233BF8" w:rsidRPr="00537483">
        <w:rPr>
          <w:rFonts w:ascii="Garamond" w:hAnsi="Garamond"/>
          <w:sz w:val="22"/>
          <w:szCs w:val="22"/>
        </w:rPr>
        <w:t>26</w:t>
      </w:r>
      <w:r w:rsidR="00CB6457" w:rsidRPr="00537483">
        <w:rPr>
          <w:rFonts w:ascii="Garamond" w:hAnsi="Garamond"/>
          <w:sz w:val="22"/>
          <w:szCs w:val="22"/>
        </w:rPr>
        <w:t>] for deta</w:t>
      </w:r>
      <w:r w:rsidR="00233BF8" w:rsidRPr="00537483">
        <w:rPr>
          <w:rFonts w:ascii="Garamond" w:hAnsi="Garamond"/>
          <w:sz w:val="22"/>
          <w:szCs w:val="22"/>
        </w:rPr>
        <w:t>i</w:t>
      </w:r>
      <w:r w:rsidR="00CB6457" w:rsidRPr="00537483">
        <w:rPr>
          <w:rFonts w:ascii="Garamond" w:hAnsi="Garamond"/>
          <w:sz w:val="22"/>
          <w:szCs w:val="22"/>
        </w:rPr>
        <w:t xml:space="preserve">ls) </w:t>
      </w:r>
      <w:r w:rsidRPr="00537483">
        <w:rPr>
          <w:rFonts w:ascii="Garamond" w:hAnsi="Garamond"/>
          <w:sz w:val="22"/>
          <w:szCs w:val="22"/>
        </w:rPr>
        <w:t xml:space="preserve">using their </w:t>
      </w:r>
      <w:r w:rsidR="00CB6457" w:rsidRPr="00537483">
        <w:rPr>
          <w:rFonts w:ascii="Garamond" w:hAnsi="Garamond"/>
          <w:sz w:val="22"/>
          <w:szCs w:val="22"/>
        </w:rPr>
        <w:t>microstructural phase-</w:t>
      </w:r>
      <w:r w:rsidRPr="00537483">
        <w:rPr>
          <w:rFonts w:ascii="Garamond" w:hAnsi="Garamond"/>
          <w:sz w:val="22"/>
          <w:szCs w:val="22"/>
        </w:rPr>
        <w:t xml:space="preserve">data based on a random orientation distribution inside the ferrite phase with the martensite regions being </w:t>
      </w:r>
      <w:r w:rsidR="00CB6457" w:rsidRPr="00537483">
        <w:rPr>
          <w:rFonts w:ascii="Garamond" w:hAnsi="Garamond"/>
          <w:sz w:val="22"/>
          <w:szCs w:val="22"/>
        </w:rPr>
        <w:t xml:space="preserve">the </w:t>
      </w:r>
      <w:r w:rsidRPr="00537483">
        <w:rPr>
          <w:rFonts w:ascii="Garamond" w:hAnsi="Garamond"/>
          <w:sz w:val="22"/>
          <w:szCs w:val="22"/>
        </w:rPr>
        <w:t>stiff</w:t>
      </w:r>
      <w:r w:rsidR="00CB6457" w:rsidRPr="00537483">
        <w:rPr>
          <w:rFonts w:ascii="Garamond" w:hAnsi="Garamond"/>
          <w:sz w:val="22"/>
          <w:szCs w:val="22"/>
        </w:rPr>
        <w:t xml:space="preserve"> phase</w:t>
      </w:r>
      <w:r w:rsidRPr="00537483">
        <w:rPr>
          <w:rFonts w:ascii="Garamond" w:hAnsi="Garamond"/>
          <w:sz w:val="22"/>
          <w:szCs w:val="22"/>
        </w:rPr>
        <w:t xml:space="preserve">. To construct the model, the phase distribution depicted in Figure </w:t>
      </w:r>
      <w:r w:rsidR="00233BF8" w:rsidRPr="00537483">
        <w:rPr>
          <w:rFonts w:ascii="Garamond" w:hAnsi="Garamond"/>
          <w:sz w:val="22"/>
          <w:szCs w:val="22"/>
        </w:rPr>
        <w:t>S</w:t>
      </w:r>
      <w:r w:rsidRPr="00537483">
        <w:rPr>
          <w:rFonts w:ascii="Garamond" w:hAnsi="Garamond"/>
          <w:sz w:val="22"/>
          <w:szCs w:val="22"/>
        </w:rPr>
        <w:t>1</w:t>
      </w:r>
      <w:r w:rsidR="00233BF8" w:rsidRPr="00537483">
        <w:rPr>
          <w:rFonts w:ascii="Garamond" w:hAnsi="Garamond"/>
          <w:sz w:val="22"/>
          <w:szCs w:val="22"/>
        </w:rPr>
        <w:t>(a)</w:t>
      </w:r>
      <w:r w:rsidRPr="00537483">
        <w:rPr>
          <w:rFonts w:ascii="Garamond" w:hAnsi="Garamond"/>
          <w:sz w:val="22"/>
          <w:szCs w:val="22"/>
        </w:rPr>
        <w:t xml:space="preserve"> </w:t>
      </w:r>
      <w:r w:rsidR="00233BF8" w:rsidRPr="00537483">
        <w:rPr>
          <w:rFonts w:ascii="Garamond" w:hAnsi="Garamond"/>
          <w:sz w:val="22"/>
          <w:szCs w:val="22"/>
        </w:rPr>
        <w:t>used from</w:t>
      </w:r>
      <w:r w:rsidRPr="00537483">
        <w:rPr>
          <w:rFonts w:ascii="Garamond" w:hAnsi="Garamond"/>
          <w:sz w:val="22"/>
          <w:szCs w:val="22"/>
        </w:rPr>
        <w:t xml:space="preserve"> </w:t>
      </w:r>
      <w:proofErr w:type="spellStart"/>
      <w:r w:rsidRPr="00537483">
        <w:rPr>
          <w:rFonts w:ascii="Garamond" w:hAnsi="Garamond"/>
          <w:sz w:val="22"/>
          <w:szCs w:val="22"/>
        </w:rPr>
        <w:t>Bas</w:t>
      </w:r>
      <w:r w:rsidR="00233BF8" w:rsidRPr="00537483">
        <w:rPr>
          <w:rFonts w:ascii="Garamond" w:hAnsi="Garamond"/>
          <w:sz w:val="22"/>
          <w:szCs w:val="22"/>
        </w:rPr>
        <w:t>u</w:t>
      </w:r>
      <w:proofErr w:type="spellEnd"/>
      <w:r w:rsidRPr="00537483">
        <w:rPr>
          <w:rFonts w:ascii="Garamond" w:hAnsi="Garamond"/>
          <w:sz w:val="22"/>
          <w:szCs w:val="22"/>
        </w:rPr>
        <w:t xml:space="preserve"> et al.'s publication [</w:t>
      </w:r>
      <w:r w:rsidR="00233BF8" w:rsidRPr="00537483">
        <w:rPr>
          <w:rFonts w:ascii="Garamond" w:hAnsi="Garamond"/>
          <w:sz w:val="22"/>
          <w:szCs w:val="22"/>
        </w:rPr>
        <w:t>28</w:t>
      </w:r>
      <w:r w:rsidRPr="00537483">
        <w:rPr>
          <w:rFonts w:ascii="Garamond" w:hAnsi="Garamond"/>
          <w:sz w:val="22"/>
          <w:szCs w:val="22"/>
        </w:rPr>
        <w:t xml:space="preserve">] is digitized through the implementation of a custom MATLAB image processing method, which is provided in Figure </w:t>
      </w:r>
      <w:r w:rsidR="0087282C" w:rsidRPr="00537483">
        <w:rPr>
          <w:rFonts w:ascii="Garamond" w:hAnsi="Garamond"/>
          <w:sz w:val="22"/>
          <w:szCs w:val="22"/>
        </w:rPr>
        <w:t>S</w:t>
      </w:r>
      <w:r w:rsidRPr="00537483">
        <w:rPr>
          <w:rFonts w:ascii="Garamond" w:hAnsi="Garamond"/>
          <w:sz w:val="22"/>
          <w:szCs w:val="22"/>
        </w:rPr>
        <w:t>1(c).</w:t>
      </w:r>
    </w:p>
    <w:p w14:paraId="0A738DEE" w14:textId="77777777" w:rsidR="0025576D" w:rsidRPr="00537483" w:rsidRDefault="0025576D" w:rsidP="0025576D">
      <w:pPr>
        <w:jc w:val="center"/>
        <w:rPr>
          <w:rFonts w:ascii="Garamond" w:hAnsi="Garamond"/>
        </w:rPr>
      </w:pPr>
      <w:r w:rsidRPr="00537483">
        <w:rPr>
          <w:rFonts w:ascii="Garamond" w:hAnsi="Garamond"/>
        </w:rPr>
        <w:drawing>
          <wp:inline distT="0" distB="0" distL="0" distR="0" wp14:anchorId="79838031" wp14:editId="069361F4">
            <wp:extent cx="3725584" cy="3466768"/>
            <wp:effectExtent l="0" t="0" r="825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35380" cy="3475884"/>
                    </a:xfrm>
                    <a:prstGeom prst="rect">
                      <a:avLst/>
                    </a:prstGeom>
                  </pic:spPr>
                </pic:pic>
              </a:graphicData>
            </a:graphic>
          </wp:inline>
        </w:drawing>
      </w:r>
    </w:p>
    <w:p w14:paraId="4E3F78F6" w14:textId="0FC15272" w:rsidR="008976E2" w:rsidRPr="00537483" w:rsidRDefault="0025576D" w:rsidP="008976E2">
      <w:pPr>
        <w:pStyle w:val="Caption"/>
        <w:jc w:val="both"/>
        <w:rPr>
          <w:rFonts w:ascii="Garamond" w:hAnsi="Garamond"/>
          <w:szCs w:val="22"/>
        </w:rPr>
      </w:pPr>
      <w:bookmarkStart w:id="0" w:name="_Ref148555365"/>
      <w:bookmarkStart w:id="1" w:name="_Toc156118255"/>
      <w:r w:rsidRPr="00537483">
        <w:rPr>
          <w:rFonts w:ascii="Garamond" w:hAnsi="Garamond"/>
          <w:szCs w:val="22"/>
        </w:rPr>
        <w:t xml:space="preserve">Figure </w:t>
      </w:r>
      <w:bookmarkEnd w:id="0"/>
      <w:r w:rsidR="00CB6457" w:rsidRPr="00537483">
        <w:rPr>
          <w:rFonts w:ascii="Garamond" w:hAnsi="Garamond"/>
          <w:szCs w:val="22"/>
        </w:rPr>
        <w:t>S</w:t>
      </w:r>
      <w:r w:rsidRPr="00537483">
        <w:rPr>
          <w:rFonts w:ascii="Garamond" w:hAnsi="Garamond"/>
          <w:szCs w:val="22"/>
        </w:rPr>
        <w:t xml:space="preserve">1. </w:t>
      </w:r>
      <w:bookmarkEnd w:id="1"/>
      <w:r w:rsidR="008976E2" w:rsidRPr="00537483">
        <w:rPr>
          <w:rFonts w:ascii="Garamond" w:hAnsi="Garamond"/>
          <w:szCs w:val="22"/>
        </w:rPr>
        <w:t xml:space="preserve">The procedure for processing a screenshot extracted from Figure 2 in publication of </w:t>
      </w:r>
      <w:proofErr w:type="spellStart"/>
      <w:r w:rsidR="008976E2" w:rsidRPr="00537483">
        <w:rPr>
          <w:rFonts w:ascii="Garamond" w:hAnsi="Garamond"/>
          <w:szCs w:val="22"/>
        </w:rPr>
        <w:t>Basu</w:t>
      </w:r>
      <w:proofErr w:type="spellEnd"/>
      <w:r w:rsidR="008976E2" w:rsidRPr="00537483">
        <w:rPr>
          <w:rFonts w:ascii="Garamond" w:hAnsi="Garamond"/>
          <w:szCs w:val="22"/>
        </w:rPr>
        <w:t xml:space="preserve"> et al. </w:t>
      </w:r>
      <w:r w:rsidR="008976E2" w:rsidRPr="00537483">
        <w:rPr>
          <w:rFonts w:ascii="Garamond" w:hAnsi="Garamond"/>
          <w:szCs w:val="22"/>
        </w:rPr>
        <w:fldChar w:fldCharType="begin"/>
      </w:r>
      <w:r w:rsidR="008976E2" w:rsidRPr="00537483">
        <w:rPr>
          <w:rFonts w:ascii="Garamond" w:hAnsi="Garamond"/>
          <w:szCs w:val="22"/>
        </w:rPr>
        <w:instrText xml:space="preserve"> ADDIN EN.CITE &lt;EndNote&gt;&lt;Cite&gt;&lt;Author&gt;Pelligra&lt;/Author&gt;&lt;Year&gt;2022&lt;/Year&gt;&lt;RecNum&gt;229&lt;/RecNum&gt;&lt;DisplayText&gt;[153]&lt;/DisplayText&gt;&lt;record&gt;&lt;rec-number&gt;229&lt;/rec-number&gt;&lt;foreign-keys&gt;&lt;key app="EN" db-id="a9dz5par2ws52gef2w7vwpf8azrf29avr2ze" timestamp="1682281228" guid="b3561c8e-d3df-43ab-9859-bdfb3a3686da"&gt;229&lt;/key&gt;&lt;/foreign-keys&gt;&lt;ref-type name="Journal Article"&gt;17&lt;/ref-type&gt;&lt;contributors&gt;&lt;authors&gt;&lt;author&gt;Pelligra, Concetta&lt;/author&gt;&lt;author&gt;Samei, Javad&lt;/author&gt;&lt;author&gt;Kang, Jidong&lt;/author&gt;&lt;author&gt;Wilkinson, David S&lt;/author&gt;&lt;/authors&gt;&lt;/contributors&gt;&lt;titles&gt;&lt;title&gt;The effect of vanadium on microstrain partitioning and localized damage during deformation of unnotched and notched DP1300 steels&lt;/title&gt;&lt;secondary-title&gt;International Journal of Plasticity&lt;/secondary-title&gt;&lt;/titles&gt;&lt;periodical&gt;&lt;full-title&gt;International Journal of Plasticity&lt;/full-title&gt;&lt;/periodical&gt;&lt;pages&gt;103435&lt;/pages&gt;&lt;volume&gt;158&lt;/volume&gt;&lt;dates&gt;&lt;year&gt;2022&lt;/year&gt;&lt;/dates&gt;&lt;isbn&gt;0749-6419&lt;/isbn&gt;&lt;urls&gt;&lt;/urls&gt;&lt;/record&gt;&lt;/Cite&gt;&lt;/EndNote&gt;</w:instrText>
      </w:r>
      <w:r w:rsidR="008976E2" w:rsidRPr="00537483">
        <w:rPr>
          <w:rFonts w:ascii="Garamond" w:hAnsi="Garamond"/>
          <w:szCs w:val="22"/>
        </w:rPr>
        <w:fldChar w:fldCharType="separate"/>
      </w:r>
      <w:r w:rsidR="008976E2" w:rsidRPr="00537483">
        <w:rPr>
          <w:rFonts w:ascii="Garamond" w:hAnsi="Garamond"/>
          <w:noProof/>
          <w:szCs w:val="22"/>
        </w:rPr>
        <w:t>[</w:t>
      </w:r>
      <w:r w:rsidR="00CB5139" w:rsidRPr="00537483">
        <w:rPr>
          <w:rFonts w:ascii="Garamond" w:hAnsi="Garamond"/>
          <w:noProof/>
          <w:szCs w:val="22"/>
        </w:rPr>
        <w:t>28</w:t>
      </w:r>
      <w:r w:rsidR="008976E2" w:rsidRPr="00537483">
        <w:rPr>
          <w:rFonts w:ascii="Garamond" w:hAnsi="Garamond"/>
          <w:noProof/>
          <w:szCs w:val="22"/>
        </w:rPr>
        <w:t>]</w:t>
      </w:r>
      <w:r w:rsidR="008976E2" w:rsidRPr="00537483">
        <w:rPr>
          <w:rFonts w:ascii="Garamond" w:hAnsi="Garamond"/>
          <w:szCs w:val="22"/>
        </w:rPr>
        <w:fldChar w:fldCharType="end"/>
      </w:r>
      <w:r w:rsidR="008976E2" w:rsidRPr="00537483">
        <w:rPr>
          <w:rFonts w:ascii="Garamond" w:hAnsi="Garamond"/>
          <w:szCs w:val="22"/>
        </w:rPr>
        <w:t xml:space="preserve"> to generate a 50 × 50 model to extract MCF via Eq. 1. In this figure, black cells represent the martensite </w:t>
      </w:r>
      <w:r w:rsidR="008976E2" w:rsidRPr="00537483">
        <w:rPr>
          <w:rFonts w:ascii="Garamond" w:hAnsi="Garamond"/>
          <w:szCs w:val="22"/>
        </w:rPr>
        <w:lastRenderedPageBreak/>
        <w:t>phase, while white cells depict the ferrite phase. During this process, the martensite-to-ferrite ratio is maintained at 40.5%. The MCF is computed from the image in (c) to be 2.191.</w:t>
      </w:r>
    </w:p>
    <w:p w14:paraId="696B4193" w14:textId="77777777" w:rsidR="006859FB" w:rsidRPr="00537483" w:rsidRDefault="006859FB" w:rsidP="006859FB"/>
    <w:tbl>
      <w:tblPr>
        <w:tblStyle w:val="TableGrid"/>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5"/>
        <w:gridCol w:w="235"/>
      </w:tblGrid>
      <w:tr w:rsidR="0025576D" w:rsidRPr="00537483" w14:paraId="15D8102B" w14:textId="77777777" w:rsidTr="003D2A77">
        <w:trPr>
          <w:gridAfter w:val="1"/>
          <w:wAfter w:w="235" w:type="dxa"/>
        </w:trPr>
        <w:tc>
          <w:tcPr>
            <w:tcW w:w="9575" w:type="dxa"/>
          </w:tcPr>
          <w:p w14:paraId="1553CEDE" w14:textId="77777777" w:rsidR="0025576D" w:rsidRDefault="0025576D" w:rsidP="00F734CF">
            <w:pPr>
              <w:pStyle w:val="FigurePosition"/>
              <w:spacing w:line="240" w:lineRule="auto"/>
              <w:ind w:left="-105" w:right="286"/>
              <w:contextualSpacing/>
              <w:jc w:val="both"/>
              <w:rPr>
                <w:rFonts w:ascii="Garamond" w:hAnsi="Garamond" w:cs="Arial"/>
                <w:color w:val="222222"/>
                <w:shd w:val="clear" w:color="auto" w:fill="FFFFFF"/>
              </w:rPr>
            </w:pPr>
            <w:r w:rsidRPr="00537483">
              <w:rPr>
                <w:rFonts w:ascii="Garamond" w:hAnsi="Garamond"/>
              </w:rPr>
              <w:t xml:space="preserve">The CPFEM simulations quite effectively replicate the overall strain distribution observed in both microstructures at 10% and 15% strain as given comparably in Figure </w:t>
            </w:r>
            <w:r w:rsidR="00CB5139" w:rsidRPr="00537483">
              <w:rPr>
                <w:rFonts w:ascii="Garamond" w:hAnsi="Garamond"/>
              </w:rPr>
              <w:t>S</w:t>
            </w:r>
            <w:r w:rsidRPr="00537483">
              <w:rPr>
                <w:rFonts w:ascii="Garamond" w:hAnsi="Garamond"/>
              </w:rPr>
              <w:t xml:space="preserve">2. As aforementioned, we use this strain data to compute CoV as a demo case (MCF can already be retrieved from the digital data in Figure </w:t>
            </w:r>
            <w:r w:rsidR="00CB5139" w:rsidRPr="00537483">
              <w:rPr>
                <w:rFonts w:ascii="Garamond" w:hAnsi="Garamond"/>
              </w:rPr>
              <w:t>S</w:t>
            </w:r>
            <w:r w:rsidRPr="00537483">
              <w:rPr>
                <w:rFonts w:ascii="Garamond" w:hAnsi="Garamond"/>
              </w:rPr>
              <w:t>1</w:t>
            </w:r>
            <w:r w:rsidR="00CB5139" w:rsidRPr="00537483">
              <w:rPr>
                <w:rFonts w:ascii="Garamond" w:hAnsi="Garamond"/>
              </w:rPr>
              <w:t>(</w:t>
            </w:r>
            <w:r w:rsidRPr="00537483">
              <w:rPr>
                <w:rFonts w:ascii="Garamond" w:hAnsi="Garamond"/>
              </w:rPr>
              <w:t>c</w:t>
            </w:r>
            <w:r w:rsidR="00CB5139" w:rsidRPr="00537483">
              <w:rPr>
                <w:rFonts w:ascii="Garamond" w:hAnsi="Garamond"/>
              </w:rPr>
              <w:t>)</w:t>
            </w:r>
            <w:r w:rsidRPr="00537483">
              <w:rPr>
                <w:rFonts w:ascii="Garamond" w:hAnsi="Garamond"/>
              </w:rPr>
              <w:t xml:space="preserve">). The CPFEM analysis of the grid in Figure </w:t>
            </w:r>
            <w:r w:rsidR="00CB5139" w:rsidRPr="00537483">
              <w:rPr>
                <w:rFonts w:ascii="Garamond" w:hAnsi="Garamond"/>
              </w:rPr>
              <w:t>S</w:t>
            </w:r>
            <w:r w:rsidRPr="00537483">
              <w:rPr>
                <w:rFonts w:ascii="Garamond" w:hAnsi="Garamond"/>
              </w:rPr>
              <w:t>1c was carried out because t</w:t>
            </w:r>
            <w:r w:rsidRPr="00537483">
              <w:rPr>
                <w:rFonts w:ascii="Garamond" w:hAnsi="Garamond" w:cs="Arial"/>
                <w:color w:val="222222"/>
                <w:shd w:val="clear" w:color="auto" w:fill="FFFFFF"/>
              </w:rPr>
              <w:t>he calculation of CoV and MCF requires access to specific microstructural information as explained</w:t>
            </w:r>
            <w:r w:rsidR="00CB5139" w:rsidRPr="00537483">
              <w:rPr>
                <w:rFonts w:ascii="Garamond" w:hAnsi="Garamond" w:cs="Arial"/>
                <w:color w:val="222222"/>
                <w:shd w:val="clear" w:color="auto" w:fill="FFFFFF"/>
              </w:rPr>
              <w:t xml:space="preserve"> in the main manuscript</w:t>
            </w:r>
            <w:r w:rsidRPr="00537483">
              <w:rPr>
                <w:rFonts w:ascii="Garamond" w:hAnsi="Garamond" w:cs="Arial"/>
                <w:color w:val="222222"/>
                <w:shd w:val="clear" w:color="auto" w:fill="FFFFFF"/>
              </w:rPr>
              <w:t xml:space="preserve">. In particular, MCF necessitates knowledge of the phase distribution of ferrite and martensite in the initial, undeformed state. This is achieved from the processed data provided in Figure </w:t>
            </w:r>
            <w:r w:rsidR="00216F42" w:rsidRPr="00537483">
              <w:rPr>
                <w:rFonts w:ascii="Garamond" w:hAnsi="Garamond" w:cs="Arial"/>
                <w:color w:val="222222"/>
                <w:shd w:val="clear" w:color="auto" w:fill="FFFFFF"/>
              </w:rPr>
              <w:t>S</w:t>
            </w:r>
            <w:r w:rsidRPr="00537483">
              <w:rPr>
                <w:rFonts w:ascii="Garamond" w:hAnsi="Garamond" w:cs="Arial"/>
                <w:color w:val="222222"/>
                <w:shd w:val="clear" w:color="auto" w:fill="FFFFFF"/>
              </w:rPr>
              <w:t>1</w:t>
            </w:r>
            <w:r w:rsidR="00216F42" w:rsidRPr="00537483">
              <w:rPr>
                <w:rFonts w:ascii="Garamond" w:hAnsi="Garamond" w:cs="Arial"/>
                <w:color w:val="222222"/>
                <w:shd w:val="clear" w:color="auto" w:fill="FFFFFF"/>
              </w:rPr>
              <w:t>(</w:t>
            </w:r>
            <w:r w:rsidRPr="00537483">
              <w:rPr>
                <w:rFonts w:ascii="Garamond" w:hAnsi="Garamond" w:cs="Arial"/>
                <w:color w:val="222222"/>
                <w:shd w:val="clear" w:color="auto" w:fill="FFFFFF"/>
              </w:rPr>
              <w:t>c</w:t>
            </w:r>
            <w:r w:rsidR="00216F42" w:rsidRPr="00537483">
              <w:rPr>
                <w:rFonts w:ascii="Garamond" w:hAnsi="Garamond" w:cs="Arial"/>
                <w:color w:val="222222"/>
                <w:shd w:val="clear" w:color="auto" w:fill="FFFFFF"/>
              </w:rPr>
              <w:t>)</w:t>
            </w:r>
            <w:r w:rsidRPr="00537483">
              <w:rPr>
                <w:rFonts w:ascii="Garamond" w:hAnsi="Garamond" w:cs="Arial"/>
                <w:color w:val="222222"/>
                <w:shd w:val="clear" w:color="auto" w:fill="FFFFFF"/>
              </w:rPr>
              <w:t xml:space="preserve">. To compute CoV after applying strain to a sample (or domain), however, the strain contour must be mapped back to the undeformed configuration, a necessary step to evaluate the strain evolution and extent of inhomogeneity. Furthermore, phase boundaries should be excluded to prevent strain-induced phase redistribution from introducing artificial domain inhomogeneity, which would otherwise bias the results and render comparisons invalid. Since </w:t>
            </w:r>
            <w:r w:rsidR="00B9015A" w:rsidRPr="00537483">
              <w:rPr>
                <w:rFonts w:ascii="Garamond" w:hAnsi="Garamond" w:cs="Arial"/>
                <w:color w:val="222222"/>
                <w:shd w:val="clear" w:color="auto" w:fill="FFFFFF"/>
              </w:rPr>
              <w:t xml:space="preserve">detailed </w:t>
            </w:r>
            <w:r w:rsidRPr="00537483">
              <w:rPr>
                <w:rFonts w:ascii="Garamond" w:hAnsi="Garamond" w:cs="Arial"/>
                <w:color w:val="222222"/>
                <w:shd w:val="clear" w:color="auto" w:fill="FFFFFF"/>
              </w:rPr>
              <w:t>strain contour data from the experimental study of Bas</w:t>
            </w:r>
            <w:r w:rsidR="00595E78" w:rsidRPr="00537483">
              <w:rPr>
                <w:rFonts w:ascii="Garamond" w:hAnsi="Garamond" w:cs="Arial"/>
                <w:color w:val="222222"/>
                <w:shd w:val="clear" w:color="auto" w:fill="FFFFFF"/>
              </w:rPr>
              <w:t>u</w:t>
            </w:r>
            <w:r w:rsidRPr="00537483">
              <w:rPr>
                <w:rFonts w:ascii="Garamond" w:hAnsi="Garamond" w:cs="Arial"/>
                <w:color w:val="222222"/>
                <w:shd w:val="clear" w:color="auto" w:fill="FFFFFF"/>
              </w:rPr>
              <w:t xml:space="preserve"> et al. </w:t>
            </w:r>
            <w:r w:rsidR="00CC62F7" w:rsidRPr="00537483">
              <w:rPr>
                <w:rFonts w:ascii="Garamond" w:hAnsi="Garamond" w:cs="Arial"/>
                <w:color w:val="222222"/>
                <w:shd w:val="clear" w:color="auto" w:fill="FFFFFF"/>
              </w:rPr>
              <w:t xml:space="preserve">[28] </w:t>
            </w:r>
            <w:r w:rsidRPr="00537483">
              <w:rPr>
                <w:rFonts w:ascii="Garamond" w:hAnsi="Garamond" w:cs="Arial"/>
                <w:color w:val="222222"/>
                <w:shd w:val="clear" w:color="auto" w:fill="FFFFFF"/>
              </w:rPr>
              <w:t>were not available as explained above, we resorted to the results of our numerical study for validation and comparative analysis purposes.</w:t>
            </w:r>
            <w:r w:rsidR="00F734CF">
              <w:rPr>
                <w:rFonts w:ascii="Garamond" w:hAnsi="Garamond" w:cs="Arial"/>
                <w:color w:val="222222"/>
                <w:shd w:val="clear" w:color="auto" w:fill="FFFFFF"/>
              </w:rPr>
              <w:t xml:space="preserve"> </w:t>
            </w:r>
          </w:p>
          <w:p w14:paraId="58281C71" w14:textId="243EB934" w:rsidR="00F734CF" w:rsidRPr="00537483" w:rsidRDefault="00F734CF" w:rsidP="00F734CF">
            <w:pPr>
              <w:pStyle w:val="FigurePosition"/>
              <w:spacing w:line="240" w:lineRule="auto"/>
              <w:ind w:left="-105" w:right="286"/>
              <w:contextualSpacing/>
              <w:jc w:val="both"/>
              <w:rPr>
                <w:rFonts w:ascii="Garamond" w:hAnsi="Garamond"/>
              </w:rPr>
            </w:pPr>
          </w:p>
        </w:tc>
      </w:tr>
      <w:tr w:rsidR="0025576D" w:rsidRPr="00537483" w14:paraId="76803E06" w14:textId="77777777" w:rsidTr="003D2A77">
        <w:tc>
          <w:tcPr>
            <w:tcW w:w="9810" w:type="dxa"/>
            <w:gridSpan w:val="2"/>
          </w:tcPr>
          <w:p w14:paraId="1CF0F16E" w14:textId="57686D20" w:rsidR="0025576D" w:rsidRPr="00537483" w:rsidRDefault="0025576D" w:rsidP="00042096">
            <w:pPr>
              <w:pStyle w:val="FigurePosition"/>
              <w:spacing w:line="240" w:lineRule="auto"/>
              <w:ind w:left="-105" w:right="286"/>
              <w:jc w:val="both"/>
              <w:rPr>
                <w:rFonts w:ascii="Garamond" w:hAnsi="Garamond"/>
              </w:rPr>
            </w:pPr>
            <w:r w:rsidRPr="00537483">
              <w:rPr>
                <w:rFonts w:ascii="Garamond" w:hAnsi="Garamond"/>
              </w:rPr>
              <w:t xml:space="preserve">The strain distribution figures for 10% and 15% of externally applied strain values are displayed in Figure </w:t>
            </w:r>
            <w:r w:rsidR="001A0E14" w:rsidRPr="00537483">
              <w:rPr>
                <w:rFonts w:ascii="Garamond" w:hAnsi="Garamond"/>
              </w:rPr>
              <w:t>S</w:t>
            </w:r>
            <w:r w:rsidRPr="00537483">
              <w:rPr>
                <w:rFonts w:ascii="Garamond" w:hAnsi="Garamond"/>
              </w:rPr>
              <w:t>2. As evident, the model has acceptably identified the localization points in comparison with the data of Bas</w:t>
            </w:r>
            <w:r w:rsidR="00595E78" w:rsidRPr="00537483">
              <w:rPr>
                <w:rFonts w:ascii="Garamond" w:hAnsi="Garamond"/>
              </w:rPr>
              <w:t>u</w:t>
            </w:r>
            <w:r w:rsidRPr="00537483">
              <w:rPr>
                <w:rFonts w:ascii="Garamond" w:hAnsi="Garamond"/>
              </w:rPr>
              <w:t xml:space="preserve"> et al </w:t>
            </w:r>
            <w:r w:rsidR="00AB77B4" w:rsidRPr="00537483">
              <w:rPr>
                <w:rFonts w:ascii="Garamond" w:hAnsi="Garamond"/>
              </w:rPr>
              <w:t>[28</w:t>
            </w:r>
            <w:r w:rsidRPr="00537483">
              <w:rPr>
                <w:rFonts w:ascii="Garamond" w:hAnsi="Garamond"/>
              </w:rPr>
              <w:t>]. The slight variation in plot intensity is attributed to the absence of experimental information regarding the initial orientation distribution in the experimental case study.</w:t>
            </w:r>
            <w:bookmarkStart w:id="2" w:name="_Ref154167029"/>
            <w:bookmarkStart w:id="3" w:name="_Toc156118311"/>
            <w:r w:rsidRPr="00537483">
              <w:rPr>
                <w:rFonts w:ascii="Garamond" w:hAnsi="Garamond"/>
              </w:rPr>
              <w:t xml:space="preserve"> Note that had this information been known to us, we would have included it in </w:t>
            </w:r>
            <w:r w:rsidR="00180439" w:rsidRPr="00537483">
              <w:rPr>
                <w:rFonts w:ascii="Garamond" w:hAnsi="Garamond"/>
              </w:rPr>
              <w:t>the</w:t>
            </w:r>
            <w:r w:rsidRPr="00537483">
              <w:rPr>
                <w:rFonts w:ascii="Garamond" w:hAnsi="Garamond"/>
              </w:rPr>
              <w:t xml:space="preserve"> CPFEM </w:t>
            </w:r>
            <w:r w:rsidR="00180439" w:rsidRPr="00537483">
              <w:rPr>
                <w:rFonts w:ascii="Garamond" w:hAnsi="Garamond"/>
              </w:rPr>
              <w:t>simulations</w:t>
            </w:r>
            <w:r w:rsidRPr="00537483">
              <w:rPr>
                <w:rFonts w:ascii="Garamond" w:hAnsi="Garamond"/>
              </w:rPr>
              <w:t>.</w:t>
            </w:r>
          </w:p>
          <w:p w14:paraId="44DF1FCA" w14:textId="77777777" w:rsidR="0025576D" w:rsidRPr="00537483" w:rsidRDefault="0025576D" w:rsidP="00042096">
            <w:pPr>
              <w:pStyle w:val="FigurePosition"/>
              <w:spacing w:line="240" w:lineRule="auto"/>
              <w:ind w:left="-105" w:right="286"/>
              <w:jc w:val="both"/>
              <w:rPr>
                <w:rFonts w:ascii="Garamond" w:hAnsi="Garamond"/>
              </w:rPr>
            </w:pPr>
          </w:p>
          <w:p w14:paraId="626AB817" w14:textId="5E809D0D" w:rsidR="0025576D" w:rsidRPr="00537483" w:rsidRDefault="0025576D" w:rsidP="006859FB">
            <w:pPr>
              <w:pStyle w:val="FigurePosition"/>
              <w:spacing w:line="240" w:lineRule="auto"/>
              <w:ind w:left="-105" w:right="-105"/>
              <w:jc w:val="center"/>
              <w:rPr>
                <w:rFonts w:ascii="Garamond" w:hAnsi="Garamond"/>
              </w:rPr>
            </w:pPr>
            <w:r w:rsidRPr="00537483">
              <w:rPr>
                <w:rFonts w:ascii="Garamond" w:hAnsi="Garamond"/>
              </w:rPr>
              <w:lastRenderedPageBreak/>
              <w:drawing>
                <wp:inline distT="0" distB="0" distL="0" distR="0" wp14:anchorId="0715F4D0" wp14:editId="1ABD7B53">
                  <wp:extent cx="5518205" cy="4396287"/>
                  <wp:effectExtent l="0" t="0" r="635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31650" cy="4406998"/>
                          </a:xfrm>
                          <a:prstGeom prst="rect">
                            <a:avLst/>
                          </a:prstGeom>
                        </pic:spPr>
                      </pic:pic>
                    </a:graphicData>
                  </a:graphic>
                </wp:inline>
              </w:drawing>
            </w:r>
          </w:p>
          <w:p w14:paraId="33252DDD" w14:textId="77777777" w:rsidR="0025576D" w:rsidRPr="00537483" w:rsidRDefault="0025576D" w:rsidP="00042096">
            <w:pPr>
              <w:pStyle w:val="FigurePosition"/>
              <w:spacing w:line="240" w:lineRule="auto"/>
              <w:ind w:left="-105" w:right="-105"/>
              <w:jc w:val="both"/>
              <w:rPr>
                <w:rFonts w:ascii="Garamond" w:hAnsi="Garamond"/>
              </w:rPr>
            </w:pPr>
          </w:p>
          <w:p w14:paraId="3AC2D345" w14:textId="77777777" w:rsidR="00C96CD5" w:rsidRPr="00537483" w:rsidRDefault="00C96CD5" w:rsidP="003D2A77">
            <w:pPr>
              <w:pStyle w:val="FigurePosition"/>
              <w:tabs>
                <w:tab w:val="left" w:pos="8977"/>
              </w:tabs>
              <w:spacing w:line="240" w:lineRule="auto"/>
              <w:ind w:left="-105" w:right="376"/>
              <w:jc w:val="both"/>
              <w:rPr>
                <w:rFonts w:ascii="Garamond" w:hAnsi="Garamond"/>
              </w:rPr>
            </w:pPr>
          </w:p>
          <w:p w14:paraId="345D3327" w14:textId="041B74D0" w:rsidR="0025576D" w:rsidRPr="00537483" w:rsidRDefault="0025576D" w:rsidP="003D2A77">
            <w:pPr>
              <w:pStyle w:val="FigurePosition"/>
              <w:tabs>
                <w:tab w:val="left" w:pos="8977"/>
              </w:tabs>
              <w:spacing w:line="240" w:lineRule="auto"/>
              <w:ind w:left="-105" w:right="376"/>
              <w:jc w:val="both"/>
              <w:rPr>
                <w:rFonts w:ascii="Garamond" w:hAnsi="Garamond"/>
              </w:rPr>
            </w:pPr>
            <w:r w:rsidRPr="00537483">
              <w:rPr>
                <w:rFonts w:ascii="Garamond" w:hAnsi="Garamond"/>
              </w:rPr>
              <w:t xml:space="preserve">Figure R2. </w:t>
            </w:r>
            <w:bookmarkEnd w:id="2"/>
            <w:r w:rsidRPr="00537483">
              <w:rPr>
                <w:rFonts w:ascii="Garamond" w:hAnsi="Garamond"/>
              </w:rPr>
              <w:t xml:space="preserve">Strain localization and inhomogeneity </w:t>
            </w:r>
            <w:r w:rsidR="00C96CD5" w:rsidRPr="00537483">
              <w:rPr>
                <w:rFonts w:ascii="Garamond" w:hAnsi="Garamond"/>
              </w:rPr>
              <w:t xml:space="preserve">reported in Ref. [28] </w:t>
            </w:r>
            <w:r w:rsidRPr="00537483">
              <w:rPr>
                <w:rFonts w:ascii="Garamond" w:hAnsi="Garamond"/>
              </w:rPr>
              <w:t xml:space="preserve">in comparison with </w:t>
            </w:r>
            <w:r w:rsidR="00C96CD5" w:rsidRPr="00537483">
              <w:rPr>
                <w:rFonts w:ascii="Garamond" w:hAnsi="Garamond"/>
              </w:rPr>
              <w:t>the CPFEM results</w:t>
            </w:r>
            <w:r w:rsidRPr="00537483">
              <w:rPr>
                <w:rFonts w:ascii="Garamond" w:hAnsi="Garamond"/>
              </w:rPr>
              <w:t xml:space="preserve"> (a) experimental strain distribution</w:t>
            </w:r>
            <w:r w:rsidR="00C96CD5" w:rsidRPr="00537483">
              <w:rPr>
                <w:rFonts w:ascii="Garamond" w:hAnsi="Garamond"/>
              </w:rPr>
              <w:t xml:space="preserve"> map</w:t>
            </w:r>
            <w:r w:rsidRPr="00537483">
              <w:rPr>
                <w:rFonts w:ascii="Garamond" w:hAnsi="Garamond"/>
              </w:rPr>
              <w:t xml:space="preserve"> </w:t>
            </w:r>
            <w:r w:rsidR="00C96CD5" w:rsidRPr="00537483">
              <w:rPr>
                <w:rFonts w:ascii="Garamond" w:hAnsi="Garamond"/>
              </w:rPr>
              <w:t>at</w:t>
            </w:r>
            <w:r w:rsidRPr="00537483">
              <w:rPr>
                <w:rFonts w:ascii="Garamond" w:hAnsi="Garamond"/>
              </w:rPr>
              <w:t xml:space="preserve"> 10% elongation </w:t>
            </w:r>
            <w:r w:rsidR="00C96CD5" w:rsidRPr="00537483">
              <w:rPr>
                <w:rFonts w:ascii="Garamond" w:hAnsi="Garamond"/>
              </w:rPr>
              <w:t>reported in</w:t>
            </w:r>
            <w:r w:rsidRPr="00537483">
              <w:rPr>
                <w:rFonts w:ascii="Garamond" w:hAnsi="Garamond"/>
              </w:rPr>
              <w:t xml:space="preserve"> Ref. [</w:t>
            </w:r>
            <w:r w:rsidR="00C96CD5" w:rsidRPr="00537483">
              <w:rPr>
                <w:rFonts w:ascii="Garamond" w:hAnsi="Garamond"/>
              </w:rPr>
              <w:t>28</w:t>
            </w:r>
            <w:r w:rsidRPr="00537483">
              <w:rPr>
                <w:rFonts w:ascii="Garamond" w:hAnsi="Garamond"/>
              </w:rPr>
              <w:t>], (b) our numerical result starting from an initial undeformed state under 10% elongation, (c) experimental reference strain distribution</w:t>
            </w:r>
            <w:r w:rsidR="00C96CD5" w:rsidRPr="00537483">
              <w:rPr>
                <w:rFonts w:ascii="Garamond" w:hAnsi="Garamond"/>
              </w:rPr>
              <w:t xml:space="preserve"> map</w:t>
            </w:r>
            <w:r w:rsidRPr="00537483">
              <w:rPr>
                <w:rFonts w:ascii="Garamond" w:hAnsi="Garamond"/>
              </w:rPr>
              <w:t xml:space="preserve"> </w:t>
            </w:r>
            <w:r w:rsidR="00C96CD5" w:rsidRPr="00537483">
              <w:rPr>
                <w:rFonts w:ascii="Garamond" w:hAnsi="Garamond"/>
              </w:rPr>
              <w:t>at</w:t>
            </w:r>
            <w:r w:rsidRPr="00537483">
              <w:rPr>
                <w:rFonts w:ascii="Garamond" w:hAnsi="Garamond"/>
              </w:rPr>
              <w:t xml:space="preserve"> 15% elongation </w:t>
            </w:r>
            <w:r w:rsidR="00C96CD5" w:rsidRPr="00537483">
              <w:rPr>
                <w:rFonts w:ascii="Garamond" w:hAnsi="Garamond"/>
              </w:rPr>
              <w:t>reported</w:t>
            </w:r>
            <w:r w:rsidRPr="00537483">
              <w:rPr>
                <w:rFonts w:ascii="Garamond" w:hAnsi="Garamond"/>
              </w:rPr>
              <w:t xml:space="preserve"> in Ref. [</w:t>
            </w:r>
            <w:r w:rsidR="00C96CD5" w:rsidRPr="00537483">
              <w:rPr>
                <w:rFonts w:ascii="Garamond" w:hAnsi="Garamond"/>
              </w:rPr>
              <w:t>28</w:t>
            </w:r>
            <w:r w:rsidRPr="00537483">
              <w:rPr>
                <w:rFonts w:ascii="Garamond" w:hAnsi="Garamond"/>
              </w:rPr>
              <w:t>], and (d) our numerical result for which the starting point was an undeformed initial state under 15% elongation.</w:t>
            </w:r>
            <w:bookmarkEnd w:id="3"/>
            <w:r w:rsidRPr="00537483">
              <w:rPr>
                <w:rFonts w:ascii="Garamond" w:hAnsi="Garamond"/>
              </w:rPr>
              <w:t xml:space="preserve"> The red box in (a) and (c) shows the areal experimental distribution of strain which our CPFEM was implemented to and compared with. The CPFEM ran on the digititized phase distribution with random orientation approximation inside the phases provide results where the strain concentrations and almost zero-strain regions to</w:t>
            </w:r>
            <w:r w:rsidR="00AB77B4" w:rsidRPr="00537483">
              <w:rPr>
                <w:rFonts w:ascii="Garamond" w:hAnsi="Garamond"/>
              </w:rPr>
              <w:t xml:space="preserve"> </w:t>
            </w:r>
            <w:r w:rsidRPr="00537483">
              <w:rPr>
                <w:rFonts w:ascii="Garamond" w:hAnsi="Garamond"/>
              </w:rPr>
              <w:t xml:space="preserve">a reasonable degree. The circles in both (a)-(c) and (b)-(d) denote the regions of low strain and concentrated strain regions that approximately appear in the experimental and the CPFEM results to highlight that the latter approximately follows the experiment. </w:t>
            </w:r>
          </w:p>
        </w:tc>
      </w:tr>
    </w:tbl>
    <w:p w14:paraId="4F27236D" w14:textId="3A175BCC" w:rsidR="0025576D" w:rsidRPr="00537483" w:rsidRDefault="0025576D">
      <w:pPr>
        <w:rPr>
          <w:rFonts w:ascii="Garamond" w:hAnsi="Garamond"/>
        </w:rPr>
      </w:pPr>
    </w:p>
    <w:p w14:paraId="2D29697E" w14:textId="75993177" w:rsidR="00AB77B4" w:rsidRPr="0025576D" w:rsidRDefault="00AB77B4">
      <w:pPr>
        <w:rPr>
          <w:rFonts w:ascii="Garamond" w:hAnsi="Garamond"/>
        </w:rPr>
      </w:pPr>
      <w:r w:rsidRPr="00537483">
        <w:rPr>
          <w:rFonts w:ascii="Garamond" w:hAnsi="Garamond"/>
        </w:rPr>
        <w:t xml:space="preserve">The </w:t>
      </w:r>
      <w:proofErr w:type="spellStart"/>
      <w:r w:rsidRPr="00537483">
        <w:rPr>
          <w:rFonts w:ascii="Garamond" w:hAnsi="Garamond"/>
        </w:rPr>
        <w:t>CoV</w:t>
      </w:r>
      <w:proofErr w:type="spellEnd"/>
      <w:r w:rsidRPr="00537483">
        <w:rPr>
          <w:rFonts w:ascii="Garamond" w:hAnsi="Garamond"/>
        </w:rPr>
        <w:t xml:space="preserve"> value is calculated to be 0.6764 for the 15% applied strain case whose CPFEM simulated strain response is in Figure R2d. This data point is plotted in Figure 9 of the manuscript along with the MCF value (2.191).</w:t>
      </w:r>
      <w:r>
        <w:rPr>
          <w:rFonts w:ascii="Garamond" w:hAnsi="Garamond"/>
        </w:rPr>
        <w:t xml:space="preserve"> </w:t>
      </w:r>
    </w:p>
    <w:sectPr w:rsidR="00AB77B4" w:rsidRPr="0025576D" w:rsidSect="0087282C">
      <w:footerReference w:type="default" r:id="rId10"/>
      <w:pgSz w:w="12240" w:h="15840"/>
      <w:pgMar w:top="1440" w:right="16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D2D5F" w14:textId="77777777" w:rsidR="000F4D50" w:rsidRDefault="000F4D50" w:rsidP="0079007D">
      <w:pPr>
        <w:spacing w:before="0" w:after="0" w:line="240" w:lineRule="auto"/>
      </w:pPr>
      <w:r>
        <w:separator/>
      </w:r>
    </w:p>
  </w:endnote>
  <w:endnote w:type="continuationSeparator" w:id="0">
    <w:p w14:paraId="2ED8EE28" w14:textId="77777777" w:rsidR="000F4D50" w:rsidRDefault="000F4D50" w:rsidP="0079007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315737"/>
      <w:docPartObj>
        <w:docPartGallery w:val="Page Numbers (Bottom of Page)"/>
        <w:docPartUnique/>
      </w:docPartObj>
    </w:sdtPr>
    <w:sdtEndPr>
      <w:rPr>
        <w:noProof/>
      </w:rPr>
    </w:sdtEndPr>
    <w:sdtContent>
      <w:p w14:paraId="1EDCFD6D" w14:textId="6C934E29" w:rsidR="0079007D" w:rsidRDefault="007900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833B92" w14:textId="77777777" w:rsidR="0079007D" w:rsidRDefault="00790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0CCE5" w14:textId="77777777" w:rsidR="000F4D50" w:rsidRDefault="000F4D50" w:rsidP="0079007D">
      <w:pPr>
        <w:spacing w:before="0" w:after="0" w:line="240" w:lineRule="auto"/>
      </w:pPr>
      <w:r>
        <w:separator/>
      </w:r>
    </w:p>
  </w:footnote>
  <w:footnote w:type="continuationSeparator" w:id="0">
    <w:p w14:paraId="5C20DC0C" w14:textId="77777777" w:rsidR="000F4D50" w:rsidRDefault="000F4D50" w:rsidP="0079007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A56AB"/>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76D"/>
    <w:rsid w:val="00030262"/>
    <w:rsid w:val="000F1802"/>
    <w:rsid w:val="000F4D50"/>
    <w:rsid w:val="00180439"/>
    <w:rsid w:val="001A0E14"/>
    <w:rsid w:val="00216F42"/>
    <w:rsid w:val="00233BF8"/>
    <w:rsid w:val="0025576D"/>
    <w:rsid w:val="002B3FB5"/>
    <w:rsid w:val="00356E4A"/>
    <w:rsid w:val="003D2A77"/>
    <w:rsid w:val="004B7A63"/>
    <w:rsid w:val="00502ED1"/>
    <w:rsid w:val="00537483"/>
    <w:rsid w:val="00595E78"/>
    <w:rsid w:val="006859FB"/>
    <w:rsid w:val="0079007D"/>
    <w:rsid w:val="007B7A1A"/>
    <w:rsid w:val="007D74A3"/>
    <w:rsid w:val="0087282C"/>
    <w:rsid w:val="008976E2"/>
    <w:rsid w:val="008C75B0"/>
    <w:rsid w:val="009E0434"/>
    <w:rsid w:val="00AB77B4"/>
    <w:rsid w:val="00B9015A"/>
    <w:rsid w:val="00C96CD5"/>
    <w:rsid w:val="00CB5139"/>
    <w:rsid w:val="00CB6457"/>
    <w:rsid w:val="00CC62F7"/>
    <w:rsid w:val="00DA18E8"/>
    <w:rsid w:val="00E70F11"/>
    <w:rsid w:val="00F73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0C700"/>
  <w15:chartTrackingRefBased/>
  <w15:docId w15:val="{D16AEC21-0FEA-4F47-81FC-48A3B8F1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76D"/>
    <w:pPr>
      <w:spacing w:before="160"/>
      <w:jc w:val="lowKashida"/>
    </w:pPr>
  </w:style>
  <w:style w:type="paragraph" w:styleId="Heading1">
    <w:name w:val="heading 1"/>
    <w:basedOn w:val="Normal"/>
    <w:next w:val="Normal"/>
    <w:link w:val="Heading1Char"/>
    <w:uiPriority w:val="9"/>
    <w:qFormat/>
    <w:rsid w:val="0025576D"/>
    <w:pPr>
      <w:keepNext/>
      <w:keepLines/>
      <w:numPr>
        <w:numId w:val="1"/>
      </w:numPr>
      <w:spacing w:before="960" w:after="720" w:line="360" w:lineRule="auto"/>
      <w:ind w:left="0" w:firstLine="0"/>
      <w:jc w:val="both"/>
      <w:outlineLvl w:val="0"/>
    </w:pPr>
    <w:rPr>
      <w:rFonts w:ascii="Times New Roman" w:eastAsiaTheme="majorEastAsia" w:hAnsi="Times New Roman" w:cs="Times New Roman"/>
      <w:bCs/>
      <w:sz w:val="32"/>
      <w:szCs w:val="32"/>
    </w:rPr>
  </w:style>
  <w:style w:type="paragraph" w:styleId="Heading2">
    <w:name w:val="heading 2"/>
    <w:basedOn w:val="Normal"/>
    <w:next w:val="Normal"/>
    <w:link w:val="Heading2Char"/>
    <w:uiPriority w:val="9"/>
    <w:unhideWhenUsed/>
    <w:qFormat/>
    <w:rsid w:val="0025576D"/>
    <w:pPr>
      <w:keepNext/>
      <w:keepLines/>
      <w:numPr>
        <w:ilvl w:val="1"/>
        <w:numId w:val="1"/>
      </w:numPr>
      <w:spacing w:before="480" w:after="480" w:line="360" w:lineRule="auto"/>
      <w:ind w:left="0" w:firstLine="0"/>
      <w:jc w:val="both"/>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uiPriority w:val="9"/>
    <w:unhideWhenUsed/>
    <w:qFormat/>
    <w:rsid w:val="0025576D"/>
    <w:pPr>
      <w:keepNext/>
      <w:keepLines/>
      <w:numPr>
        <w:ilvl w:val="2"/>
        <w:numId w:val="1"/>
      </w:numPr>
      <w:spacing w:before="480" w:after="480" w:line="360" w:lineRule="auto"/>
      <w:jc w:val="both"/>
      <w:outlineLvl w:val="2"/>
    </w:pPr>
    <w:rPr>
      <w:rFonts w:ascii="Times New Roman" w:eastAsiaTheme="majorEastAsia" w:hAnsi="Times New Roman" w:cs="Times New Roman"/>
      <w:sz w:val="28"/>
      <w:szCs w:val="28"/>
    </w:rPr>
  </w:style>
  <w:style w:type="paragraph" w:styleId="Heading4">
    <w:name w:val="heading 4"/>
    <w:basedOn w:val="Normal"/>
    <w:next w:val="Normal"/>
    <w:link w:val="Heading4Char"/>
    <w:uiPriority w:val="9"/>
    <w:unhideWhenUsed/>
    <w:qFormat/>
    <w:rsid w:val="0025576D"/>
    <w:pPr>
      <w:keepNext/>
      <w:keepLines/>
      <w:numPr>
        <w:ilvl w:val="3"/>
        <w:numId w:val="1"/>
      </w:numPr>
      <w:spacing w:before="240" w:after="120" w:line="360" w:lineRule="auto"/>
      <w:jc w:val="both"/>
      <w:outlineLvl w:val="3"/>
    </w:pPr>
    <w:rPr>
      <w:rFonts w:ascii="Times New Roman" w:eastAsiaTheme="majorEastAsia" w:hAnsi="Times New Roman" w:cstheme="majorBidi"/>
      <w:i/>
      <w:iCs/>
      <w:sz w:val="24"/>
    </w:rPr>
  </w:style>
  <w:style w:type="paragraph" w:styleId="Heading5">
    <w:name w:val="heading 5"/>
    <w:basedOn w:val="Normal"/>
    <w:next w:val="Normal"/>
    <w:link w:val="Heading5Char"/>
    <w:uiPriority w:val="9"/>
    <w:unhideWhenUsed/>
    <w:qFormat/>
    <w:rsid w:val="0025576D"/>
    <w:pPr>
      <w:keepNext/>
      <w:keepLines/>
      <w:numPr>
        <w:ilvl w:val="4"/>
        <w:numId w:val="1"/>
      </w:numPr>
      <w:spacing w:before="40" w:after="0" w:line="360" w:lineRule="auto"/>
      <w:jc w:val="both"/>
      <w:outlineLvl w:val="4"/>
    </w:pPr>
    <w:rPr>
      <w:rFonts w:asciiTheme="majorHAnsi" w:eastAsiaTheme="majorEastAsia" w:hAnsiTheme="majorHAnsi" w:cstheme="majorBidi"/>
      <w:color w:val="2F5496" w:themeColor="accent1" w:themeShade="BF"/>
      <w:sz w:val="24"/>
    </w:rPr>
  </w:style>
  <w:style w:type="paragraph" w:styleId="Heading6">
    <w:name w:val="heading 6"/>
    <w:basedOn w:val="Normal"/>
    <w:next w:val="Normal"/>
    <w:link w:val="Heading6Char"/>
    <w:uiPriority w:val="9"/>
    <w:semiHidden/>
    <w:unhideWhenUsed/>
    <w:qFormat/>
    <w:rsid w:val="0025576D"/>
    <w:pPr>
      <w:keepNext/>
      <w:keepLines/>
      <w:numPr>
        <w:ilvl w:val="5"/>
        <w:numId w:val="1"/>
      </w:numPr>
      <w:spacing w:before="40" w:after="0" w:line="360" w:lineRule="auto"/>
      <w:jc w:val="both"/>
      <w:outlineLvl w:val="5"/>
    </w:pPr>
    <w:rPr>
      <w:rFonts w:asciiTheme="majorHAnsi" w:eastAsiaTheme="majorEastAsia" w:hAnsiTheme="majorHAnsi" w:cstheme="majorBidi"/>
      <w:color w:val="1F3763" w:themeColor="accent1" w:themeShade="7F"/>
      <w:sz w:val="24"/>
    </w:rPr>
  </w:style>
  <w:style w:type="paragraph" w:styleId="Heading7">
    <w:name w:val="heading 7"/>
    <w:basedOn w:val="Normal"/>
    <w:next w:val="Normal"/>
    <w:link w:val="Heading7Char"/>
    <w:uiPriority w:val="9"/>
    <w:semiHidden/>
    <w:unhideWhenUsed/>
    <w:qFormat/>
    <w:rsid w:val="0025576D"/>
    <w:pPr>
      <w:keepNext/>
      <w:keepLines/>
      <w:numPr>
        <w:ilvl w:val="6"/>
        <w:numId w:val="1"/>
      </w:numPr>
      <w:spacing w:before="40" w:after="0" w:line="360" w:lineRule="auto"/>
      <w:jc w:val="both"/>
      <w:outlineLvl w:val="6"/>
    </w:pPr>
    <w:rPr>
      <w:rFonts w:asciiTheme="majorHAnsi" w:eastAsiaTheme="majorEastAsia" w:hAnsiTheme="majorHAnsi" w:cstheme="majorBidi"/>
      <w:i/>
      <w:iCs/>
      <w:color w:val="1F3763" w:themeColor="accent1" w:themeShade="7F"/>
      <w:sz w:val="24"/>
    </w:rPr>
  </w:style>
  <w:style w:type="paragraph" w:styleId="Heading8">
    <w:name w:val="heading 8"/>
    <w:basedOn w:val="Normal"/>
    <w:next w:val="Normal"/>
    <w:link w:val="Heading8Char"/>
    <w:uiPriority w:val="9"/>
    <w:semiHidden/>
    <w:unhideWhenUsed/>
    <w:qFormat/>
    <w:rsid w:val="0025576D"/>
    <w:pPr>
      <w:keepNext/>
      <w:keepLines/>
      <w:numPr>
        <w:ilvl w:val="7"/>
        <w:numId w:val="1"/>
      </w:numPr>
      <w:spacing w:before="40" w:after="0" w:line="36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76D"/>
    <w:pPr>
      <w:keepNext/>
      <w:keepLines/>
      <w:numPr>
        <w:ilvl w:val="8"/>
        <w:numId w:val="1"/>
      </w:numPr>
      <w:spacing w:before="40" w:after="0" w:line="36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76D"/>
    <w:rPr>
      <w:rFonts w:ascii="Times New Roman" w:eastAsiaTheme="majorEastAsia" w:hAnsi="Times New Roman" w:cs="Times New Roman"/>
      <w:bCs/>
      <w:sz w:val="32"/>
      <w:szCs w:val="32"/>
    </w:rPr>
  </w:style>
  <w:style w:type="character" w:customStyle="1" w:styleId="Heading2Char">
    <w:name w:val="Heading 2 Char"/>
    <w:basedOn w:val="DefaultParagraphFont"/>
    <w:link w:val="Heading2"/>
    <w:uiPriority w:val="9"/>
    <w:rsid w:val="0025576D"/>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25576D"/>
    <w:rPr>
      <w:rFonts w:ascii="Times New Roman" w:eastAsiaTheme="majorEastAsia" w:hAnsi="Times New Roman" w:cs="Times New Roman"/>
      <w:sz w:val="28"/>
      <w:szCs w:val="28"/>
    </w:rPr>
  </w:style>
  <w:style w:type="character" w:customStyle="1" w:styleId="Heading4Char">
    <w:name w:val="Heading 4 Char"/>
    <w:basedOn w:val="DefaultParagraphFont"/>
    <w:link w:val="Heading4"/>
    <w:uiPriority w:val="9"/>
    <w:rsid w:val="0025576D"/>
    <w:rPr>
      <w:rFonts w:ascii="Times New Roman" w:eastAsiaTheme="majorEastAsia" w:hAnsi="Times New Roman" w:cstheme="majorBidi"/>
      <w:i/>
      <w:iCs/>
      <w:sz w:val="24"/>
    </w:rPr>
  </w:style>
  <w:style w:type="character" w:customStyle="1" w:styleId="Heading5Char">
    <w:name w:val="Heading 5 Char"/>
    <w:basedOn w:val="DefaultParagraphFont"/>
    <w:link w:val="Heading5"/>
    <w:uiPriority w:val="9"/>
    <w:rsid w:val="0025576D"/>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25576D"/>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25576D"/>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25576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76D"/>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25576D"/>
    <w:pPr>
      <w:spacing w:before="120" w:after="200" w:line="240" w:lineRule="auto"/>
    </w:pPr>
    <w:rPr>
      <w:rFonts w:ascii="Times New Roman" w:hAnsi="Times New Roman"/>
      <w:iCs/>
      <w:szCs w:val="18"/>
    </w:rPr>
  </w:style>
  <w:style w:type="paragraph" w:customStyle="1" w:styleId="FigurePosition">
    <w:name w:val="Figure Position"/>
    <w:basedOn w:val="Normal"/>
    <w:link w:val="FigurePositionChar"/>
    <w:qFormat/>
    <w:rsid w:val="0025576D"/>
    <w:pPr>
      <w:spacing w:before="0" w:after="0" w:line="360" w:lineRule="auto"/>
    </w:pPr>
    <w:rPr>
      <w:rFonts w:ascii="Times New Roman" w:hAnsi="Times New Roman"/>
      <w:noProof/>
      <w:lang w:bidi="fa-IR"/>
    </w:rPr>
  </w:style>
  <w:style w:type="character" w:customStyle="1" w:styleId="FigurePositionChar">
    <w:name w:val="Figure Position Char"/>
    <w:basedOn w:val="DefaultParagraphFont"/>
    <w:link w:val="FigurePosition"/>
    <w:rsid w:val="0025576D"/>
    <w:rPr>
      <w:rFonts w:ascii="Times New Roman" w:hAnsi="Times New Roman"/>
      <w:noProof/>
      <w:lang w:bidi="fa-IR"/>
    </w:rPr>
  </w:style>
  <w:style w:type="table" w:styleId="TableGrid">
    <w:name w:val="Table Grid"/>
    <w:basedOn w:val="TableNormal"/>
    <w:uiPriority w:val="39"/>
    <w:rsid w:val="00255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007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9007D"/>
  </w:style>
  <w:style w:type="paragraph" w:styleId="Footer">
    <w:name w:val="footer"/>
    <w:basedOn w:val="Normal"/>
    <w:link w:val="FooterChar"/>
    <w:uiPriority w:val="99"/>
    <w:unhideWhenUsed/>
    <w:rsid w:val="0079007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90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6D081-F756-4BA6-A227-AA2F3F26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3</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suuser</dc:creator>
  <cp:keywords/>
  <dc:description/>
  <cp:lastModifiedBy>suuser</cp:lastModifiedBy>
  <cp:revision>36</cp:revision>
  <dcterms:created xsi:type="dcterms:W3CDTF">2026-01-17T14:00:00Z</dcterms:created>
  <dcterms:modified xsi:type="dcterms:W3CDTF">2026-01-19T18:25:00Z</dcterms:modified>
</cp:coreProperties>
</file>