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9A27D" w14:textId="77777777" w:rsidR="00662189" w:rsidRPr="00107DCD" w:rsidRDefault="008257DD" w:rsidP="000B582A">
      <w:pPr>
        <w:spacing w:line="480" w:lineRule="auto"/>
        <w:jc w:val="both"/>
        <w:rPr>
          <w:rFonts w:ascii="Times New Roman" w:hAnsi="Times New Roman" w:cs="Times New Roman"/>
          <w:b/>
          <w:sz w:val="48"/>
          <w:szCs w:val="48"/>
        </w:rPr>
      </w:pPr>
      <w:bookmarkStart w:id="0" w:name="_9alng74xl6iv" w:colFirst="0" w:colLast="0"/>
      <w:bookmarkEnd w:id="0"/>
      <w:r w:rsidRPr="00107DCD">
        <w:rPr>
          <w:rFonts w:ascii="Times New Roman" w:hAnsi="Times New Roman" w:cs="Times New Roman"/>
          <w:b/>
          <w:sz w:val="48"/>
          <w:szCs w:val="48"/>
        </w:rPr>
        <w:t>Supporting information</w:t>
      </w:r>
    </w:p>
    <w:p w14:paraId="7C84490A" w14:textId="241D4CA4" w:rsidR="008257DD" w:rsidRPr="00107DCD" w:rsidRDefault="001A2516" w:rsidP="000B582A">
      <w:pPr>
        <w:spacing w:line="480" w:lineRule="auto"/>
        <w:jc w:val="both"/>
        <w:rPr>
          <w:rFonts w:ascii="Times New Roman" w:hAnsi="Times New Roman" w:cs="Times New Roman"/>
          <w:b/>
        </w:rPr>
      </w:pPr>
      <w:r w:rsidRPr="00107DCD">
        <w:rPr>
          <w:rFonts w:ascii="Times New Roman" w:hAnsi="Times New Roman" w:cs="Times New Roman"/>
          <w:b/>
        </w:rPr>
        <w:t>S</w:t>
      </w:r>
      <w:r w:rsidR="008257DD" w:rsidRPr="00107DCD">
        <w:rPr>
          <w:rFonts w:ascii="Times New Roman" w:hAnsi="Times New Roman" w:cs="Times New Roman"/>
          <w:b/>
        </w:rPr>
        <w:t>upporting materials for Bani</w:t>
      </w:r>
      <w:r w:rsidRPr="00107DCD">
        <w:rPr>
          <w:rFonts w:ascii="Times New Roman" w:hAnsi="Times New Roman" w:cs="Times New Roman"/>
          <w:b/>
          <w:lang w:val="hr-HR"/>
        </w:rPr>
        <w:t>ć</w:t>
      </w:r>
      <w:r w:rsidR="008257DD" w:rsidRPr="00107DCD">
        <w:rPr>
          <w:rFonts w:ascii="Times New Roman" w:hAnsi="Times New Roman" w:cs="Times New Roman"/>
          <w:b/>
        </w:rPr>
        <w:t xml:space="preserve"> et al, 20</w:t>
      </w:r>
      <w:r w:rsidR="00107DCD">
        <w:rPr>
          <w:rFonts w:ascii="Times New Roman" w:hAnsi="Times New Roman" w:cs="Times New Roman"/>
          <w:b/>
        </w:rPr>
        <w:t>21</w:t>
      </w:r>
      <w:bookmarkStart w:id="1" w:name="_7pij49yjekex" w:colFirst="0" w:colLast="0"/>
      <w:bookmarkEnd w:id="1"/>
      <w:r w:rsidR="00107DCD">
        <w:rPr>
          <w:rFonts w:ascii="Times New Roman" w:hAnsi="Times New Roman" w:cs="Times New Roman"/>
          <w:b/>
        </w:rPr>
        <w:t>.</w:t>
      </w:r>
    </w:p>
    <w:sdt>
      <w:sdtPr>
        <w:rPr>
          <w:rFonts w:ascii="Times New Roman" w:eastAsia="Arial" w:hAnsi="Times New Roman" w:cs="Times New Roman"/>
          <w:color w:val="auto"/>
          <w:sz w:val="22"/>
          <w:szCs w:val="22"/>
          <w:lang w:val="en"/>
        </w:rPr>
        <w:id w:val="616485921"/>
        <w:docPartObj>
          <w:docPartGallery w:val="Table of Contents"/>
          <w:docPartUnique/>
        </w:docPartObj>
      </w:sdtPr>
      <w:sdtEndPr>
        <w:rPr>
          <w:b/>
          <w:bCs/>
          <w:noProof/>
        </w:rPr>
      </w:sdtEndPr>
      <w:sdtContent>
        <w:p w14:paraId="1174F634" w14:textId="32FF9761" w:rsidR="00DB6F57" w:rsidRPr="00107DCD" w:rsidRDefault="00DB6F57" w:rsidP="000B582A">
          <w:pPr>
            <w:pStyle w:val="TOCNaslov"/>
            <w:spacing w:line="480" w:lineRule="auto"/>
            <w:jc w:val="both"/>
            <w:rPr>
              <w:rFonts w:ascii="Times New Roman" w:hAnsi="Times New Roman" w:cs="Times New Roman"/>
            </w:rPr>
          </w:pPr>
          <w:r w:rsidRPr="00107DCD">
            <w:rPr>
              <w:rFonts w:ascii="Times New Roman" w:hAnsi="Times New Roman" w:cs="Times New Roman"/>
            </w:rPr>
            <w:t>Contents</w:t>
          </w:r>
        </w:p>
        <w:p w14:paraId="17A5D1A2" w14:textId="77777777" w:rsidR="003252EE" w:rsidRPr="003252EE" w:rsidRDefault="00DB6F57" w:rsidP="000B582A">
          <w:pPr>
            <w:pStyle w:val="Sadraj1"/>
            <w:tabs>
              <w:tab w:val="right" w:leader="dot" w:pos="9350"/>
            </w:tabs>
            <w:spacing w:line="480" w:lineRule="auto"/>
            <w:jc w:val="both"/>
            <w:rPr>
              <w:rFonts w:ascii="Times New Roman" w:eastAsiaTheme="minorEastAsia" w:hAnsi="Times New Roman" w:cs="Times New Roman"/>
              <w:noProof/>
              <w:sz w:val="24"/>
              <w:szCs w:val="24"/>
              <w:lang w:val="hr-HR" w:eastAsia="hr-HR"/>
            </w:rPr>
          </w:pPr>
          <w:r w:rsidRPr="00107DCD">
            <w:rPr>
              <w:rFonts w:ascii="Times New Roman" w:hAnsi="Times New Roman" w:cs="Times New Roman"/>
            </w:rPr>
            <w:fldChar w:fldCharType="begin"/>
          </w:r>
          <w:r w:rsidRPr="00107DCD">
            <w:rPr>
              <w:rFonts w:ascii="Times New Roman" w:hAnsi="Times New Roman" w:cs="Times New Roman"/>
            </w:rPr>
            <w:instrText xml:space="preserve"> TOC \o "1-3" \h \z \u </w:instrText>
          </w:r>
          <w:r w:rsidRPr="00107DCD">
            <w:rPr>
              <w:rFonts w:ascii="Times New Roman" w:hAnsi="Times New Roman" w:cs="Times New Roman"/>
            </w:rPr>
            <w:fldChar w:fldCharType="separate"/>
          </w:r>
          <w:hyperlink w:anchor="_Toc64274760" w:history="1">
            <w:r w:rsidR="003252EE" w:rsidRPr="003252EE">
              <w:rPr>
                <w:rStyle w:val="Hiperveza"/>
                <w:rFonts w:ascii="Times New Roman" w:hAnsi="Times New Roman" w:cs="Times New Roman"/>
                <w:noProof/>
                <w:sz w:val="24"/>
                <w:szCs w:val="24"/>
              </w:rPr>
              <w:t>Observational study description</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_Toc64274760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1</w:t>
            </w:r>
            <w:r w:rsidR="003252EE" w:rsidRPr="003252EE">
              <w:rPr>
                <w:rFonts w:ascii="Times New Roman" w:hAnsi="Times New Roman" w:cs="Times New Roman"/>
                <w:noProof/>
                <w:webHidden/>
                <w:sz w:val="24"/>
                <w:szCs w:val="24"/>
              </w:rPr>
              <w:fldChar w:fldCharType="end"/>
            </w:r>
          </w:hyperlink>
        </w:p>
        <w:p w14:paraId="4F67E29B"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1" w:history="1">
            <w:r w:rsidR="003252EE" w:rsidRPr="003252EE">
              <w:rPr>
                <w:rStyle w:val="Hiperveza"/>
                <w:rFonts w:ascii="Times New Roman" w:hAnsi="Times New Roman" w:cs="Times New Roman"/>
                <w:noProof/>
                <w:sz w:val="24"/>
                <w:szCs w:val="24"/>
              </w:rPr>
              <w:t>Inclusion</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_Toc64274761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2</w:t>
            </w:r>
            <w:r w:rsidR="003252EE" w:rsidRPr="003252EE">
              <w:rPr>
                <w:rFonts w:ascii="Times New Roman" w:hAnsi="Times New Roman" w:cs="Times New Roman"/>
                <w:noProof/>
                <w:webHidden/>
                <w:sz w:val="24"/>
                <w:szCs w:val="24"/>
              </w:rPr>
              <w:fldChar w:fldCharType="end"/>
            </w:r>
          </w:hyperlink>
        </w:p>
        <w:p w14:paraId="5F6D3B55"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2" w:history="1">
            <w:r w:rsidR="003252EE" w:rsidRPr="003252EE">
              <w:rPr>
                <w:rStyle w:val="Hiperveza"/>
                <w:rFonts w:ascii="Times New Roman" w:hAnsi="Times New Roman" w:cs="Times New Roman"/>
                <w:noProof/>
                <w:sz w:val="24"/>
                <w:szCs w:val="24"/>
              </w:rPr>
              <w:t>Exclusion criteria</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_Toc64274762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3</w:t>
            </w:r>
            <w:r w:rsidR="003252EE" w:rsidRPr="003252EE">
              <w:rPr>
                <w:rFonts w:ascii="Times New Roman" w:hAnsi="Times New Roman" w:cs="Times New Roman"/>
                <w:noProof/>
                <w:webHidden/>
                <w:sz w:val="24"/>
                <w:szCs w:val="24"/>
              </w:rPr>
              <w:fldChar w:fldCharType="end"/>
            </w:r>
          </w:hyperlink>
        </w:p>
        <w:p w14:paraId="7C8A22B6"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3" w:history="1">
            <w:r w:rsidR="003252EE" w:rsidRPr="003252EE">
              <w:rPr>
                <w:rStyle w:val="Hiperveza"/>
                <w:rFonts w:ascii="Times New Roman" w:hAnsi="Times New Roman" w:cs="Times New Roman"/>
                <w:noProof/>
                <w:sz w:val="24"/>
                <w:szCs w:val="24"/>
              </w:rPr>
              <w:t>Follow up</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_Toc64274763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4</w:t>
            </w:r>
            <w:r w:rsidR="003252EE" w:rsidRPr="003252EE">
              <w:rPr>
                <w:rFonts w:ascii="Times New Roman" w:hAnsi="Times New Roman" w:cs="Times New Roman"/>
                <w:noProof/>
                <w:webHidden/>
                <w:sz w:val="24"/>
                <w:szCs w:val="24"/>
              </w:rPr>
              <w:fldChar w:fldCharType="end"/>
            </w:r>
          </w:hyperlink>
        </w:p>
        <w:p w14:paraId="5A62A377"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4" w:history="1">
            <w:r w:rsidR="003252EE" w:rsidRPr="003252EE">
              <w:rPr>
                <w:rStyle w:val="Hiperveza"/>
                <w:rFonts w:ascii="Times New Roman" w:hAnsi="Times New Roman" w:cs="Times New Roman"/>
                <w:noProof/>
                <w:sz w:val="24"/>
                <w:szCs w:val="24"/>
              </w:rPr>
              <w:t>Assessments</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_Toc64274764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4</w:t>
            </w:r>
            <w:r w:rsidR="003252EE" w:rsidRPr="003252EE">
              <w:rPr>
                <w:rFonts w:ascii="Times New Roman" w:hAnsi="Times New Roman" w:cs="Times New Roman"/>
                <w:noProof/>
                <w:webHidden/>
                <w:sz w:val="24"/>
                <w:szCs w:val="24"/>
              </w:rPr>
              <w:fldChar w:fldCharType="end"/>
            </w:r>
          </w:hyperlink>
        </w:p>
        <w:p w14:paraId="1525F61B"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5" w:history="1">
            <w:r w:rsidR="003252EE" w:rsidRPr="003252EE">
              <w:rPr>
                <w:rStyle w:val="Hiperveza"/>
                <w:rFonts w:ascii="Times New Roman" w:hAnsi="Times New Roman" w:cs="Times New Roman"/>
                <w:noProof/>
                <w:sz w:val="24"/>
                <w:szCs w:val="24"/>
              </w:rPr>
              <w:t>Potential bias</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_Toc64274765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5</w:t>
            </w:r>
            <w:r w:rsidR="003252EE" w:rsidRPr="003252EE">
              <w:rPr>
                <w:rFonts w:ascii="Times New Roman" w:hAnsi="Times New Roman" w:cs="Times New Roman"/>
                <w:noProof/>
                <w:webHidden/>
                <w:sz w:val="24"/>
                <w:szCs w:val="24"/>
              </w:rPr>
              <w:fldChar w:fldCharType="end"/>
            </w:r>
          </w:hyperlink>
        </w:p>
        <w:p w14:paraId="6C5F3688" w14:textId="77777777" w:rsidR="003252EE" w:rsidRPr="003252EE" w:rsidRDefault="002524C8" w:rsidP="000B582A">
          <w:pPr>
            <w:pStyle w:val="Sadraj1"/>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6" w:history="1">
            <w:r w:rsidR="003252EE" w:rsidRPr="003252EE">
              <w:rPr>
                <w:rStyle w:val="Hiperveza"/>
                <w:rFonts w:ascii="Times New Roman" w:hAnsi="Times New Roman" w:cs="Times New Roman"/>
                <w:noProof/>
                <w:sz w:val="24"/>
                <w:szCs w:val="24"/>
              </w:rPr>
              <w:t>Diagnostic data description</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_Toc64274766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5</w:t>
            </w:r>
            <w:r w:rsidR="003252EE" w:rsidRPr="003252EE">
              <w:rPr>
                <w:rFonts w:ascii="Times New Roman" w:hAnsi="Times New Roman" w:cs="Times New Roman"/>
                <w:noProof/>
                <w:webHidden/>
                <w:sz w:val="24"/>
                <w:szCs w:val="24"/>
              </w:rPr>
              <w:fldChar w:fldCharType="end"/>
            </w:r>
          </w:hyperlink>
        </w:p>
        <w:p w14:paraId="1BBBFF9C"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7" w:history="1">
            <w:r w:rsidR="003252EE" w:rsidRPr="003252EE">
              <w:rPr>
                <w:rStyle w:val="Hiperveza"/>
                <w:rFonts w:ascii="Times New Roman" w:hAnsi="Times New Roman" w:cs="Times New Roman"/>
                <w:noProof/>
                <w:sz w:val="24"/>
                <w:szCs w:val="24"/>
              </w:rPr>
              <w:t>Assessment and biochemistry</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_Toc64274767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5</w:t>
            </w:r>
            <w:r w:rsidR="003252EE" w:rsidRPr="003252EE">
              <w:rPr>
                <w:rFonts w:ascii="Times New Roman" w:hAnsi="Times New Roman" w:cs="Times New Roman"/>
                <w:noProof/>
                <w:webHidden/>
                <w:sz w:val="24"/>
                <w:szCs w:val="24"/>
              </w:rPr>
              <w:fldChar w:fldCharType="end"/>
            </w:r>
          </w:hyperlink>
        </w:p>
        <w:p w14:paraId="1649D56C"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8" w:history="1">
            <w:r w:rsidR="003252EE" w:rsidRPr="003252EE">
              <w:rPr>
                <w:rStyle w:val="Hiperveza"/>
                <w:rFonts w:ascii="Times New Roman" w:hAnsi="Times New Roman" w:cs="Times New Roman"/>
                <w:noProof/>
                <w:sz w:val="24"/>
                <w:szCs w:val="24"/>
              </w:rPr>
              <w:t>Genetic analysis</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_Toc64274768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6</w:t>
            </w:r>
            <w:r w:rsidR="003252EE" w:rsidRPr="003252EE">
              <w:rPr>
                <w:rFonts w:ascii="Times New Roman" w:hAnsi="Times New Roman" w:cs="Times New Roman"/>
                <w:noProof/>
                <w:webHidden/>
                <w:sz w:val="24"/>
                <w:szCs w:val="24"/>
              </w:rPr>
              <w:fldChar w:fldCharType="end"/>
            </w:r>
          </w:hyperlink>
        </w:p>
        <w:p w14:paraId="298D4A3B" w14:textId="77777777" w:rsidR="003252EE" w:rsidRPr="003252EE" w:rsidRDefault="002524C8" w:rsidP="000B582A">
          <w:pPr>
            <w:pStyle w:val="Sadraj2"/>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69" w:history="1">
            <w:r w:rsidR="003252EE" w:rsidRPr="003252EE">
              <w:rPr>
                <w:rStyle w:val="Hiperveza"/>
                <w:rFonts w:ascii="Times New Roman" w:hAnsi="Times New Roman" w:cs="Times New Roman"/>
                <w:noProof/>
                <w:sz w:val="24"/>
                <w:szCs w:val="24"/>
              </w:rPr>
              <w:t>Definition of response to treatment variables</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_Toc64274769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8</w:t>
            </w:r>
            <w:r w:rsidR="003252EE" w:rsidRPr="003252EE">
              <w:rPr>
                <w:rFonts w:ascii="Times New Roman" w:hAnsi="Times New Roman" w:cs="Times New Roman"/>
                <w:noProof/>
                <w:webHidden/>
                <w:sz w:val="24"/>
                <w:szCs w:val="24"/>
              </w:rPr>
              <w:fldChar w:fldCharType="end"/>
            </w:r>
          </w:hyperlink>
        </w:p>
        <w:p w14:paraId="2C65838A" w14:textId="77777777" w:rsidR="003252EE" w:rsidRPr="003252EE" w:rsidRDefault="002524C8" w:rsidP="000B582A">
          <w:pPr>
            <w:pStyle w:val="Sadraj1"/>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70" w:history="1">
            <w:r w:rsidR="003252EE" w:rsidRPr="003252EE">
              <w:rPr>
                <w:rStyle w:val="Hiperveza"/>
                <w:rFonts w:ascii="Times New Roman" w:hAnsi="Times New Roman" w:cs="Times New Roman"/>
                <w:noProof/>
                <w:sz w:val="24"/>
                <w:szCs w:val="24"/>
              </w:rPr>
              <w:t>Data preprocessing</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_Toc64274770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10</w:t>
            </w:r>
            <w:r w:rsidR="003252EE" w:rsidRPr="003252EE">
              <w:rPr>
                <w:rFonts w:ascii="Times New Roman" w:hAnsi="Times New Roman" w:cs="Times New Roman"/>
                <w:noProof/>
                <w:webHidden/>
                <w:sz w:val="24"/>
                <w:szCs w:val="24"/>
              </w:rPr>
              <w:fldChar w:fldCharType="end"/>
            </w:r>
          </w:hyperlink>
        </w:p>
        <w:p w14:paraId="4D741142" w14:textId="77777777" w:rsidR="003252EE" w:rsidRPr="003252EE" w:rsidRDefault="002524C8" w:rsidP="000B582A">
          <w:pPr>
            <w:pStyle w:val="Sadraj1"/>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71" w:history="1">
            <w:r w:rsidR="003252EE" w:rsidRPr="003252EE">
              <w:rPr>
                <w:rStyle w:val="Hiperveza"/>
                <w:rFonts w:ascii="Times New Roman" w:hAnsi="Times New Roman" w:cs="Times New Roman"/>
                <w:noProof/>
                <w:sz w:val="24"/>
                <w:szCs w:val="24"/>
              </w:rPr>
              <w:t>Table</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_Toc64274771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11</w:t>
            </w:r>
            <w:r w:rsidR="003252EE" w:rsidRPr="003252EE">
              <w:rPr>
                <w:rFonts w:ascii="Times New Roman" w:hAnsi="Times New Roman" w:cs="Times New Roman"/>
                <w:noProof/>
                <w:webHidden/>
                <w:sz w:val="24"/>
                <w:szCs w:val="24"/>
              </w:rPr>
              <w:fldChar w:fldCharType="end"/>
            </w:r>
          </w:hyperlink>
        </w:p>
        <w:p w14:paraId="78C6FFCB" w14:textId="77777777" w:rsidR="003252EE" w:rsidRPr="003252EE" w:rsidRDefault="002524C8" w:rsidP="000B582A">
          <w:pPr>
            <w:pStyle w:val="Sadraj1"/>
            <w:tabs>
              <w:tab w:val="right" w:leader="dot" w:pos="9350"/>
            </w:tabs>
            <w:spacing w:line="480" w:lineRule="auto"/>
            <w:jc w:val="both"/>
            <w:rPr>
              <w:rFonts w:ascii="Times New Roman" w:eastAsiaTheme="minorEastAsia" w:hAnsi="Times New Roman" w:cs="Times New Roman"/>
              <w:noProof/>
              <w:sz w:val="24"/>
              <w:szCs w:val="24"/>
              <w:lang w:val="hr-HR" w:eastAsia="hr-HR"/>
            </w:rPr>
          </w:pPr>
          <w:hyperlink w:anchor="_Toc64274772" w:history="1">
            <w:r w:rsidR="003252EE" w:rsidRPr="003252EE">
              <w:rPr>
                <w:rStyle w:val="Hiperveza"/>
                <w:rFonts w:ascii="Times New Roman" w:hAnsi="Times New Roman" w:cs="Times New Roman"/>
                <w:noProof/>
                <w:sz w:val="24"/>
                <w:szCs w:val="24"/>
              </w:rPr>
              <w:t>Supplement literature</w:t>
            </w:r>
            <w:r w:rsidR="003252EE" w:rsidRPr="003252EE">
              <w:rPr>
                <w:rFonts w:ascii="Times New Roman" w:hAnsi="Times New Roman" w:cs="Times New Roman"/>
                <w:noProof/>
                <w:webHidden/>
                <w:sz w:val="24"/>
                <w:szCs w:val="24"/>
              </w:rPr>
              <w:tab/>
            </w:r>
            <w:r w:rsidR="003252EE" w:rsidRPr="003252EE">
              <w:rPr>
                <w:rFonts w:ascii="Times New Roman" w:hAnsi="Times New Roman" w:cs="Times New Roman"/>
                <w:noProof/>
                <w:webHidden/>
                <w:sz w:val="24"/>
                <w:szCs w:val="24"/>
              </w:rPr>
              <w:fldChar w:fldCharType="begin"/>
            </w:r>
            <w:r w:rsidR="003252EE" w:rsidRPr="003252EE">
              <w:rPr>
                <w:rFonts w:ascii="Times New Roman" w:hAnsi="Times New Roman" w:cs="Times New Roman"/>
                <w:noProof/>
                <w:webHidden/>
                <w:sz w:val="24"/>
                <w:szCs w:val="24"/>
              </w:rPr>
              <w:instrText xml:space="preserve"> PAGEREF _Toc64274772 \h </w:instrText>
            </w:r>
            <w:r w:rsidR="003252EE" w:rsidRPr="003252EE">
              <w:rPr>
                <w:rFonts w:ascii="Times New Roman" w:hAnsi="Times New Roman" w:cs="Times New Roman"/>
                <w:noProof/>
                <w:webHidden/>
                <w:sz w:val="24"/>
                <w:szCs w:val="24"/>
              </w:rPr>
            </w:r>
            <w:r w:rsidR="003252EE" w:rsidRPr="003252EE">
              <w:rPr>
                <w:rFonts w:ascii="Times New Roman" w:hAnsi="Times New Roman" w:cs="Times New Roman"/>
                <w:noProof/>
                <w:webHidden/>
                <w:sz w:val="24"/>
                <w:szCs w:val="24"/>
              </w:rPr>
              <w:fldChar w:fldCharType="separate"/>
            </w:r>
            <w:r w:rsidR="003252EE" w:rsidRPr="003252EE">
              <w:rPr>
                <w:rFonts w:ascii="Times New Roman" w:hAnsi="Times New Roman" w:cs="Times New Roman"/>
                <w:noProof/>
                <w:webHidden/>
                <w:sz w:val="24"/>
                <w:szCs w:val="24"/>
              </w:rPr>
              <w:t>23</w:t>
            </w:r>
            <w:r w:rsidR="003252EE" w:rsidRPr="003252EE">
              <w:rPr>
                <w:rFonts w:ascii="Times New Roman" w:hAnsi="Times New Roman" w:cs="Times New Roman"/>
                <w:noProof/>
                <w:webHidden/>
                <w:sz w:val="24"/>
                <w:szCs w:val="24"/>
              </w:rPr>
              <w:fldChar w:fldCharType="end"/>
            </w:r>
          </w:hyperlink>
        </w:p>
        <w:p w14:paraId="4F15D8FE" w14:textId="05734A8C" w:rsidR="00DB6F57" w:rsidRDefault="00DB6F57" w:rsidP="000B582A">
          <w:pPr>
            <w:spacing w:line="480" w:lineRule="auto"/>
            <w:jc w:val="both"/>
          </w:pPr>
          <w:r w:rsidRPr="00107DCD">
            <w:rPr>
              <w:rFonts w:ascii="Times New Roman" w:hAnsi="Times New Roman" w:cs="Times New Roman"/>
              <w:b/>
              <w:bCs/>
              <w:noProof/>
            </w:rPr>
            <w:fldChar w:fldCharType="end"/>
          </w:r>
        </w:p>
      </w:sdtContent>
    </w:sdt>
    <w:p w14:paraId="3D428E46" w14:textId="0A812D54" w:rsidR="00245A35" w:rsidRDefault="00245A35" w:rsidP="000B582A">
      <w:pPr>
        <w:pStyle w:val="Naslov1"/>
        <w:spacing w:line="480" w:lineRule="auto"/>
        <w:jc w:val="both"/>
        <w:rPr>
          <w:rFonts w:cs="Times New Roman"/>
        </w:rPr>
      </w:pPr>
      <w:bookmarkStart w:id="2" w:name="_Toc64274760"/>
      <w:r>
        <w:rPr>
          <w:rFonts w:cs="Times New Roman"/>
        </w:rPr>
        <w:lastRenderedPageBreak/>
        <w:t>Observational study description</w:t>
      </w:r>
      <w:bookmarkEnd w:id="2"/>
    </w:p>
    <w:p w14:paraId="3AA91657" w14:textId="282DAFF8" w:rsidR="00245A35" w:rsidRDefault="00245A35" w:rsidP="000B582A">
      <w:pPr>
        <w:spacing w:line="480" w:lineRule="auto"/>
        <w:jc w:val="both"/>
        <w:rPr>
          <w:rFonts w:ascii="Times New Roman" w:hAnsi="Times New Roman" w:cs="Times New Roman"/>
          <w:sz w:val="24"/>
        </w:rPr>
      </w:pPr>
      <w:r w:rsidRPr="00245A35">
        <w:rPr>
          <w:rFonts w:ascii="Times New Roman" w:hAnsi="Times New Roman" w:cs="Times New Roman"/>
          <w:sz w:val="24"/>
        </w:rPr>
        <w:t>The controlled and observational (non-interventional) 24-months study with prospective cohort designs and longitudinal data collection (</w:t>
      </w:r>
      <w:r w:rsidRPr="002F3BA6">
        <w:rPr>
          <w:rFonts w:ascii="Times New Roman" w:hAnsi="Times New Roman" w:cs="Times New Roman"/>
          <w:sz w:val="24"/>
          <w:highlight w:val="yellow"/>
        </w:rPr>
        <w:t xml:space="preserve">data collected </w:t>
      </w:r>
      <w:r w:rsidR="002F3BA6" w:rsidRPr="002F3BA6">
        <w:rPr>
          <w:rFonts w:ascii="Times New Roman" w:hAnsi="Times New Roman" w:cs="Times New Roman"/>
          <w:sz w:val="24"/>
          <w:highlight w:val="yellow"/>
        </w:rPr>
        <w:t xml:space="preserve">on average </w:t>
      </w:r>
      <w:r w:rsidRPr="002F3BA6">
        <w:rPr>
          <w:rFonts w:ascii="Times New Roman" w:hAnsi="Times New Roman" w:cs="Times New Roman"/>
          <w:sz w:val="24"/>
          <w:highlight w:val="yellow"/>
        </w:rPr>
        <w:t>every 6 months</w:t>
      </w:r>
      <w:r w:rsidRPr="00245A35">
        <w:rPr>
          <w:rFonts w:ascii="Times New Roman" w:hAnsi="Times New Roman" w:cs="Times New Roman"/>
          <w:sz w:val="24"/>
        </w:rPr>
        <w:t>) was performed in pediatric patients with physician established diagnosis of asthma. The routine standardized follow-up assessments of all patients included</w:t>
      </w:r>
      <w:r>
        <w:rPr>
          <w:rFonts w:ascii="Times New Roman" w:hAnsi="Times New Roman" w:cs="Times New Roman"/>
          <w:sz w:val="24"/>
        </w:rPr>
        <w:t xml:space="preserve"> </w:t>
      </w:r>
      <w:r w:rsidRPr="00245A35">
        <w:rPr>
          <w:rFonts w:ascii="Times New Roman" w:hAnsi="Times New Roman" w:cs="Times New Roman"/>
          <w:sz w:val="24"/>
        </w:rPr>
        <w:t xml:space="preserve">- First patient (or study subject), First Visit (FPFV): 1 month after </w:t>
      </w:r>
      <w:r w:rsidR="00E57D10" w:rsidRPr="00245A35">
        <w:rPr>
          <w:rFonts w:ascii="Times New Roman" w:hAnsi="Times New Roman" w:cs="Times New Roman"/>
          <w:sz w:val="24"/>
        </w:rPr>
        <w:t>the beginning</w:t>
      </w:r>
      <w:r w:rsidRPr="00245A35">
        <w:rPr>
          <w:rFonts w:ascii="Times New Roman" w:hAnsi="Times New Roman" w:cs="Times New Roman"/>
          <w:sz w:val="24"/>
        </w:rPr>
        <w:t xml:space="preserve"> of the </w:t>
      </w:r>
      <w:r w:rsidR="00E57D10" w:rsidRPr="00245A35">
        <w:rPr>
          <w:rFonts w:ascii="Times New Roman" w:hAnsi="Times New Roman" w:cs="Times New Roman"/>
          <w:sz w:val="24"/>
        </w:rPr>
        <w:t>study -</w:t>
      </w:r>
      <w:r w:rsidRPr="00245A35">
        <w:rPr>
          <w:rFonts w:ascii="Times New Roman" w:hAnsi="Times New Roman" w:cs="Times New Roman"/>
          <w:sz w:val="24"/>
        </w:rPr>
        <w:t xml:space="preserve"> Last Patient (or study subject), First Visit: 1-6 months - Last Patient (or study subject), Last Visit: 24-30 months - End of Study Including follow up and data analysis); 30 months</w:t>
      </w:r>
      <w:r>
        <w:rPr>
          <w:rFonts w:ascii="Times New Roman" w:hAnsi="Times New Roman" w:cs="Times New Roman"/>
          <w:sz w:val="24"/>
        </w:rPr>
        <w:t>.</w:t>
      </w:r>
      <w:r w:rsidR="001C1810">
        <w:rPr>
          <w:rFonts w:ascii="Times New Roman" w:hAnsi="Times New Roman" w:cs="Times New Roman"/>
          <w:sz w:val="24"/>
        </w:rPr>
        <w:t xml:space="preserve"> </w:t>
      </w:r>
      <w:r w:rsidR="001C1810" w:rsidRPr="001C1810">
        <w:rPr>
          <w:rFonts w:ascii="Times New Roman" w:hAnsi="Times New Roman" w:cs="Times New Roman"/>
          <w:sz w:val="24"/>
        </w:rPr>
        <w:t>The study size was estimated at 400, with a dropout rate after the 24-month follow-up period being ca. 10% (N=365).</w:t>
      </w:r>
    </w:p>
    <w:p w14:paraId="0072837B" w14:textId="77777777" w:rsidR="00245A35" w:rsidRPr="00245A35" w:rsidRDefault="00245A35" w:rsidP="000B582A">
      <w:pPr>
        <w:pStyle w:val="Naslov2"/>
        <w:spacing w:line="480" w:lineRule="auto"/>
        <w:jc w:val="both"/>
        <w:rPr>
          <w:rFonts w:cs="Times New Roman"/>
        </w:rPr>
      </w:pPr>
      <w:bookmarkStart w:id="3" w:name="_Toc64274761"/>
      <w:r w:rsidRPr="00245A35">
        <w:rPr>
          <w:rFonts w:cs="Times New Roman"/>
        </w:rPr>
        <w:t>Inclusion</w:t>
      </w:r>
      <w:bookmarkEnd w:id="3"/>
    </w:p>
    <w:p w14:paraId="12F9233E" w14:textId="1BAC9A3E" w:rsidR="00245A35" w:rsidRPr="00245A35" w:rsidRDefault="00245A35" w:rsidP="000B582A">
      <w:pPr>
        <w:spacing w:line="480" w:lineRule="auto"/>
        <w:jc w:val="both"/>
        <w:rPr>
          <w:rFonts w:ascii="Times New Roman" w:hAnsi="Times New Roman" w:cs="Times New Roman"/>
          <w:sz w:val="24"/>
        </w:rPr>
      </w:pPr>
      <w:r w:rsidRPr="00245A35">
        <w:rPr>
          <w:rFonts w:ascii="Times New Roman" w:hAnsi="Times New Roman" w:cs="Times New Roman"/>
          <w:sz w:val="24"/>
        </w:rPr>
        <w:t>The study include</w:t>
      </w:r>
      <w:r>
        <w:rPr>
          <w:rFonts w:ascii="Times New Roman" w:hAnsi="Times New Roman" w:cs="Times New Roman"/>
          <w:sz w:val="24"/>
        </w:rPr>
        <w:t>s</w:t>
      </w:r>
      <w:r w:rsidRPr="00245A35">
        <w:rPr>
          <w:rFonts w:ascii="Times New Roman" w:hAnsi="Times New Roman" w:cs="Times New Roman"/>
          <w:sz w:val="24"/>
        </w:rPr>
        <w:t xml:space="preserve"> patients who sign</w:t>
      </w:r>
      <w:r>
        <w:rPr>
          <w:rFonts w:ascii="Times New Roman" w:hAnsi="Times New Roman" w:cs="Times New Roman"/>
          <w:sz w:val="24"/>
        </w:rPr>
        <w:t>ed</w:t>
      </w:r>
      <w:r w:rsidRPr="00245A35">
        <w:rPr>
          <w:rFonts w:ascii="Times New Roman" w:hAnsi="Times New Roman" w:cs="Times New Roman"/>
          <w:sz w:val="24"/>
        </w:rPr>
        <w:t xml:space="preserve"> informed consent, </w:t>
      </w:r>
      <w:proofErr w:type="gramStart"/>
      <w:r w:rsidRPr="00245A35">
        <w:rPr>
          <w:rFonts w:ascii="Times New Roman" w:hAnsi="Times New Roman" w:cs="Times New Roman"/>
          <w:sz w:val="24"/>
        </w:rPr>
        <w:t>i</w:t>
      </w:r>
      <w:r>
        <w:rPr>
          <w:rFonts w:ascii="Times New Roman" w:hAnsi="Times New Roman" w:cs="Times New Roman"/>
          <w:sz w:val="24"/>
        </w:rPr>
        <w:t>.</w:t>
      </w:r>
      <w:r w:rsidRPr="00245A35">
        <w:rPr>
          <w:rFonts w:ascii="Times New Roman" w:hAnsi="Times New Roman" w:cs="Times New Roman"/>
          <w:sz w:val="24"/>
        </w:rPr>
        <w:t>e</w:t>
      </w:r>
      <w:r>
        <w:rPr>
          <w:rFonts w:ascii="Times New Roman" w:hAnsi="Times New Roman" w:cs="Times New Roman"/>
          <w:sz w:val="24"/>
        </w:rPr>
        <w:t>.</w:t>
      </w:r>
      <w:proofErr w:type="gramEnd"/>
      <w:r w:rsidRPr="00245A35">
        <w:rPr>
          <w:rFonts w:ascii="Times New Roman" w:hAnsi="Times New Roman" w:cs="Times New Roman"/>
          <w:sz w:val="24"/>
        </w:rPr>
        <w:t xml:space="preserve"> agree</w:t>
      </w:r>
      <w:r>
        <w:rPr>
          <w:rFonts w:ascii="Times New Roman" w:hAnsi="Times New Roman" w:cs="Times New Roman"/>
          <w:sz w:val="24"/>
        </w:rPr>
        <w:t>d</w:t>
      </w:r>
      <w:r w:rsidRPr="00245A35">
        <w:rPr>
          <w:rFonts w:ascii="Times New Roman" w:hAnsi="Times New Roman" w:cs="Times New Roman"/>
          <w:sz w:val="24"/>
        </w:rPr>
        <w:t xml:space="preserve"> to participate in a clinical study and meet the criteria for inclusion.</w:t>
      </w:r>
      <w:r>
        <w:rPr>
          <w:rFonts w:ascii="Times New Roman" w:hAnsi="Times New Roman" w:cs="Times New Roman"/>
          <w:sz w:val="24"/>
        </w:rPr>
        <w:t xml:space="preserve"> </w:t>
      </w:r>
      <w:r w:rsidRPr="00245A35">
        <w:rPr>
          <w:rFonts w:ascii="Times New Roman" w:hAnsi="Times New Roman" w:cs="Times New Roman"/>
          <w:sz w:val="24"/>
        </w:rPr>
        <w:t>Criteria for inclusion were assessed by a specialist physician</w:t>
      </w:r>
      <w:r w:rsidR="002F3BA6">
        <w:rPr>
          <w:rFonts w:ascii="Times New Roman" w:hAnsi="Times New Roman" w:cs="Times New Roman"/>
          <w:sz w:val="24"/>
        </w:rPr>
        <w:t xml:space="preserve"> (</w:t>
      </w:r>
      <w:r w:rsidR="002F3BA6" w:rsidRPr="002F3BA6">
        <w:rPr>
          <w:rFonts w:ascii="Times New Roman" w:hAnsi="Times New Roman" w:cs="Times New Roman"/>
          <w:sz w:val="24"/>
          <w:highlight w:val="yellow"/>
        </w:rPr>
        <w:t>pediatric allergy or pulmonology specialist</w:t>
      </w:r>
      <w:r w:rsidR="002F3BA6">
        <w:rPr>
          <w:rFonts w:ascii="Times New Roman" w:hAnsi="Times New Roman" w:cs="Times New Roman"/>
          <w:sz w:val="24"/>
        </w:rPr>
        <w:t>)</w:t>
      </w:r>
      <w:r>
        <w:rPr>
          <w:rFonts w:ascii="Times New Roman" w:hAnsi="Times New Roman" w:cs="Times New Roman"/>
          <w:sz w:val="24"/>
        </w:rPr>
        <w:t>.</w:t>
      </w:r>
      <w:r w:rsidRPr="00245A35">
        <w:rPr>
          <w:rFonts w:ascii="Times New Roman" w:hAnsi="Times New Roman" w:cs="Times New Roman"/>
          <w:sz w:val="24"/>
        </w:rPr>
        <w:t xml:space="preserve"> The children w</w:t>
      </w:r>
      <w:r>
        <w:rPr>
          <w:rFonts w:ascii="Times New Roman" w:hAnsi="Times New Roman" w:cs="Times New Roman"/>
          <w:sz w:val="24"/>
        </w:rPr>
        <w:t>ere</w:t>
      </w:r>
      <w:r w:rsidRPr="00245A35">
        <w:rPr>
          <w:rFonts w:ascii="Times New Roman" w:hAnsi="Times New Roman" w:cs="Times New Roman"/>
          <w:sz w:val="24"/>
        </w:rPr>
        <w:t xml:space="preserve"> enrolled in the study after their legal guardians have read, agreed to, and signed the informed consent form. All children older than 12 as well as adolescents were enrolled in the study after signing the inform consent, as well. The subjects were assessed for inclusion and exclusion criteria on first study visit after signing the informed consent. Patients involved in the study </w:t>
      </w:r>
      <w:r>
        <w:rPr>
          <w:rFonts w:ascii="Times New Roman" w:hAnsi="Times New Roman" w:cs="Times New Roman"/>
          <w:sz w:val="24"/>
        </w:rPr>
        <w:t>used</w:t>
      </w:r>
      <w:r w:rsidRPr="00245A35">
        <w:rPr>
          <w:rFonts w:ascii="Times New Roman" w:hAnsi="Times New Roman" w:cs="Times New Roman"/>
          <w:sz w:val="24"/>
        </w:rPr>
        <w:t xml:space="preserve"> their regular therapy (according to guidelines) </w:t>
      </w:r>
      <w:proofErr w:type="gramStart"/>
      <w:r w:rsidRPr="00245A35">
        <w:rPr>
          <w:rFonts w:ascii="Times New Roman" w:hAnsi="Times New Roman" w:cs="Times New Roman"/>
          <w:sz w:val="24"/>
        </w:rPr>
        <w:t>i</w:t>
      </w:r>
      <w:r>
        <w:rPr>
          <w:rFonts w:ascii="Times New Roman" w:hAnsi="Times New Roman" w:cs="Times New Roman"/>
          <w:sz w:val="24"/>
        </w:rPr>
        <w:t>.</w:t>
      </w:r>
      <w:r w:rsidRPr="00245A35">
        <w:rPr>
          <w:rFonts w:ascii="Times New Roman" w:hAnsi="Times New Roman" w:cs="Times New Roman"/>
          <w:sz w:val="24"/>
        </w:rPr>
        <w:t>e</w:t>
      </w:r>
      <w:r>
        <w:rPr>
          <w:rFonts w:ascii="Times New Roman" w:hAnsi="Times New Roman" w:cs="Times New Roman"/>
          <w:sz w:val="24"/>
        </w:rPr>
        <w:t>.</w:t>
      </w:r>
      <w:proofErr w:type="gramEnd"/>
      <w:r w:rsidRPr="00245A35">
        <w:rPr>
          <w:rFonts w:ascii="Times New Roman" w:hAnsi="Times New Roman" w:cs="Times New Roman"/>
          <w:sz w:val="24"/>
        </w:rPr>
        <w:t xml:space="preserve"> conduct treatment and all other non-therapeutic measures as if they were not involved in the study (real life study). Any deterioration or emergency intervention</w:t>
      </w:r>
      <w:r>
        <w:rPr>
          <w:rFonts w:ascii="Times New Roman" w:hAnsi="Times New Roman" w:cs="Times New Roman"/>
          <w:sz w:val="24"/>
        </w:rPr>
        <w:t>s</w:t>
      </w:r>
      <w:r w:rsidRPr="00245A35">
        <w:rPr>
          <w:rFonts w:ascii="Times New Roman" w:hAnsi="Times New Roman" w:cs="Times New Roman"/>
          <w:sz w:val="24"/>
        </w:rPr>
        <w:t xml:space="preserve"> were evaluated and recorded as additional visits.</w:t>
      </w:r>
      <w:r>
        <w:rPr>
          <w:rFonts w:ascii="Times New Roman" w:hAnsi="Times New Roman" w:cs="Times New Roman"/>
          <w:sz w:val="24"/>
        </w:rPr>
        <w:t xml:space="preserve"> </w:t>
      </w:r>
      <w:r w:rsidRPr="00245A35">
        <w:rPr>
          <w:rFonts w:ascii="Times New Roman" w:hAnsi="Times New Roman" w:cs="Times New Roman"/>
          <w:sz w:val="24"/>
        </w:rPr>
        <w:t>The new therapies were not applied to study patients during the observational period and the patients continue</w:t>
      </w:r>
      <w:r>
        <w:rPr>
          <w:rFonts w:ascii="Times New Roman" w:hAnsi="Times New Roman" w:cs="Times New Roman"/>
          <w:sz w:val="24"/>
        </w:rPr>
        <w:t>d</w:t>
      </w:r>
      <w:r w:rsidRPr="00245A35">
        <w:rPr>
          <w:rFonts w:ascii="Times New Roman" w:hAnsi="Times New Roman" w:cs="Times New Roman"/>
          <w:sz w:val="24"/>
        </w:rPr>
        <w:t xml:space="preserve"> with their standard therapy (according </w:t>
      </w:r>
      <w:r>
        <w:rPr>
          <w:rFonts w:ascii="Times New Roman" w:hAnsi="Times New Roman" w:cs="Times New Roman"/>
          <w:sz w:val="24"/>
        </w:rPr>
        <w:lastRenderedPageBreak/>
        <w:t>to</w:t>
      </w:r>
      <w:r w:rsidRPr="00245A35">
        <w:rPr>
          <w:rFonts w:ascii="Times New Roman" w:hAnsi="Times New Roman" w:cs="Times New Roman"/>
          <w:sz w:val="24"/>
        </w:rPr>
        <w:t xml:space="preserve"> GINA guideline) as if they were not included in the study. The patients with a clinical diagnosis of asthma (according to ERS/ATS guidelines) for at least one year</w:t>
      </w:r>
      <w:r w:rsidR="00540D2A">
        <w:rPr>
          <w:rFonts w:ascii="Times New Roman" w:hAnsi="Times New Roman" w:cs="Times New Roman"/>
          <w:sz w:val="24"/>
        </w:rPr>
        <w:t xml:space="preserve"> </w:t>
      </w:r>
      <w:r w:rsidR="00540D2A">
        <w:rPr>
          <w:rFonts w:ascii="Times New Roman" w:hAnsi="Times New Roman" w:cs="Times New Roman"/>
          <w:sz w:val="24"/>
        </w:rPr>
        <w:fldChar w:fldCharType="begin" w:fldLock="1"/>
      </w:r>
      <w:r w:rsidR="00AB1F90">
        <w:rPr>
          <w:rFonts w:ascii="Times New Roman" w:hAnsi="Times New Roman" w:cs="Times New Roman"/>
          <w:sz w:val="24"/>
        </w:rPr>
        <w:instrText>ADDIN CSL_CITATION {"citationItems":[{"id":"ITEM-1","itemData":{"DOI":"10.1164/rccm.200801-060ST","ISSN":"1073-449X","PMID":"19535666","abstract":"BACKGROUND The assessment of asthma control is pivotal to the evaluation of treatment response in individuals and in clinical trials. Previously, asthma control, severity, and exacerbations were defined and assessed in many different ways. PURPOSE The Task Force was established to provide recommendations about standardization of outcomes relating to asthma control, severity, and exacerbations in clinical trials and clinical practice, for adults and children aged 6 years or older. METHODS A narrative literature review was conducted to evaluate the measurement properties and strengths/weaknesses of outcome measures relevant to asthma control and exacerbations. The review focused on diary variables, physiologic measurements, composite scores, biomarkers, quality of life questionnaires, and indirect measures. RESULTS The Task Force developed new definitions for asthma control, severity, and exacerbations, based on current treatment principles and clinical and research relevance. In view of current knowledge about the multiple domains of asthma and asthma control, no single outcome measure can adequately assess asthma control. Its assessment in clinical trials and in clinical practice should include components relevant to both of the goals of asthma treatment, namely achievement of best possible clinical control and reduction of future risk of adverse outcomes. Recommendations are provided for the assessment of asthma control in clinical trials and clinical practice, both at baseline and in the assessment of treatment response. CONCLUSIONS The Task Force recommendations provide a basis for a multicomponent assessment of asthma by clinicians, researchers, and other relevant groups in the design, conduct, and evaluation of clinical trials, and in clinical practice.","author":[{"dropping-particle":"","family":"Reddel","given":"Helen K.","non-dropping-particle":"","parse-names":false,"suffix":""},{"dropping-particle":"","family":"Taylor","given":"D. Robin","non-dropping-particle":"","parse-names":false,"suffix":""},{"dropping-particle":"","family":"Bateman","given":"Eric D.","non-dropping-particle":"","parse-names":false,"suffix":""},{"dropping-particle":"","family":"Boulet","given":"Louis-Philippe","non-dropping-particle":"","parse-names":false,"suffix":""},{"dropping-particle":"","family":"Boushey","given":"Homer A.","non-dropping-particle":"","parse-names":false,"suffix":""},{"dropping-particle":"","family":"Busse","given":"William W.","non-dropping-particle":"","parse-names":false,"suffix":""},{"dropping-particle":"","family":"Casale","given":"Thomas B.","non-dropping-particle":"","parse-names":false,"suffix":""},{"dropping-particle":"","family":"Chanez","given":"Pascal","non-dropping-particle":"","parse-names":false,"suffix":""},{"dropping-particle":"","family":"Enright","given":"Paul L.","non-dropping-particle":"","parse-names":false,"suffix":""},{"dropping-particle":"","family":"Gibson","given":"Peter G.","non-dropping-particle":"","parse-names":false,"suffix":""},{"dropping-particle":"","family":"Jongste","given":"Johan C.","non-dropping-particle":"de","parse-names":false,"suffix":""},{"dropping-particle":"","family":"Kerstjens","given":"Huib A. M.","non-dropping-particle":"","parse-names":false,"suffix":""},{"dropping-particle":"","family":"Lazarus","given":"Stephen C.","non-dropping-particle":"","parse-names":false,"suffix":""},{"dropping-particle":"","family":"Levy","given":"Mark L.","non-dropping-particle":"","parse-names":false,"suffix":""},{"dropping-particle":"","family":"O'Byrne","given":"Paul M.","non-dropping-particle":"","parse-names":false,"suffix":""},{"dropping-particle":"","family":"Partridge","given":"Martyn R.","non-dropping-particle":"","parse-names":false,"suffix":""},{"dropping-particle":"","family":"Pavord","given":"Ian D.","non-dropping-particle":"","parse-names":false,"suffix":""},{"dropping-particle":"","family":"Sears","given":"Malcolm R.","non-dropping-particle":"","parse-names":false,"suffix":""},{"dropping-particle":"","family":"Sterk","given":"Peter J.","non-dropping-particle":"","parse-names":false,"suffix":""},{"dropping-particle":"","family":"Stoloff","given":"Stuart W.","non-dropping-particle":"","parse-names":false,"suffix":""},{"dropping-particle":"","family":"Sullivan","given":"Sean D.","non-dropping-particle":"","parse-names":false,"suffix":""},{"dropping-particle":"","family":"Szefler","given":"Stanley J.","non-dropping-particle":"","parse-names":false,"suffix":""},{"dropping-particle":"","family":"Thomas","given":"Mike D.","non-dropping-particle":"","parse-names":false,"suffix":""},{"dropping-particle":"","family":"Wenzel","given":"Sally E.","non-dropping-particle":"","parse-names":false,"suffix":""},{"dropping-particle":"","family":"American Thoracic Society/European Respiratory Society Task Force on Asthma Control and Exacerbations","given":"","non-dropping-particle":"","parse-names":false,"suffix":""}],"container-title":"American Journal of Respiratory and Critical Care Medicine","id":"ITEM-1","issue":"1","issued":{"date-parts":[["2009","7"]]},"page":"59-99","title":"An Official American Thoracic Society/European Respiratory Society Statement: Asthma Control and Exacerbations","type":"article-journal","volume":"180"},"uris":["http://www.mendeley.com/documents/?uuid=2d5f3031-fdb5-4743-9679-a7456b361b64"]}],"mendeley":{"formattedCitation":"[1]","plainTextFormattedCitation":"[1]","previouslyFormattedCitation":"[1]"},"properties":{"noteIndex":0},"schema":"https://github.com/citation-style-language/schema/raw/master/csl-citation.json"}</w:instrText>
      </w:r>
      <w:r w:rsidR="00540D2A">
        <w:rPr>
          <w:rFonts w:ascii="Times New Roman" w:hAnsi="Times New Roman" w:cs="Times New Roman"/>
          <w:sz w:val="24"/>
        </w:rPr>
        <w:fldChar w:fldCharType="separate"/>
      </w:r>
      <w:r w:rsidR="00540D2A" w:rsidRPr="00540D2A">
        <w:rPr>
          <w:rFonts w:ascii="Times New Roman" w:hAnsi="Times New Roman" w:cs="Times New Roman"/>
          <w:noProof/>
          <w:sz w:val="24"/>
        </w:rPr>
        <w:t>[1]</w:t>
      </w:r>
      <w:r w:rsidR="00540D2A">
        <w:rPr>
          <w:rFonts w:ascii="Times New Roman" w:hAnsi="Times New Roman" w:cs="Times New Roman"/>
          <w:sz w:val="24"/>
        </w:rPr>
        <w:fldChar w:fldCharType="end"/>
      </w:r>
      <w:r w:rsidRPr="00245A35">
        <w:rPr>
          <w:rFonts w:ascii="Times New Roman" w:hAnsi="Times New Roman" w:cs="Times New Roman"/>
          <w:sz w:val="24"/>
        </w:rPr>
        <w:t>, being on a stable dose of anti-inflammatory treatment for at least one month with partially controlled or uncontrolled asthma according to GINA guidelines were recruited from the SCH outpatient clinic during their regular visit to the clinic (real life study).</w:t>
      </w:r>
      <w:r>
        <w:rPr>
          <w:rFonts w:ascii="Times New Roman" w:hAnsi="Times New Roman" w:cs="Times New Roman"/>
          <w:sz w:val="24"/>
        </w:rPr>
        <w:t xml:space="preserve"> </w:t>
      </w:r>
      <w:r w:rsidRPr="00245A35">
        <w:rPr>
          <w:rFonts w:ascii="Times New Roman" w:hAnsi="Times New Roman" w:cs="Times New Roman"/>
          <w:sz w:val="24"/>
        </w:rPr>
        <w:t>Additional inclusion criteria were cl</w:t>
      </w:r>
      <w:r>
        <w:rPr>
          <w:rFonts w:ascii="Times New Roman" w:hAnsi="Times New Roman" w:cs="Times New Roman"/>
          <w:sz w:val="24"/>
        </w:rPr>
        <w:t>i</w:t>
      </w:r>
      <w:r w:rsidRPr="00245A35">
        <w:rPr>
          <w:rFonts w:ascii="Times New Roman" w:hAnsi="Times New Roman" w:cs="Times New Roman"/>
          <w:sz w:val="24"/>
        </w:rPr>
        <w:t xml:space="preserve">nically significant allergy to indoor and outdoor allergens, with positive skin prick test (SPT) and specific </w:t>
      </w:r>
      <w:proofErr w:type="spellStart"/>
      <w:r w:rsidRPr="00245A35">
        <w:rPr>
          <w:rFonts w:ascii="Times New Roman" w:hAnsi="Times New Roman" w:cs="Times New Roman"/>
          <w:sz w:val="24"/>
        </w:rPr>
        <w:t>IgE</w:t>
      </w:r>
      <w:proofErr w:type="spellEnd"/>
      <w:r w:rsidRPr="00245A35">
        <w:rPr>
          <w:rFonts w:ascii="Times New Roman" w:hAnsi="Times New Roman" w:cs="Times New Roman"/>
          <w:sz w:val="24"/>
        </w:rPr>
        <w:t xml:space="preserve"> levels (&gt;0.7kUA/L). SPT was performed to a standard palette of inhaled allergens contai</w:t>
      </w:r>
      <w:r>
        <w:rPr>
          <w:rFonts w:ascii="Times New Roman" w:hAnsi="Times New Roman" w:cs="Times New Roman"/>
          <w:sz w:val="24"/>
        </w:rPr>
        <w:t>ni</w:t>
      </w:r>
      <w:r w:rsidRPr="00245A35">
        <w:rPr>
          <w:rFonts w:ascii="Times New Roman" w:hAnsi="Times New Roman" w:cs="Times New Roman"/>
          <w:sz w:val="24"/>
        </w:rPr>
        <w:t xml:space="preserve">ng: birch, grass pollen, </w:t>
      </w:r>
      <w:proofErr w:type="spellStart"/>
      <w:r w:rsidRPr="00245A35">
        <w:rPr>
          <w:rFonts w:ascii="Times New Roman" w:hAnsi="Times New Roman" w:cs="Times New Roman"/>
          <w:sz w:val="24"/>
        </w:rPr>
        <w:t>mugwort</w:t>
      </w:r>
      <w:proofErr w:type="spellEnd"/>
      <w:r w:rsidRPr="00245A35">
        <w:rPr>
          <w:rFonts w:ascii="Times New Roman" w:hAnsi="Times New Roman" w:cs="Times New Roman"/>
          <w:sz w:val="24"/>
        </w:rPr>
        <w:t xml:space="preserve">, Ambrosia elatior, </w:t>
      </w:r>
      <w:proofErr w:type="spellStart"/>
      <w:r w:rsidRPr="00245A35">
        <w:rPr>
          <w:rFonts w:ascii="Times New Roman" w:hAnsi="Times New Roman" w:cs="Times New Roman"/>
          <w:sz w:val="24"/>
        </w:rPr>
        <w:t>Dermatophagoides</w:t>
      </w:r>
      <w:proofErr w:type="spellEnd"/>
      <w:r>
        <w:rPr>
          <w:rFonts w:ascii="Times New Roman" w:hAnsi="Times New Roman" w:cs="Times New Roman"/>
          <w:sz w:val="24"/>
        </w:rPr>
        <w:t xml:space="preserve"> </w:t>
      </w:r>
      <w:proofErr w:type="spellStart"/>
      <w:r w:rsidRPr="00245A35">
        <w:rPr>
          <w:rFonts w:ascii="Times New Roman" w:hAnsi="Times New Roman" w:cs="Times New Roman"/>
          <w:sz w:val="24"/>
        </w:rPr>
        <w:t>pteronyssinus</w:t>
      </w:r>
      <w:proofErr w:type="spellEnd"/>
      <w:r w:rsidRPr="00245A35">
        <w:rPr>
          <w:rFonts w:ascii="Times New Roman" w:hAnsi="Times New Roman" w:cs="Times New Roman"/>
          <w:sz w:val="24"/>
        </w:rPr>
        <w:t xml:space="preserve"> (Der p), </w:t>
      </w:r>
      <w:proofErr w:type="spellStart"/>
      <w:r w:rsidRPr="00245A35">
        <w:rPr>
          <w:rFonts w:ascii="Times New Roman" w:hAnsi="Times New Roman" w:cs="Times New Roman"/>
          <w:sz w:val="24"/>
        </w:rPr>
        <w:t>Dermatophagoides</w:t>
      </w:r>
      <w:proofErr w:type="spellEnd"/>
      <w:r>
        <w:rPr>
          <w:rFonts w:ascii="Times New Roman" w:hAnsi="Times New Roman" w:cs="Times New Roman"/>
          <w:sz w:val="24"/>
        </w:rPr>
        <w:t xml:space="preserve"> </w:t>
      </w:r>
      <w:proofErr w:type="spellStart"/>
      <w:r w:rsidRPr="00245A35">
        <w:rPr>
          <w:rFonts w:ascii="Times New Roman" w:hAnsi="Times New Roman" w:cs="Times New Roman"/>
          <w:sz w:val="24"/>
        </w:rPr>
        <w:t>Farinae</w:t>
      </w:r>
      <w:proofErr w:type="spellEnd"/>
      <w:r w:rsidRPr="00245A35">
        <w:rPr>
          <w:rFonts w:ascii="Times New Roman" w:hAnsi="Times New Roman" w:cs="Times New Roman"/>
          <w:sz w:val="24"/>
        </w:rPr>
        <w:t xml:space="preserve"> (Der f), dog, cat, hazel, Cladosporium, Alternaria negative control and histamine (</w:t>
      </w:r>
      <w:proofErr w:type="spellStart"/>
      <w:r w:rsidRPr="00245A35">
        <w:rPr>
          <w:rFonts w:ascii="Times New Roman" w:hAnsi="Times New Roman" w:cs="Times New Roman"/>
          <w:sz w:val="24"/>
        </w:rPr>
        <w:t>Allergopharma</w:t>
      </w:r>
      <w:proofErr w:type="spellEnd"/>
      <w:r w:rsidRPr="00245A35">
        <w:rPr>
          <w:rFonts w:ascii="Times New Roman" w:hAnsi="Times New Roman" w:cs="Times New Roman"/>
          <w:sz w:val="24"/>
        </w:rPr>
        <w:t xml:space="preserve">, </w:t>
      </w:r>
      <w:proofErr w:type="spellStart"/>
      <w:r w:rsidRPr="00245A35">
        <w:rPr>
          <w:rFonts w:ascii="Times New Roman" w:hAnsi="Times New Roman" w:cs="Times New Roman"/>
          <w:sz w:val="24"/>
        </w:rPr>
        <w:t>Reinbek</w:t>
      </w:r>
      <w:proofErr w:type="spellEnd"/>
      <w:r w:rsidRPr="00245A35">
        <w:rPr>
          <w:rFonts w:ascii="Times New Roman" w:hAnsi="Times New Roman" w:cs="Times New Roman"/>
          <w:sz w:val="24"/>
        </w:rPr>
        <w:t>, Germany).</w:t>
      </w:r>
    </w:p>
    <w:p w14:paraId="4402E8B7" w14:textId="1CD872BD" w:rsidR="00245A35" w:rsidRDefault="00245A35" w:rsidP="000B582A">
      <w:pPr>
        <w:spacing w:line="480" w:lineRule="auto"/>
        <w:jc w:val="both"/>
        <w:rPr>
          <w:rFonts w:ascii="Times New Roman" w:hAnsi="Times New Roman" w:cs="Times New Roman"/>
          <w:sz w:val="24"/>
        </w:rPr>
      </w:pPr>
      <w:r w:rsidRPr="00245A35">
        <w:rPr>
          <w:rFonts w:ascii="Times New Roman" w:hAnsi="Times New Roman" w:cs="Times New Roman"/>
          <w:sz w:val="24"/>
        </w:rPr>
        <w:t>Additionally, if indicated, pa</w:t>
      </w:r>
      <w:r>
        <w:rPr>
          <w:rFonts w:ascii="Times New Roman" w:hAnsi="Times New Roman" w:cs="Times New Roman"/>
          <w:sz w:val="24"/>
        </w:rPr>
        <w:t>tients</w:t>
      </w:r>
      <w:r w:rsidRPr="00245A35">
        <w:rPr>
          <w:rFonts w:ascii="Times New Roman" w:hAnsi="Times New Roman" w:cs="Times New Roman"/>
          <w:sz w:val="24"/>
        </w:rPr>
        <w:t xml:space="preserve"> und</w:t>
      </w:r>
      <w:r>
        <w:rPr>
          <w:rFonts w:ascii="Times New Roman" w:hAnsi="Times New Roman" w:cs="Times New Roman"/>
          <w:sz w:val="24"/>
        </w:rPr>
        <w:t>e</w:t>
      </w:r>
      <w:r w:rsidRPr="00245A35">
        <w:rPr>
          <w:rFonts w:ascii="Times New Roman" w:hAnsi="Times New Roman" w:cs="Times New Roman"/>
          <w:sz w:val="24"/>
        </w:rPr>
        <w:t xml:space="preserve">rwent SPT to food allergens: eggs, cow's milk, wheat flour, soy, peanut, fish, nuts and sesame, as well as other food allergens (if indicated). The interpretation of skin prick test results (based on the guidelines of the European Academy of Allergy and Clinical Immunology were made after approximately 15–20 min in relation to positive (the histamine dihydrochloride at a concentration of 1.0 mg/ml) and negative control (saline). The diameter of </w:t>
      </w:r>
      <w:proofErr w:type="spellStart"/>
      <w:r w:rsidRPr="00245A35">
        <w:rPr>
          <w:rFonts w:ascii="Times New Roman" w:hAnsi="Times New Roman" w:cs="Times New Roman"/>
          <w:sz w:val="24"/>
        </w:rPr>
        <w:t>urtica</w:t>
      </w:r>
      <w:proofErr w:type="spellEnd"/>
      <w:r w:rsidRPr="00245A35">
        <w:rPr>
          <w:rFonts w:ascii="Times New Roman" w:hAnsi="Times New Roman" w:cs="Times New Roman"/>
          <w:sz w:val="24"/>
        </w:rPr>
        <w:t xml:space="preserve"> or wheal diameter of at least 3 mm was considered a positive result, according to the EAACI recommendation. </w:t>
      </w:r>
      <w:r w:rsidR="00540D2A">
        <w:rPr>
          <w:rFonts w:ascii="Times New Roman" w:hAnsi="Times New Roman" w:cs="Times New Roman"/>
          <w:sz w:val="24"/>
        </w:rPr>
        <w:fldChar w:fldCharType="begin" w:fldLock="1"/>
      </w:r>
      <w:r w:rsidR="00AB1F90">
        <w:rPr>
          <w:rFonts w:ascii="Times New Roman" w:hAnsi="Times New Roman" w:cs="Times New Roman"/>
          <w:sz w:val="24"/>
        </w:rPr>
        <w:instrText>ADDIN CSL_CITATION {"citationItems":[{"id":"ITEM-1","itemData":{"DOI":"10.1111/j.1398-9995.2011.02728.x","ISSN":"01054538","PMID":"22050279","abstract":"This pocket guide is the result of a consensus reached between members of the Global Allergy and Asthma European Network (GA(2) LEN) and Allergic Rhinitis and its Impact on Asthma (ARIA). The aim of the current pocket guide is to offer a comprehensive set of recommendations on the use of skin prick tests in allergic rhinitis-conjunctivitis and asthma in daily practice. This pocket guide is meant to give simple answers to the most frequent questions raised by practitioners in Europe, including 'practicing allergists', general practitioners and any other physicians with special interest in the management of allergic diseases. It is not a long or detailed scientific review of the topic. However, the recommendations in this pocket guide were compiled following an in-depth review of existing guidelines and publications, including the 1993 European Academy of Allergy and Clinical Immunology position paper, the 2001 ARIA document and the ARIA update 2008 (prepared in collaboration with GA(2) LEN). The recommendations cover skin test methodology and interpretation, allergen extracts to be used, as well as indications in a variety of settings including paediatrics and developing countries.","author":[{"dropping-particle":"","family":"Bousquet","given":"J.","non-dropping-particle":"","parse-names":false,"suffix":""},{"dropping-particle":"","family":"Heinzerling","given":"L.","non-dropping-particle":"","parse-names":false,"suffix":""},{"dropping-particle":"","family":"Bachert","given":"C.","non-dropping-particle":"","parse-names":false,"suffix":""},{"dropping-particle":"","family":"Papadopoulos","given":"N. G.","non-dropping-particle":"","parse-names":false,"suffix":""},{"dropping-particle":"","family":"Bousquet","given":"P. J.","non-dropping-particle":"","parse-names":false,"suffix":""},{"dropping-particle":"","family":"Burney","given":"P. G.","non-dropping-particle":"","parse-names":false,"suffix":""},{"dropping-particle":"","family":"Canonica","given":"G. W.","non-dropping-particle":"","parse-names":false,"suffix":""},{"dropping-particle":"","family":"Carlsen","given":"K. H.","non-dropping-particle":"","parse-names":false,"suffix":""},{"dropping-particle":"","family":"Cox","given":"L.","non-dropping-particle":"","parse-names":false,"suffix":""},{"dropping-particle":"","family":"Haahtela","given":"T.","non-dropping-particle":"","parse-names":false,"suffix":""},{"dropping-particle":"","family":"Lodrup Carlsen","given":"K. C.","non-dropping-particle":"","parse-names":false,"suffix":""},{"dropping-particle":"","family":"Price","given":"D.","non-dropping-particle":"","parse-names":false,"suffix":""},{"dropping-particle":"","family":"Samolinski","given":"B.","non-dropping-particle":"","parse-names":false,"suffix":""},{"dropping-particle":"","family":"Simons","given":"F. E. R.","non-dropping-particle":"","parse-names":false,"suffix":""},{"dropping-particle":"","family":"Wickman","given":"M.","non-dropping-particle":"","parse-names":false,"suffix":""},{"dropping-particle":"","family":"Annesi-Maesano","given":"I.","non-dropping-particle":"","parse-names":false,"suffix":""},{"dropping-particle":"","family":"Baena-Cagnani","given":"C. E.","non-dropping-particle":"","parse-names":false,"suffix":""},{"dropping-particle":"","family":"Bergmann","given":"K. C.","non-dropping-particle":"","parse-names":false,"suffix":""},{"dropping-particle":"","family":"Bindslev-Jensen","given":"C.","non-dropping-particle":"","parse-names":false,"suffix":""},{"dropping-particle":"","family":"Casale","given":"T. B.","non-dropping-particle":"","parse-names":false,"suffix":""},{"dropping-particle":"","family":"Chiriac","given":"A.","non-dropping-particle":"","parse-names":false,"suffix":""},{"dropping-particle":"","family":"Cruz","given":"A. A.","non-dropping-particle":"","parse-names":false,"suffix":""},{"dropping-particle":"","family":"Dubakiene","given":"R.","non-dropping-particle":"","parse-names":false,"suffix":""},{"dropping-particle":"","family":"Durham","given":"S. R.","non-dropping-particle":"","parse-names":false,"suffix":""},{"dropping-particle":"","family":"Fokkens","given":"W. J.","non-dropping-particle":"","parse-names":false,"suffix":""},{"dropping-particle":"","family":"Gerth-van-Wijk","given":"R.","non-dropping-particle":"","parse-names":false,"suffix":""},{"dropping-particle":"","family":"Kalayci","given":"O.","non-dropping-particle":"","parse-names":false,"suffix":""},{"dropping-particle":"","family":"Kowalski","given":"M. L.","non-dropping-particle":"","parse-names":false,"suffix":""},{"dropping-particle":"","family":"Mari","given":"A.","non-dropping-particle":"","parse-names":false,"suffix":""},{"dropping-particle":"","family":"Mullol","given":"J.","non-dropping-particle":"","parse-names":false,"suffix":""},{"dropping-particle":"","family":"Nazamova-Baranova","given":"L.","non-dropping-particle":"","parse-names":false,"suffix":""},{"dropping-particle":"","family":"O’Hehir","given":"R. E.","non-dropping-particle":"","parse-names":false,"suffix":""},{"dropping-particle":"","family":"Ohta","given":"K.","non-dropping-particle":"","parse-names":false,"suffix":""},{"dropping-particle":"","family":"Panzner","given":"P.","non-dropping-particle":"","parse-names":false,"suffix":""},{"dropping-particle":"","family":"Passalacqua","given":"G.","non-dropping-particle":"","parse-names":false,"suffix":""},{"dropping-particle":"","family":"Ring","given":"J.","non-dropping-particle":"","parse-names":false,"suffix":""},{"dropping-particle":"","family":"Rogala","given":"B.","non-dropping-particle":"","parse-names":false,"suffix":""},{"dropping-particle":"","family":"Romano","given":"A.","non-dropping-particle":"","parse-names":false,"suffix":""},{"dropping-particle":"","family":"Ryan","given":"D.","non-dropping-particle":"","parse-names":false,"suffix":""},{"dropping-particle":"","family":"Schmid-Grendelmeier","given":"P.","non-dropping-particle":"","parse-names":false,"suffix":""},{"dropping-particle":"","family":"Todo-Bom","given":"A.","non-dropping-particle":"","parse-names":false,"suffix":""},{"dropping-particle":"","family":"Valenta","given":"R.","non-dropping-particle":"","parse-names":false,"suffix":""},{"dropping-particle":"","family":"Woehrl","given":"S.","non-dropping-particle":"","parse-names":false,"suffix":""},{"dropping-particle":"","family":"Yusuf","given":"O. M.","non-dropping-particle":"","parse-names":false,"suffix":""},{"dropping-particle":"","family":"Zuberbier","given":"T.","non-dropping-particle":"","parse-names":false,"suffix":""},{"dropping-particle":"","family":"Demoly","given":"P.","non-dropping-particle":"","parse-names":false,"suffix":""},{"dropping-particle":"","family":"Global Allergy and Asthma European Network","given":"","non-dropping-particle":"","parse-names":false,"suffix":""},{"dropping-particle":"","family":"Allergic Rhinitis and its Impact on Asthma","given":"","non-dropping-particle":"","parse-names":false,"suffix":""}],"container-title":"Allergy","id":"ITEM-1","issue":"1","issued":{"date-parts":[["2012","1"]]},"page":"18-24","title":"Practical guide to skin prick tests in allergy to aeroallergens","type":"article-journal","volume":"67"},"uris":["http://www.mendeley.com/documents/?uuid=d6026833-10ab-3ab1-9100-73e4c960c575","http://www.mendeley.com/documents/?uuid=b5e7c447-3e5d-431a-9fa1-f314b575913c"]}],"mendeley":{"formattedCitation":"[2]","plainTextFormattedCitation":"[2]","previouslyFormattedCitation":"[2]"},"properties":{"noteIndex":0},"schema":"https://github.com/citation-style-language/schema/raw/master/csl-citation.json"}</w:instrText>
      </w:r>
      <w:r w:rsidR="00540D2A">
        <w:rPr>
          <w:rFonts w:ascii="Times New Roman" w:hAnsi="Times New Roman" w:cs="Times New Roman"/>
          <w:sz w:val="24"/>
        </w:rPr>
        <w:fldChar w:fldCharType="separate"/>
      </w:r>
      <w:r w:rsidR="00540D2A" w:rsidRPr="00540D2A">
        <w:rPr>
          <w:rFonts w:ascii="Times New Roman" w:hAnsi="Times New Roman" w:cs="Times New Roman"/>
          <w:noProof/>
          <w:sz w:val="24"/>
        </w:rPr>
        <w:t>[2]</w:t>
      </w:r>
      <w:r w:rsidR="00540D2A">
        <w:rPr>
          <w:rFonts w:ascii="Times New Roman" w:hAnsi="Times New Roman" w:cs="Times New Roman"/>
          <w:sz w:val="24"/>
        </w:rPr>
        <w:fldChar w:fldCharType="end"/>
      </w:r>
      <w:r w:rsidR="00540D2A">
        <w:rPr>
          <w:rFonts w:ascii="Times New Roman" w:hAnsi="Times New Roman" w:cs="Times New Roman"/>
          <w:sz w:val="24"/>
        </w:rPr>
        <w:t xml:space="preserve"> </w:t>
      </w:r>
      <w:r w:rsidRPr="00245A35">
        <w:rPr>
          <w:rFonts w:ascii="Times New Roman" w:hAnsi="Times New Roman" w:cs="Times New Roman"/>
          <w:sz w:val="24"/>
        </w:rPr>
        <w:t xml:space="preserve">Allergen solutions were tested on the volar surface of the forearm using 1mm prick lancets. The SPT was not repeated if the respondent had a test finding that was not older than one year. </w:t>
      </w:r>
      <w:r>
        <w:rPr>
          <w:rFonts w:ascii="Times New Roman" w:hAnsi="Times New Roman" w:cs="Times New Roman"/>
          <w:sz w:val="24"/>
        </w:rPr>
        <w:t xml:space="preserve"> </w:t>
      </w:r>
    </w:p>
    <w:p w14:paraId="1946B397" w14:textId="1AC10925" w:rsidR="00245A35" w:rsidRPr="00245A35" w:rsidRDefault="00245A35" w:rsidP="000B582A">
      <w:pPr>
        <w:pStyle w:val="Naslov2"/>
        <w:spacing w:line="480" w:lineRule="auto"/>
        <w:jc w:val="both"/>
        <w:rPr>
          <w:rFonts w:cs="Times New Roman"/>
        </w:rPr>
      </w:pPr>
      <w:bookmarkStart w:id="4" w:name="_Toc64274762"/>
      <w:r w:rsidRPr="00245A35">
        <w:rPr>
          <w:rFonts w:cs="Times New Roman"/>
        </w:rPr>
        <w:t>Exclusion criteria</w:t>
      </w:r>
      <w:bookmarkEnd w:id="4"/>
      <w:r w:rsidRPr="00245A35">
        <w:rPr>
          <w:rFonts w:cs="Times New Roman"/>
        </w:rPr>
        <w:t xml:space="preserve"> </w:t>
      </w:r>
    </w:p>
    <w:p w14:paraId="55F135EB" w14:textId="3641828D" w:rsidR="00245A35" w:rsidRDefault="00245A35" w:rsidP="000B582A">
      <w:pPr>
        <w:spacing w:line="480" w:lineRule="auto"/>
        <w:jc w:val="both"/>
        <w:rPr>
          <w:rFonts w:ascii="Times New Roman" w:hAnsi="Times New Roman" w:cs="Times New Roman"/>
          <w:sz w:val="24"/>
        </w:rPr>
      </w:pPr>
      <w:r w:rsidRPr="00245A35">
        <w:rPr>
          <w:rFonts w:ascii="Times New Roman" w:hAnsi="Times New Roman" w:cs="Times New Roman"/>
          <w:sz w:val="24"/>
        </w:rPr>
        <w:t xml:space="preserve">Exclusion criteria for adolescents were: acute respiratory infection, use of systemic corticosteroids, recent asthma-related visit to emergency department (in the past three weeks) and coexistence of </w:t>
      </w:r>
      <w:r w:rsidRPr="00245A35">
        <w:rPr>
          <w:rFonts w:ascii="Times New Roman" w:hAnsi="Times New Roman" w:cs="Times New Roman"/>
          <w:sz w:val="24"/>
        </w:rPr>
        <w:lastRenderedPageBreak/>
        <w:t xml:space="preserve">other serious chronic illness. Exclusion criteria for school children were: known inborn or perinatal pulmonary disease; pulmonary malformation; oxygen therapy after birth with a duration of more than 24 h; ventilator support or mechanical ventilation after birth; diagnosis of cystic fibrosis; primary ciliary dyskinesia; heart failure diagnosed after birth affecting pulmonary circulation; major respiratory diseases such as </w:t>
      </w:r>
      <w:proofErr w:type="gramStart"/>
      <w:r w:rsidRPr="00245A35">
        <w:rPr>
          <w:rFonts w:ascii="Times New Roman" w:hAnsi="Times New Roman" w:cs="Times New Roman"/>
          <w:sz w:val="24"/>
        </w:rPr>
        <w:t>e.g.</w:t>
      </w:r>
      <w:proofErr w:type="gramEnd"/>
      <w:r w:rsidRPr="00245A35">
        <w:rPr>
          <w:rFonts w:ascii="Times New Roman" w:hAnsi="Times New Roman" w:cs="Times New Roman"/>
          <w:sz w:val="24"/>
        </w:rPr>
        <w:t xml:space="preserve"> interstitial lung disease. Moreover, children were excluded from study visits and biomaterial collection in the case of fever of at least 38.5 °C during the last two weeks prior to the planned visit. </w:t>
      </w:r>
    </w:p>
    <w:p w14:paraId="0A3A282D" w14:textId="1FAFEFA8" w:rsidR="00245A35" w:rsidRPr="00245A35" w:rsidRDefault="00245A35" w:rsidP="000B582A">
      <w:pPr>
        <w:pStyle w:val="Naslov2"/>
        <w:spacing w:line="480" w:lineRule="auto"/>
        <w:jc w:val="both"/>
        <w:rPr>
          <w:rFonts w:cs="Times New Roman"/>
        </w:rPr>
      </w:pPr>
      <w:bookmarkStart w:id="5" w:name="_Toc64274763"/>
      <w:r w:rsidRPr="00245A35">
        <w:rPr>
          <w:rFonts w:cs="Times New Roman"/>
        </w:rPr>
        <w:t>Follow up</w:t>
      </w:r>
      <w:bookmarkEnd w:id="5"/>
    </w:p>
    <w:p w14:paraId="1DE4451B" w14:textId="0020C840" w:rsidR="00245A35" w:rsidRPr="00245A35" w:rsidRDefault="00245A35" w:rsidP="000B582A">
      <w:pPr>
        <w:spacing w:line="480" w:lineRule="auto"/>
        <w:jc w:val="both"/>
        <w:rPr>
          <w:rFonts w:ascii="Times New Roman" w:hAnsi="Times New Roman" w:cs="Times New Roman"/>
          <w:sz w:val="24"/>
        </w:rPr>
      </w:pPr>
      <w:r w:rsidRPr="00245A35">
        <w:rPr>
          <w:rFonts w:ascii="Times New Roman" w:hAnsi="Times New Roman" w:cs="Times New Roman"/>
          <w:sz w:val="24"/>
        </w:rPr>
        <w:t xml:space="preserve">All patients were regularly followed up on average every 6 months and regularly controlled even </w:t>
      </w:r>
      <w:r w:rsidR="002F3BA6" w:rsidRPr="002F3BA6">
        <w:rPr>
          <w:rFonts w:ascii="Times New Roman" w:hAnsi="Times New Roman" w:cs="Times New Roman"/>
          <w:sz w:val="24"/>
          <w:highlight w:val="yellow"/>
        </w:rPr>
        <w:t xml:space="preserve">more </w:t>
      </w:r>
      <w:r w:rsidRPr="002F3BA6">
        <w:rPr>
          <w:rFonts w:ascii="Times New Roman" w:hAnsi="Times New Roman" w:cs="Times New Roman"/>
          <w:sz w:val="24"/>
          <w:highlight w:val="yellow"/>
        </w:rPr>
        <w:t>often</w:t>
      </w:r>
      <w:r w:rsidRPr="00245A35">
        <w:rPr>
          <w:rFonts w:ascii="Times New Roman" w:hAnsi="Times New Roman" w:cs="Times New Roman"/>
          <w:sz w:val="24"/>
        </w:rPr>
        <w:t xml:space="preserve"> if they had a history of exacerbations. Lung function testing, FENO and asthma </w:t>
      </w:r>
      <w:r w:rsidR="00545FCA" w:rsidRPr="00245A35">
        <w:rPr>
          <w:rFonts w:ascii="Times New Roman" w:hAnsi="Times New Roman" w:cs="Times New Roman"/>
          <w:sz w:val="24"/>
        </w:rPr>
        <w:t>control</w:t>
      </w:r>
      <w:r w:rsidRPr="00245A35">
        <w:rPr>
          <w:rFonts w:ascii="Times New Roman" w:hAnsi="Times New Roman" w:cs="Times New Roman"/>
          <w:sz w:val="24"/>
        </w:rPr>
        <w:t xml:space="preserve"> (including C-ACT score</w:t>
      </w:r>
      <w:r w:rsidR="002524C8">
        <w:rPr>
          <w:rFonts w:ascii="Times New Roman" w:hAnsi="Times New Roman" w:cs="Times New Roman"/>
          <w:sz w:val="24"/>
        </w:rPr>
        <w:t xml:space="preserve">, </w:t>
      </w:r>
      <w:r w:rsidR="002524C8" w:rsidRPr="002524C8">
        <w:rPr>
          <w:rFonts w:ascii="Times New Roman" w:hAnsi="Times New Roman" w:cs="Times New Roman"/>
          <w:sz w:val="24"/>
          <w:highlight w:val="yellow"/>
        </w:rPr>
        <w:t>if available- N= 158</w:t>
      </w:r>
      <w:r w:rsidRPr="00245A35">
        <w:rPr>
          <w:rFonts w:ascii="Times New Roman" w:hAnsi="Times New Roman" w:cs="Times New Roman"/>
          <w:sz w:val="24"/>
        </w:rPr>
        <w:t>) were recorded and assessed at every visit.</w:t>
      </w:r>
    </w:p>
    <w:p w14:paraId="0801049F" w14:textId="07CFF5E7" w:rsidR="00245A35" w:rsidRPr="00245A35" w:rsidRDefault="00245A35" w:rsidP="000B582A">
      <w:pPr>
        <w:pStyle w:val="Naslov2"/>
        <w:spacing w:line="480" w:lineRule="auto"/>
        <w:jc w:val="both"/>
        <w:rPr>
          <w:rFonts w:cs="Times New Roman"/>
        </w:rPr>
      </w:pPr>
      <w:bookmarkStart w:id="6" w:name="_Toc64274764"/>
      <w:r w:rsidRPr="00245A35">
        <w:rPr>
          <w:rFonts w:cs="Times New Roman"/>
        </w:rPr>
        <w:t>Assessments</w:t>
      </w:r>
      <w:bookmarkEnd w:id="6"/>
      <w:r w:rsidRPr="00245A35">
        <w:rPr>
          <w:rFonts w:cs="Times New Roman"/>
        </w:rPr>
        <w:t xml:space="preserve"> </w:t>
      </w:r>
    </w:p>
    <w:p w14:paraId="6EFAE050" w14:textId="3170B699" w:rsidR="00245A35" w:rsidRDefault="00245A35" w:rsidP="000B582A">
      <w:pPr>
        <w:spacing w:line="480" w:lineRule="auto"/>
        <w:jc w:val="both"/>
        <w:rPr>
          <w:rFonts w:ascii="Times New Roman" w:hAnsi="Times New Roman" w:cs="Times New Roman"/>
          <w:sz w:val="24"/>
        </w:rPr>
      </w:pPr>
      <w:r w:rsidRPr="00245A35">
        <w:rPr>
          <w:rFonts w:ascii="Times New Roman" w:hAnsi="Times New Roman" w:cs="Times New Roman"/>
          <w:sz w:val="24"/>
        </w:rPr>
        <w:t>The childhood asthma control test (C-ACT) is</w:t>
      </w:r>
      <w:r w:rsidR="00545FCA">
        <w:rPr>
          <w:rFonts w:ascii="Times New Roman" w:hAnsi="Times New Roman" w:cs="Times New Roman"/>
          <w:sz w:val="24"/>
        </w:rPr>
        <w:t xml:space="preserve"> a</w:t>
      </w:r>
      <w:r w:rsidRPr="00245A35">
        <w:rPr>
          <w:rFonts w:ascii="Times New Roman" w:hAnsi="Times New Roman" w:cs="Times New Roman"/>
          <w:sz w:val="24"/>
        </w:rPr>
        <w:t xml:space="preserve"> brief, patient-administered asthma assessment tool that helps healthcare professionals quickly and effectively assess asthma control in patients. It </w:t>
      </w:r>
      <w:r w:rsidR="00545FCA">
        <w:rPr>
          <w:rFonts w:ascii="Times New Roman" w:hAnsi="Times New Roman" w:cs="Times New Roman"/>
          <w:sz w:val="24"/>
        </w:rPr>
        <w:t>was</w:t>
      </w:r>
      <w:r w:rsidRPr="00245A35">
        <w:rPr>
          <w:rFonts w:ascii="Times New Roman" w:hAnsi="Times New Roman" w:cs="Times New Roman"/>
          <w:sz w:val="24"/>
        </w:rPr>
        <w:t xml:space="preserve"> clinically validated by assessment and spirometry and is able to detect changes in asthma control over time to help determine whether or not a patient’s current treatment plan is working. It consists of seven questions, with a minimum score of 0 and maximum of 27. Higher score represents better level of control. The cutoff value of 19 points represents inadequate asthma control.</w:t>
      </w:r>
      <w:r>
        <w:rPr>
          <w:rFonts w:ascii="Times New Roman" w:hAnsi="Times New Roman" w:cs="Times New Roman"/>
          <w:sz w:val="24"/>
        </w:rPr>
        <w:t xml:space="preserve"> </w:t>
      </w:r>
      <w:r w:rsidRPr="00245A35">
        <w:rPr>
          <w:rFonts w:ascii="Times New Roman" w:hAnsi="Times New Roman" w:cs="Times New Roman"/>
          <w:sz w:val="24"/>
        </w:rPr>
        <w:t xml:space="preserve">Lung function (school aged children) </w:t>
      </w:r>
      <w:r>
        <w:rPr>
          <w:rFonts w:ascii="Times New Roman" w:hAnsi="Times New Roman" w:cs="Times New Roman"/>
          <w:sz w:val="24"/>
        </w:rPr>
        <w:t>by s</w:t>
      </w:r>
      <w:r w:rsidRPr="00245A35">
        <w:rPr>
          <w:rFonts w:ascii="Times New Roman" w:hAnsi="Times New Roman" w:cs="Times New Roman"/>
          <w:sz w:val="24"/>
        </w:rPr>
        <w:t>tandard spirometry w</w:t>
      </w:r>
      <w:r w:rsidR="00545FCA">
        <w:rPr>
          <w:rFonts w:ascii="Times New Roman" w:hAnsi="Times New Roman" w:cs="Times New Roman"/>
          <w:sz w:val="24"/>
        </w:rPr>
        <w:t>as</w:t>
      </w:r>
      <w:r w:rsidRPr="00245A35">
        <w:rPr>
          <w:rFonts w:ascii="Times New Roman" w:hAnsi="Times New Roman" w:cs="Times New Roman"/>
          <w:sz w:val="24"/>
        </w:rPr>
        <w:t xml:space="preserve"> performed according to the ATS/ERS spirometry standards. We measure</w:t>
      </w:r>
      <w:r w:rsidR="00545FCA">
        <w:rPr>
          <w:rFonts w:ascii="Times New Roman" w:hAnsi="Times New Roman" w:cs="Times New Roman"/>
          <w:sz w:val="24"/>
        </w:rPr>
        <w:t>d</w:t>
      </w:r>
      <w:r w:rsidRPr="00245A35">
        <w:rPr>
          <w:rFonts w:ascii="Times New Roman" w:hAnsi="Times New Roman" w:cs="Times New Roman"/>
          <w:sz w:val="24"/>
        </w:rPr>
        <w:t xml:space="preserve"> forced vital capacity (FVC), forced expiratory volume at the first second (FEV1), FEV1/FVC ratio and mid forced expiratory flow (FEF25-75) and express </w:t>
      </w:r>
      <w:r w:rsidRPr="00245A35">
        <w:rPr>
          <w:rFonts w:ascii="Times New Roman" w:hAnsi="Times New Roman" w:cs="Times New Roman"/>
          <w:sz w:val="24"/>
        </w:rPr>
        <w:lastRenderedPageBreak/>
        <w:t xml:space="preserve">values as absolute ones and as percentage of the predicted values according to </w:t>
      </w:r>
      <w:proofErr w:type="spellStart"/>
      <w:r w:rsidRPr="00245A35">
        <w:rPr>
          <w:rFonts w:ascii="Times New Roman" w:hAnsi="Times New Roman" w:cs="Times New Roman"/>
          <w:sz w:val="24"/>
        </w:rPr>
        <w:t>Quanjer</w:t>
      </w:r>
      <w:proofErr w:type="spellEnd"/>
      <w:r w:rsidRPr="00245A35">
        <w:rPr>
          <w:rFonts w:ascii="Times New Roman" w:hAnsi="Times New Roman" w:cs="Times New Roman"/>
          <w:sz w:val="24"/>
        </w:rPr>
        <w:t>.</w:t>
      </w:r>
      <w:r>
        <w:rPr>
          <w:rFonts w:ascii="Times New Roman" w:hAnsi="Times New Roman" w:cs="Times New Roman"/>
          <w:sz w:val="24"/>
        </w:rPr>
        <w:t xml:space="preserve"> </w:t>
      </w:r>
      <w:r w:rsidRPr="00245A35">
        <w:rPr>
          <w:rFonts w:ascii="Times New Roman" w:hAnsi="Times New Roman" w:cs="Times New Roman"/>
          <w:sz w:val="24"/>
        </w:rPr>
        <w:t>FENO (for school age children and adults)</w:t>
      </w:r>
      <w:r w:rsidR="004C000C">
        <w:rPr>
          <w:rFonts w:ascii="Times New Roman" w:hAnsi="Times New Roman" w:cs="Times New Roman"/>
          <w:sz w:val="24"/>
        </w:rPr>
        <w:t>.</w:t>
      </w:r>
      <w:r w:rsidRPr="00245A35">
        <w:rPr>
          <w:rFonts w:ascii="Times New Roman" w:hAnsi="Times New Roman" w:cs="Times New Roman"/>
          <w:sz w:val="24"/>
        </w:rPr>
        <w:t xml:space="preserve"> Fraction of exhaled nitric oxide (FENO) w</w:t>
      </w:r>
      <w:r w:rsidR="004C000C">
        <w:rPr>
          <w:rFonts w:ascii="Times New Roman" w:hAnsi="Times New Roman" w:cs="Times New Roman"/>
          <w:sz w:val="24"/>
        </w:rPr>
        <w:t>as</w:t>
      </w:r>
      <w:r w:rsidRPr="00245A35">
        <w:rPr>
          <w:rFonts w:ascii="Times New Roman" w:hAnsi="Times New Roman" w:cs="Times New Roman"/>
          <w:sz w:val="24"/>
        </w:rPr>
        <w:t xml:space="preserve"> measured using a chemiluminescence analyzer (NIOX or MEDISOFT analyzer) during a single-breath exhalation according to the ERS/ATS recommendations at a flow rate of 50 mL/sec. </w:t>
      </w:r>
    </w:p>
    <w:p w14:paraId="4C19D1CA" w14:textId="159213CB" w:rsidR="001C1810" w:rsidRDefault="001C1810" w:rsidP="000B582A">
      <w:pPr>
        <w:spacing w:line="480" w:lineRule="auto"/>
        <w:jc w:val="both"/>
        <w:rPr>
          <w:rFonts w:ascii="Times New Roman" w:hAnsi="Times New Roman" w:cs="Times New Roman"/>
          <w:sz w:val="24"/>
        </w:rPr>
      </w:pPr>
    </w:p>
    <w:p w14:paraId="400392FE" w14:textId="77777777" w:rsidR="001C1810" w:rsidRPr="001C1810" w:rsidRDefault="001C1810" w:rsidP="000B582A">
      <w:pPr>
        <w:pStyle w:val="Naslov2"/>
        <w:spacing w:line="480" w:lineRule="auto"/>
        <w:jc w:val="both"/>
      </w:pPr>
      <w:bookmarkStart w:id="7" w:name="_Toc64274765"/>
      <w:r w:rsidRPr="001C1810">
        <w:t>Potential bias</w:t>
      </w:r>
      <w:bookmarkEnd w:id="7"/>
    </w:p>
    <w:p w14:paraId="200E0B52" w14:textId="5E7C52DC" w:rsidR="001C1810" w:rsidRDefault="001C1810" w:rsidP="000B582A">
      <w:pPr>
        <w:spacing w:line="480" w:lineRule="auto"/>
        <w:jc w:val="both"/>
        <w:rPr>
          <w:rFonts w:ascii="Times New Roman" w:hAnsi="Times New Roman" w:cs="Times New Roman"/>
          <w:sz w:val="24"/>
        </w:rPr>
      </w:pPr>
      <w:r w:rsidRPr="001C1810">
        <w:rPr>
          <w:rFonts w:ascii="Times New Roman" w:hAnsi="Times New Roman" w:cs="Times New Roman"/>
          <w:sz w:val="24"/>
        </w:rPr>
        <w:t>Potential bias included overrepresentation of one gender (male) since childhood asthma is more common in boys. During the recruitment procedure, children were included in the study regardless of their gender, if they met the inclusion criteria. Additionally, to avoid under- or over-estimation of the disease diagnosis and state (disease severity and control), the recruitment was performed by experienced clinicians (allergy specialist with 15+ years of experience in the field). Although children of all age groups (3-18) were recruited to the study if they met the inclusion criteria, a diagnosis of asthma was difficult to establish in young children (wheeze, transient wheeze and other differential diagnoses), a potential bias is underrepresentation of younger children (up to 5 years of age).</w:t>
      </w:r>
    </w:p>
    <w:p w14:paraId="0A4A0B4D" w14:textId="77777777" w:rsidR="00245A35" w:rsidRDefault="00245A35" w:rsidP="000B582A">
      <w:pPr>
        <w:spacing w:line="480" w:lineRule="auto"/>
        <w:jc w:val="both"/>
      </w:pPr>
    </w:p>
    <w:p w14:paraId="18B4AE75" w14:textId="77777777" w:rsidR="00245A35" w:rsidRPr="00245A35" w:rsidRDefault="00245A35" w:rsidP="000B582A">
      <w:pPr>
        <w:spacing w:line="480" w:lineRule="auto"/>
        <w:jc w:val="both"/>
      </w:pPr>
    </w:p>
    <w:p w14:paraId="20C54645" w14:textId="3C5C5556" w:rsidR="00D830AF" w:rsidRPr="0084419E" w:rsidRDefault="008257DD" w:rsidP="000B582A">
      <w:pPr>
        <w:pStyle w:val="Naslov1"/>
        <w:spacing w:line="480" w:lineRule="auto"/>
        <w:jc w:val="both"/>
        <w:rPr>
          <w:rFonts w:cs="Times New Roman"/>
        </w:rPr>
      </w:pPr>
      <w:bookmarkStart w:id="8" w:name="_Toc64274766"/>
      <w:r w:rsidRPr="0084419E">
        <w:rPr>
          <w:rFonts w:cs="Times New Roman"/>
        </w:rPr>
        <w:lastRenderedPageBreak/>
        <w:t>Diagnostic data description</w:t>
      </w:r>
      <w:bookmarkStart w:id="9" w:name="_xdf4efe863wf" w:colFirst="0" w:colLast="0"/>
      <w:bookmarkEnd w:id="8"/>
      <w:bookmarkEnd w:id="9"/>
    </w:p>
    <w:p w14:paraId="4B257E03" w14:textId="3396D453" w:rsidR="00662189" w:rsidRPr="0084419E" w:rsidRDefault="008257DD" w:rsidP="000B582A">
      <w:pPr>
        <w:pStyle w:val="Naslov2"/>
        <w:spacing w:line="480" w:lineRule="auto"/>
        <w:jc w:val="both"/>
        <w:rPr>
          <w:rFonts w:cs="Times New Roman"/>
        </w:rPr>
      </w:pPr>
      <w:bookmarkStart w:id="10" w:name="_Toc64274767"/>
      <w:r w:rsidRPr="0084419E">
        <w:rPr>
          <w:rFonts w:cs="Times New Roman"/>
        </w:rPr>
        <w:t>Assessment and biochemistry</w:t>
      </w:r>
      <w:bookmarkEnd w:id="10"/>
    </w:p>
    <w:p w14:paraId="786014B9" w14:textId="05AA02F3" w:rsidR="00D830AF" w:rsidRPr="0084419E" w:rsidRDefault="008257DD" w:rsidP="000B582A">
      <w:pPr>
        <w:spacing w:line="480" w:lineRule="auto"/>
        <w:jc w:val="both"/>
        <w:rPr>
          <w:rFonts w:ascii="Times New Roman" w:eastAsia="Times New Roman" w:hAnsi="Times New Roman" w:cs="Times New Roman"/>
          <w:sz w:val="24"/>
          <w:szCs w:val="24"/>
        </w:rPr>
      </w:pPr>
      <w:r w:rsidRPr="0084419E">
        <w:rPr>
          <w:rFonts w:ascii="Times New Roman" w:eastAsia="Times New Roman" w:hAnsi="Times New Roman" w:cs="Times New Roman"/>
          <w:sz w:val="24"/>
          <w:szCs w:val="24"/>
        </w:rPr>
        <w:t xml:space="preserve">At their first visit patients underwent physical examination, anthropometric measurements (height and weight for calculation of BMI and BMI percentiles), along with a standard battery of diagnostics procedures and measurements to establish a diagnosis of asthma. These included skin prick tests for common allergens (list in supplementary data), lung function tests (including airway challenge tests, if applicable) and blood sampling for routine laboratory diagnostics (hematology, biochemistry and allergy assays- total and allergen- specific </w:t>
      </w:r>
      <w:proofErr w:type="spellStart"/>
      <w:r w:rsidRPr="0084419E">
        <w:rPr>
          <w:rFonts w:ascii="Times New Roman" w:eastAsia="Times New Roman" w:hAnsi="Times New Roman" w:cs="Times New Roman"/>
          <w:sz w:val="24"/>
          <w:szCs w:val="24"/>
        </w:rPr>
        <w:t>IgE</w:t>
      </w:r>
      <w:proofErr w:type="spellEnd"/>
      <w:r w:rsidRPr="0084419E">
        <w:rPr>
          <w:rFonts w:ascii="Times New Roman" w:eastAsia="Times New Roman" w:hAnsi="Times New Roman" w:cs="Times New Roman"/>
          <w:sz w:val="24"/>
          <w:szCs w:val="24"/>
        </w:rPr>
        <w:t>). In order to assess the level and type of both systemic and local inflammation, certain inflammatory biomarkers were measured at baseline in all participants, including fractional exhaled nitric oxide (FENO), high-sensitive C-reactive protein (</w:t>
      </w:r>
      <w:proofErr w:type="spellStart"/>
      <w:r w:rsidRPr="0084419E">
        <w:rPr>
          <w:rFonts w:ascii="Times New Roman" w:eastAsia="Times New Roman" w:hAnsi="Times New Roman" w:cs="Times New Roman"/>
          <w:sz w:val="24"/>
          <w:szCs w:val="24"/>
        </w:rPr>
        <w:t>hsCRP</w:t>
      </w:r>
      <w:proofErr w:type="spellEnd"/>
      <w:r w:rsidRPr="0084419E">
        <w:rPr>
          <w:rFonts w:ascii="Times New Roman" w:eastAsia="Times New Roman" w:hAnsi="Times New Roman" w:cs="Times New Roman"/>
          <w:sz w:val="24"/>
          <w:szCs w:val="24"/>
        </w:rPr>
        <w:t>) as well as certain inflammatory cell counts, such as eosinophils and neutrophils</w:t>
      </w:r>
      <w:r w:rsidR="00455017">
        <w:rPr>
          <w:rFonts w:ascii="Times New Roman" w:eastAsia="Times New Roman" w:hAnsi="Times New Roman" w:cs="Times New Roman"/>
          <w:sz w:val="24"/>
          <w:szCs w:val="24"/>
        </w:rPr>
        <w:t xml:space="preserve">. </w:t>
      </w:r>
      <w:r w:rsidR="00455017">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{"citationItems":[{"id":"ITEM-1","itemData":{"DOI":"10.1164/rccm.9120-11ST","ISSN":"1073-449X","PMID":"21885636","abstract":"BACKGROUND Measurement of fractional nitric oxide (NO) concentration in exhaled breath (Fe(NO)) is a quantitative, noninvasive, simple, and safe method of measuring airway inflammation that provides a complementary tool to other ways of assessing airways disease, including asthma. While Fe(NO) measurement has been standardized, there is currently no reference guideline for practicing health care providers to guide them in the appropriate use and interpretation of Fe(NO) in clinical practice. PURPOSE To develop evidence-based guidelines for the interpretation of Fe(NO) measurements that incorporate evidence that has accumulated over the past decade. METHODS We created a multidisciplinary committee with expertise in the clinical care, clinical science, or basic science of airway disease and/or NO. The committee identified important clinical questions, synthesized the evidence, and formulated recommendations. Recommendations were developed using pragmatic systematic reviews of the literature and the GRADE approach. RESULTS The evidence related to the use of Fe(NO) measurements is reviewed and clinical practice recommendations are provided. CONCLUSIONS In the setting of chronic inflammatory airway disease including asthma, conventional tests such as FEV(1) reversibility or provocation tests are only indirectly associated with airway inflammation. Fe(NO) offers added advantages for patient care including, but not limited to (1) detecting of eosinophilic airway inflammation, (2) determining the likelihood of corticosteroid responsiveness, (3) monitoring of airway inflammation to determine the potential need for corticosteroid, and (4) unmasking of otherwise unsuspected nonadherence to corticosteroid therapy.","author":[{"dropping-particle":"","family":"Dweik","given":"Raed A.","non-dropping-particle":"","parse-names":false,"suffix":""},{"dropping-particle":"","family":"Boggs","given":"Peter B.","non-dropping-particle":"","parse-names":false,"suffix":""},{"dropping-particle":"","family":"Erzurum","given":"Serpil C.","non-dropping-particle":"","parse-names":false,"suffix":""},{"dropping-particle":"","family":"Irvin","given":"Charles G.","non-dropping-particle":"","parse-names":false,"suffix":""},{"dropping-particle":"","family":"Leigh","given":"Margaret W.","non-dropping-particle":"","parse-names":false,"suffix":""},{"dropping-particle":"","family":"Lundberg","given":"Jon O.","non-dropping-particle":"","parse-names":false,"suffix":""},{"dropping-particle":"","family":"Olin","given":"Anna-Carin","non-dropping-particle":"","parse-names":false,"suffix":""},{"dropping-particle":"","family":"Plummer","given":"Alan L.","non-dropping-particle":"","parse-names":false,"suffix":""},{"dropping-particle":"","family":"Taylor","given":"D. Robin","non-dropping-particle":"","parse-names":false,"suffix":""},{"dropping-particle":"","family":"American Thoracic Society Committee on Interpretation of Exhaled Nitric Oxide Levels (FENO) for Clinical Applications","given":"","non-dropping-particle":"","parse-names":false,"suffix":""}],"container-title":"American Journal of Respiratory and Critical Care Medicine","id":"ITEM-1","issue":"5","issued":{"date-parts":[["2011","9"]]},"page":"602-615","title":"An Official ATS Clinical Practice Guideline: Interpretation of Exhaled Nitric Oxide Levels (F e &lt;sub&gt;NO&lt;/sub&gt; ) for Clinical Applications","type":"article-journal","volume":"184"},"uris":["http://www.mendeley.com/documents/?uuid=0ecabd9d-882d-4453-9f17-26ffd666c42f"]},{"id":"ITEM-2","itemData":{"ISSN":"1532-4303","PMID":"19863287","abstract":"AIM To compare different biomarkers of inflammation in children with controlled and uncontrolled asthma and to investigate their relationship with other clinical indices of asthma control (symptoms, lung function, serum IgE, and prn beta-agonist use). MATERIALS AND METHODS A total of 62 consecutive asthmatic children (age 11 +/- 3.3 years, 32 girls) with controlled ([C], n = 19) and uncontrolled asthma ([NC], n = 43) were studied. Measured lung function and inflammatory biomarkers included: spirometry, exhaled NO (F(E)NO), high-sensitivity C-reactive protein (hs-CRP), peripheral blood white blood cells (WBC) counts, and differentials. RESULTS Hs-CRP was significantly higher in uncontrolled than in controlled asthma (hs-CRP, median [IQR], mg/L; 0.56 [0.60] vs 0.25 [0.34], p = 0.008). Discriminant analysis (backward stepwise) depicted hs-CRP and lymphocytes (as Z-score for absolute count) as significant discriminative factors for asthma control (F = 8.319, p = 0.0007) with 82.3% diagnostic accuracy. Divided into quartiles hs-CRP showed the significant inverse association with F(E)NO (F = 7.359, p = 0.003, ANOVA) with no significant difference for asthma control (F = 1.032, p = 0.386). Post-hoc analysis revealed that F(E)NO values were significantly lower in the third and the fourth quartile of hs-CRP in comparison to the first and the second one (p &lt; 0.05 for all). CONCLUSION In asthmatic children with uncontrolled asthma serum hs-CRP was increased compared to children with controlled asthma. Although F(E)NO values were also increased (insignificantly) and inversely correlated with hs-CRP they were probably reflecting different etiology underlying the loss of control. The role of peripheral blood biomarkers in asthmatics is still poorly investigated so new studies are required.","author":[{"dropping-particle":"","family":"Navratil","given":"M","non-dropping-particle":"","parse-names":false,"suffix":""},{"dropping-particle":"","family":"Plavec","given":"D","non-dropping-particle":"","parse-names":false,"suffix":""},{"dropping-particle":"","family":"Dodig","given":"S","non-dropping-particle":"","parse-names":false,"suffix":""},{"dropping-particle":"","family":"Jelcic","given":"Z","non-dropping-particle":"","parse-names":false,"suffix":""},{"dropping-particle":"","family":"Nogalo","given":"B","non-dropping-particle":"","parse-names":false,"suffix":""},{"dropping-particle":"","family":"Erceg","given":"D","non-dropping-particle":"","parse-names":false,"suffix":""},{"dropping-particle":"","family":"Turkalj","given":"M","non-dropping-particle":"","parse-names":false,"suffix":""}],"container-title":"The Journal of asthma : official journal of the Association for the Care of Asthma","id":"ITEM-2","issue":"8","issued":{"date-parts":[["2009","10"]]},"page":"822-8","title":"Markers of systemic and lung inflammation in childhood asthma.","type":"article-journal","volume":"46"},"uris":["http://www.mendeley.com/documents/?uuid=112ee7af-b406-35fc-8502-e9de13b9e531","http://www.mendeley.com/documents/?uuid=73528d0b-beb5-4ffc-9655-beb56ff1d174"]}],"mendeley":{"formattedCitation":"[3,4]","plainTextFormattedCitation":"[3,4]","previouslyFormattedCitation":"[3, 4]"},"properties":{"noteIndex":0},"schema":"https://github.com/citation-style-language/schema/raw/master/csl-citation.json"}</w:instrText>
      </w:r>
      <w:r w:rsidR="00455017">
        <w:rPr>
          <w:rFonts w:ascii="Times New Roman" w:eastAsia="Times New Roman" w:hAnsi="Times New Roman" w:cs="Times New Roman"/>
          <w:sz w:val="24"/>
          <w:szCs w:val="24"/>
        </w:rPr>
        <w:fldChar w:fldCharType="separate"/>
      </w:r>
      <w:r w:rsidR="00AB1F90" w:rsidRPr="00AB1F90">
        <w:rPr>
          <w:rFonts w:ascii="Times New Roman" w:eastAsia="Times New Roman" w:hAnsi="Times New Roman" w:cs="Times New Roman"/>
          <w:noProof/>
          <w:sz w:val="24"/>
          <w:szCs w:val="24"/>
        </w:rPr>
        <w:t>[3,4]</w:t>
      </w:r>
      <w:r w:rsidR="00455017">
        <w:rPr>
          <w:rFonts w:ascii="Times New Roman" w:eastAsia="Times New Roman" w:hAnsi="Times New Roman" w:cs="Times New Roman"/>
          <w:sz w:val="24"/>
          <w:szCs w:val="24"/>
        </w:rPr>
        <w:fldChar w:fldCharType="end"/>
      </w:r>
      <w:r w:rsidRPr="0084419E">
        <w:rPr>
          <w:rFonts w:ascii="Times New Roman" w:eastAsia="Times New Roman" w:hAnsi="Times New Roman" w:cs="Times New Roman"/>
          <w:sz w:val="24"/>
          <w:szCs w:val="24"/>
        </w:rPr>
        <w:t xml:space="preserve"> In order to identify additional conditions that might affect and aggravate the underlying disease (and asthma control), the participants were tested for common asthma comorbidities, such as gastroesophageal reflux disease (GERD), obstructive sleep </w:t>
      </w:r>
      <w:r w:rsidR="00BF0FE9" w:rsidRPr="0084419E">
        <w:rPr>
          <w:rFonts w:ascii="Times New Roman" w:eastAsia="Times New Roman" w:hAnsi="Times New Roman" w:cs="Times New Roman"/>
          <w:sz w:val="24"/>
          <w:szCs w:val="24"/>
        </w:rPr>
        <w:t>apnea</w:t>
      </w:r>
      <w:r w:rsidRPr="0084419E">
        <w:rPr>
          <w:rFonts w:ascii="Times New Roman" w:eastAsia="Times New Roman" w:hAnsi="Times New Roman" w:cs="Times New Roman"/>
          <w:sz w:val="24"/>
          <w:szCs w:val="24"/>
        </w:rPr>
        <w:t xml:space="preserve"> syndrome (OSAS) as well as allergic rhinitis and atopic dermatitis, including anamnesis data taken from the child`s parents</w:t>
      </w:r>
      <w:r w:rsidR="00455017">
        <w:rPr>
          <w:rFonts w:ascii="Times New Roman" w:eastAsia="Times New Roman" w:hAnsi="Times New Roman" w:cs="Times New Roman"/>
          <w:sz w:val="24"/>
          <w:szCs w:val="24"/>
        </w:rPr>
        <w:t xml:space="preserve">. </w:t>
      </w:r>
      <w:r w:rsidR="00455017">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{"citationItems":[{"id":"ITEM-1","itemData":{"ISSN":"0192-0790","PMID":"12811203","abstract":"The incidence of gastroesophageal reflux disease (GERD) is increasing and if left untreated can lead to significant patient morbidity and even death. The disease results from the abnormal reflux of gastric contents into the distal esophagus causing symptoms in most and subsequent mucosal damage in some. Several investigations can be used to confirm the diagnosis, but most are dependent on the presence of sequelae and complications of the disease. The physiologic test of ambulatory 24-hour esophageal pH monitoring has proved to be the most sensitive and specific diagnostic investigation. It measures increased esophageal exposure to gastric juice by detecting the concentration of hydrogen ions (pH &lt;4) in the distal esophagus. The technique measures gastric juice exposure at a point 5 cm above the manometrically determined upper border of the lower esophageal sphincter. The exposure is measured in components of frequency of reflux episodes, duration of reflux episodes, and accumulated exposure time. The components are integrated into a composite score, which is reproducible, gender and race independent, and correlates with the degree of esophageal epithelial damage determined histologically. The composite score has been shown to be the most reliable measurement of a therapeutic acid suppression regimen or an effective antireflux operation.","author":[{"dropping-particle":"","family":"Streets","given":"Christopher G","non-dropping-particle":"","parse-names":false,"suffix":""},{"dropping-particle":"","family":"DeMeester","given":"Tom R","non-dropping-particle":"","parse-names":false,"suffix":""}],"container-title":"Journal of clinical gastroenterology","id":"ITEM-1","issue":"1","issued":{"date-parts":[["2003","7"]]},"page":"14-22","title":"Ambulatory 24-hour esophageal pH monitoring: why, when, and what to do.","type":"article-journal","volume":"37"},"uris":["http://www.mendeley.com/documents/?uuid=58019821-abf4-3194-a7b6-5222fa1bc675","http://www.mendeley.com/documents/?uuid=afb0cb73-fa0a-4658-a724-502ab4e36086"]},{"id":"ITEM-2","itemData":{"ISSN":"1330-1403","author":[{"dropping-particle":"","family":"Hrvatsko pedijatrijsko društvo.","given":"Romana","non-dropping-particle":"","parse-names":false,"suffix":""},{"dropping-particle":"","family":"Sabol","given":"Zlatko","non-dropping-particle":"","parse-names":false,"suffix":""},{"dropping-particle":"","family":"Turkalj","given":"Mirjana","non-dropping-particle":"","parse-names":false,"suffix":""},{"dropping-particle":"","family":"Nenadić","given":"Nataša","non-dropping-particle":"","parse-names":false,"suffix":""},{"dropping-particle":"","family":"Marušić","given":"Ivana","non-dropping-particle":"","parse-names":false,"suffix":""},{"dropping-particle":"","family":"Kučić","given":"Darija","non-dropping-particle":"","parse-names":false,"suffix":""},{"dropping-particle":"","family":"Miloš","given":"Marija","non-dropping-particle":"","parse-names":false,"suffix":""},{"dropping-particle":"","family":"Vlašić","given":"Vukmir","non-dropping-particle":"","parse-names":false,"suffix":""}],"container-title":"Paediatria Croatica","id":"ITEM-2","issue":"2","issued":{"date-parts":[["2013","6"]]},"publisher":"Klinika za dječje bolesti","title":"Paediatria Croatica : časopis Hrvatskoga pedijatrijskog društva i Hrvatskog društva za školsku i sveučilišnu medicinu za pedijatriju, adolescentnu medicinu i granične struke.","type":"book","volume":"57"},"uris":["http://www.mendeley.com/documents/?uuid=6f2fceaa-6ebd-3f78-835d-3cd81473d060","http://www.mendeley.com/documents/?uuid=63845d8e-848c-47ad-8988-553c60073e54"]}],"mendeley":{"formattedCitation":"[5,6]","plainTextFormattedCitation":"[5,6]","previouslyFormattedCitation":"[5, 6]"},"properties":{"noteIndex":0},"schema":"https://github.com/citation-style-language/schema/raw/master/csl-citation.json"}</w:instrText>
      </w:r>
      <w:r w:rsidR="00455017">
        <w:rPr>
          <w:rFonts w:ascii="Times New Roman" w:eastAsia="Times New Roman" w:hAnsi="Times New Roman" w:cs="Times New Roman"/>
          <w:sz w:val="24"/>
          <w:szCs w:val="24"/>
        </w:rPr>
        <w:fldChar w:fldCharType="separate"/>
      </w:r>
      <w:r w:rsidR="00AB1F90" w:rsidRPr="00AB1F90">
        <w:rPr>
          <w:rFonts w:ascii="Times New Roman" w:eastAsia="Times New Roman" w:hAnsi="Times New Roman" w:cs="Times New Roman"/>
          <w:noProof/>
          <w:sz w:val="24"/>
          <w:szCs w:val="24"/>
        </w:rPr>
        <w:t>[5,6]</w:t>
      </w:r>
      <w:r w:rsidR="00455017">
        <w:rPr>
          <w:rFonts w:ascii="Times New Roman" w:eastAsia="Times New Roman" w:hAnsi="Times New Roman" w:cs="Times New Roman"/>
          <w:sz w:val="24"/>
          <w:szCs w:val="24"/>
        </w:rPr>
        <w:fldChar w:fldCharType="end"/>
      </w:r>
      <w:r w:rsidR="00DC5CC8">
        <w:rPr>
          <w:rFonts w:ascii="Times New Roman" w:eastAsia="Times New Roman" w:hAnsi="Times New Roman" w:cs="Times New Roman"/>
          <w:sz w:val="24"/>
          <w:szCs w:val="24"/>
        </w:rPr>
        <w:t xml:space="preserve"> </w:t>
      </w:r>
      <w:r w:rsidRPr="0084419E">
        <w:rPr>
          <w:rFonts w:ascii="Times New Roman" w:eastAsia="Times New Roman" w:hAnsi="Times New Roman" w:cs="Times New Roman"/>
          <w:sz w:val="24"/>
          <w:szCs w:val="24"/>
        </w:rPr>
        <w:t>Peripheral whole blood samples were collected by venipuncture into EDTA coated vacutainers (for hematology analyses) and into vacutainers with clot activator and gel for serum separation (for biochemistry and certain allergy assays). During this study a total of 10,5 ml peripheral blood samples per participant maximum was collected at baseline visit (recruitment point). The remainder of blood samples (in EDTA coated vacutainers) and sera left over after diagnostic tests was stored at -20°C for subsequent analyses, including genotyping.</w:t>
      </w:r>
      <w:bookmarkStart w:id="11" w:name="_7v9rs8p2adia" w:colFirst="0" w:colLast="0"/>
      <w:bookmarkEnd w:id="11"/>
    </w:p>
    <w:p w14:paraId="19080308" w14:textId="77777777" w:rsidR="00662189" w:rsidRPr="0084419E" w:rsidRDefault="008257DD" w:rsidP="000B582A">
      <w:pPr>
        <w:pStyle w:val="Naslov2"/>
        <w:spacing w:line="480" w:lineRule="auto"/>
        <w:jc w:val="both"/>
        <w:rPr>
          <w:rFonts w:eastAsia="Times New Roman" w:cs="Times New Roman"/>
          <w:sz w:val="24"/>
          <w:szCs w:val="24"/>
        </w:rPr>
      </w:pPr>
      <w:bookmarkStart w:id="12" w:name="_Toc64274768"/>
      <w:r w:rsidRPr="0084419E">
        <w:rPr>
          <w:rFonts w:cs="Times New Roman"/>
        </w:rPr>
        <w:lastRenderedPageBreak/>
        <w:t>Genetic analysis</w:t>
      </w:r>
      <w:bookmarkEnd w:id="12"/>
    </w:p>
    <w:p w14:paraId="4350E269" w14:textId="38537FD9" w:rsidR="00F46B05" w:rsidRDefault="00F46B05" w:rsidP="000B582A">
      <w:pPr>
        <w:spacing w:line="480" w:lineRule="auto"/>
        <w:jc w:val="both"/>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 xml:space="preserve">All genetic loci </w:t>
      </w:r>
      <w:proofErr w:type="spellStart"/>
      <w:r w:rsidRPr="00F46B05">
        <w:rPr>
          <w:rFonts w:ascii="Times New Roman" w:eastAsia="Times New Roman" w:hAnsi="Times New Roman" w:cs="Times New Roman"/>
          <w:sz w:val="24"/>
          <w:szCs w:val="24"/>
        </w:rPr>
        <w:t>analysed</w:t>
      </w:r>
      <w:proofErr w:type="spellEnd"/>
      <w:r w:rsidRPr="00F46B05">
        <w:rPr>
          <w:rFonts w:ascii="Times New Roman" w:eastAsia="Times New Roman" w:hAnsi="Times New Roman" w:cs="Times New Roman"/>
          <w:sz w:val="24"/>
          <w:szCs w:val="24"/>
        </w:rPr>
        <w:t xml:space="preserve"> in this study were chosen due to their previous association with treatment outcomes in patients with asthma (and childhood asthma, where applicable) in an effort of replicating these associations.</w:t>
      </w:r>
    </w:p>
    <w:p w14:paraId="63690D44" w14:textId="77777777" w:rsidR="00662189" w:rsidRPr="0084419E" w:rsidRDefault="008257DD" w:rsidP="000B582A">
      <w:pPr>
        <w:spacing w:line="480" w:lineRule="auto"/>
        <w:jc w:val="both"/>
        <w:rPr>
          <w:rFonts w:ascii="Times New Roman" w:eastAsia="Times New Roman" w:hAnsi="Times New Roman" w:cs="Times New Roman"/>
          <w:sz w:val="24"/>
          <w:szCs w:val="24"/>
        </w:rPr>
      </w:pPr>
      <w:r w:rsidRPr="0084419E">
        <w:rPr>
          <w:rFonts w:ascii="Times New Roman" w:eastAsia="Times New Roman" w:hAnsi="Times New Roman" w:cs="Times New Roman"/>
          <w:sz w:val="24"/>
          <w:szCs w:val="24"/>
        </w:rPr>
        <w:t xml:space="preserve">Genomic DNA was extracted from EDTA-containing peripheral whole blood samples, previously stored at -20°C, using </w:t>
      </w:r>
      <w:proofErr w:type="spellStart"/>
      <w:r w:rsidRPr="0084419E">
        <w:rPr>
          <w:rFonts w:ascii="Times New Roman" w:eastAsia="Times New Roman" w:hAnsi="Times New Roman" w:cs="Times New Roman"/>
          <w:sz w:val="24"/>
          <w:szCs w:val="24"/>
        </w:rPr>
        <w:t>QIAamp</w:t>
      </w:r>
      <w:proofErr w:type="spellEnd"/>
      <w:r w:rsidRPr="0084419E">
        <w:rPr>
          <w:rFonts w:ascii="Times New Roman" w:eastAsia="Times New Roman" w:hAnsi="Times New Roman" w:cs="Times New Roman"/>
          <w:sz w:val="24"/>
          <w:szCs w:val="24"/>
        </w:rPr>
        <w:t xml:space="preserve"> DNA Blood Mini Kit (Qiagen GmbH, Germany) according to the manufacturer’s instructions, by an automated (</w:t>
      </w:r>
      <w:proofErr w:type="spellStart"/>
      <w:r w:rsidRPr="0084419E">
        <w:rPr>
          <w:rFonts w:ascii="Times New Roman" w:eastAsia="Times New Roman" w:hAnsi="Times New Roman" w:cs="Times New Roman"/>
          <w:sz w:val="24"/>
          <w:szCs w:val="24"/>
        </w:rPr>
        <w:t>Qiacube</w:t>
      </w:r>
      <w:proofErr w:type="spellEnd"/>
      <w:r w:rsidRPr="0084419E">
        <w:rPr>
          <w:rFonts w:ascii="Times New Roman" w:eastAsia="Times New Roman" w:hAnsi="Times New Roman" w:cs="Times New Roman"/>
          <w:sz w:val="24"/>
          <w:szCs w:val="24"/>
        </w:rPr>
        <w:t xml:space="preserve">, Qiagen GmbH, Germany) or manual spin protocol. The quality and concentration of each DNA isolate was checked using a </w:t>
      </w:r>
      <w:proofErr w:type="spellStart"/>
      <w:r w:rsidRPr="0084419E">
        <w:rPr>
          <w:rFonts w:ascii="Times New Roman" w:eastAsia="Times New Roman" w:hAnsi="Times New Roman" w:cs="Times New Roman"/>
          <w:sz w:val="24"/>
          <w:szCs w:val="24"/>
        </w:rPr>
        <w:t>NanoDrop</w:t>
      </w:r>
      <w:proofErr w:type="spellEnd"/>
      <w:r w:rsidRPr="0084419E">
        <w:rPr>
          <w:rFonts w:ascii="Times New Roman" w:eastAsia="Times New Roman" w:hAnsi="Times New Roman" w:cs="Times New Roman"/>
          <w:sz w:val="24"/>
          <w:szCs w:val="24"/>
          <w:vertAlign w:val="superscript"/>
        </w:rPr>
        <w:t>™</w:t>
      </w:r>
      <w:r w:rsidRPr="0084419E">
        <w:rPr>
          <w:rFonts w:ascii="Times New Roman" w:eastAsia="Times New Roman" w:hAnsi="Times New Roman" w:cs="Times New Roman"/>
          <w:sz w:val="24"/>
          <w:szCs w:val="24"/>
        </w:rPr>
        <w:t xml:space="preserve"> 2000 spectrophotometer (</w:t>
      </w:r>
      <w:proofErr w:type="spellStart"/>
      <w:r w:rsidRPr="0084419E">
        <w:rPr>
          <w:rFonts w:ascii="Times New Roman" w:eastAsia="Times New Roman" w:hAnsi="Times New Roman" w:cs="Times New Roman"/>
          <w:sz w:val="24"/>
          <w:szCs w:val="24"/>
        </w:rPr>
        <w:t>ThermoFisher</w:t>
      </w:r>
      <w:proofErr w:type="spellEnd"/>
      <w:r w:rsidRPr="0084419E">
        <w:rPr>
          <w:rFonts w:ascii="Times New Roman" w:eastAsia="Times New Roman" w:hAnsi="Times New Roman" w:cs="Times New Roman"/>
          <w:sz w:val="24"/>
          <w:szCs w:val="24"/>
        </w:rPr>
        <w:t xml:space="preserve"> Scientific Inc., USA).</w:t>
      </w:r>
      <w:r w:rsidR="00D830AF" w:rsidRPr="0084419E">
        <w:rPr>
          <w:rFonts w:ascii="Times New Roman" w:eastAsia="Times New Roman" w:hAnsi="Times New Roman" w:cs="Times New Roman"/>
          <w:sz w:val="24"/>
          <w:szCs w:val="24"/>
        </w:rPr>
        <w:t xml:space="preserve"> </w:t>
      </w:r>
      <w:r w:rsidRPr="0084419E">
        <w:rPr>
          <w:rFonts w:ascii="Times New Roman" w:eastAsia="Times New Roman" w:hAnsi="Times New Roman" w:cs="Times New Roman"/>
          <w:sz w:val="24"/>
          <w:szCs w:val="24"/>
        </w:rPr>
        <w:t xml:space="preserve">The genotypes of the SNPs analyzed were determined using a 5`-nuclease allelic discrimination assay in a 96-well format and </w:t>
      </w:r>
      <w:proofErr w:type="spellStart"/>
      <w:r w:rsidRPr="0084419E">
        <w:rPr>
          <w:rFonts w:ascii="Times New Roman" w:eastAsia="Times New Roman" w:hAnsi="Times New Roman" w:cs="Times New Roman"/>
          <w:sz w:val="24"/>
          <w:szCs w:val="24"/>
        </w:rPr>
        <w:t>Taqman</w:t>
      </w:r>
      <w:proofErr w:type="spellEnd"/>
      <w:r w:rsidRPr="0084419E">
        <w:rPr>
          <w:rFonts w:ascii="Times New Roman" w:eastAsia="Times New Roman" w:hAnsi="Times New Roman" w:cs="Times New Roman"/>
          <w:sz w:val="24"/>
          <w:szCs w:val="24"/>
        </w:rPr>
        <w:t xml:space="preserve"> technology. Primers and probes were purchased from Applied Biosystems (Life Technologies, USA) for SNP genotyping assays rs37973 in </w:t>
      </w:r>
      <w:r w:rsidRPr="0084419E">
        <w:rPr>
          <w:rFonts w:ascii="Times New Roman" w:eastAsia="Times New Roman" w:hAnsi="Times New Roman" w:cs="Times New Roman"/>
          <w:i/>
          <w:sz w:val="24"/>
          <w:szCs w:val="24"/>
        </w:rPr>
        <w:t>GLCCI1</w:t>
      </w:r>
      <w:r w:rsidRPr="0084419E">
        <w:rPr>
          <w:rFonts w:ascii="Times New Roman" w:eastAsia="Times New Roman" w:hAnsi="Times New Roman" w:cs="Times New Roman"/>
          <w:sz w:val="24"/>
          <w:szCs w:val="24"/>
        </w:rPr>
        <w:t xml:space="preserve">, rs9910408 in </w:t>
      </w:r>
      <w:r w:rsidRPr="0084419E">
        <w:rPr>
          <w:rFonts w:ascii="Times New Roman" w:eastAsia="Times New Roman" w:hAnsi="Times New Roman" w:cs="Times New Roman"/>
          <w:i/>
          <w:sz w:val="24"/>
          <w:szCs w:val="24"/>
        </w:rPr>
        <w:t>TBX21</w:t>
      </w:r>
      <w:r w:rsidRPr="0084419E">
        <w:rPr>
          <w:rFonts w:ascii="Times New Roman" w:eastAsia="Times New Roman" w:hAnsi="Times New Roman" w:cs="Times New Roman"/>
          <w:sz w:val="24"/>
          <w:szCs w:val="24"/>
        </w:rPr>
        <w:t xml:space="preserve"> and rs242941 and rs1876828 in </w:t>
      </w:r>
      <w:r w:rsidRPr="0084419E">
        <w:rPr>
          <w:rFonts w:ascii="Times New Roman" w:eastAsia="Times New Roman" w:hAnsi="Times New Roman" w:cs="Times New Roman"/>
          <w:i/>
          <w:sz w:val="24"/>
          <w:szCs w:val="24"/>
        </w:rPr>
        <w:t>CRHR1</w:t>
      </w:r>
      <w:r w:rsidRPr="0084419E">
        <w:rPr>
          <w:rFonts w:ascii="Times New Roman" w:eastAsia="Times New Roman" w:hAnsi="Times New Roman" w:cs="Times New Roman"/>
          <w:sz w:val="24"/>
          <w:szCs w:val="24"/>
        </w:rPr>
        <w:t xml:space="preserve">, as well as rs1042713 in </w:t>
      </w:r>
      <w:r w:rsidRPr="0084419E">
        <w:rPr>
          <w:rFonts w:ascii="Times New Roman" w:eastAsia="Times New Roman" w:hAnsi="Times New Roman" w:cs="Times New Roman"/>
          <w:i/>
          <w:sz w:val="24"/>
          <w:szCs w:val="24"/>
        </w:rPr>
        <w:t>ADRB2</w:t>
      </w:r>
      <w:r w:rsidRPr="0084419E">
        <w:rPr>
          <w:rFonts w:ascii="Times New Roman" w:eastAsia="Times New Roman" w:hAnsi="Times New Roman" w:cs="Times New Roman"/>
          <w:sz w:val="24"/>
          <w:szCs w:val="24"/>
        </w:rPr>
        <w:t xml:space="preserve">. Allelic discrimination assays were performed in 5 </w:t>
      </w:r>
      <w:proofErr w:type="spellStart"/>
      <w:r w:rsidRPr="0084419E">
        <w:rPr>
          <w:rFonts w:ascii="Times New Roman" w:eastAsia="Times New Roman" w:hAnsi="Times New Roman" w:cs="Times New Roman"/>
          <w:sz w:val="24"/>
          <w:szCs w:val="24"/>
        </w:rPr>
        <w:t>μL</w:t>
      </w:r>
      <w:proofErr w:type="spellEnd"/>
      <w:r w:rsidRPr="0084419E">
        <w:rPr>
          <w:rFonts w:ascii="Times New Roman" w:eastAsia="Times New Roman" w:hAnsi="Times New Roman" w:cs="Times New Roman"/>
          <w:sz w:val="24"/>
          <w:szCs w:val="24"/>
        </w:rPr>
        <w:t xml:space="preserve"> reaction volumes, using approximately 5 ng of DNA as a template, 2x TaqMan Fast Advanced Master Mix, and predesigned SNP genotyping assays provided by Applied Biosystems for rs37973, rs9910408, rs242941 and rs1876828. Temperature conditions for qPCR were set at 50°C for 2 minutes and 95°C for 20 seconds, followed by 40 cycles at 95°C for 3 seconds and at 60°C for 30 seconds.</w:t>
      </w:r>
      <w:r w:rsidR="001A2516">
        <w:rPr>
          <w:rFonts w:ascii="Times New Roman" w:eastAsia="Times New Roman" w:hAnsi="Times New Roman" w:cs="Times New Roman"/>
          <w:sz w:val="24"/>
          <w:szCs w:val="24"/>
        </w:rPr>
        <w:t xml:space="preserve"> </w:t>
      </w:r>
      <w:r w:rsidRPr="0084419E">
        <w:rPr>
          <w:rFonts w:ascii="Times New Roman" w:eastAsia="Times New Roman" w:hAnsi="Times New Roman" w:cs="Times New Roman"/>
          <w:sz w:val="24"/>
          <w:szCs w:val="24"/>
        </w:rPr>
        <w:t>For rs17576 SNP (</w:t>
      </w:r>
      <w:r w:rsidRPr="0084419E">
        <w:rPr>
          <w:rFonts w:ascii="Times New Roman" w:eastAsia="Times New Roman" w:hAnsi="Times New Roman" w:cs="Times New Roman"/>
          <w:i/>
          <w:sz w:val="24"/>
          <w:szCs w:val="24"/>
        </w:rPr>
        <w:t>MMP9</w:t>
      </w:r>
      <w:r w:rsidRPr="0084419E">
        <w:rPr>
          <w:rFonts w:ascii="Times New Roman" w:eastAsia="Times New Roman" w:hAnsi="Times New Roman" w:cs="Times New Roman"/>
          <w:sz w:val="24"/>
          <w:szCs w:val="24"/>
        </w:rPr>
        <w:t>) genotyping a primer and probe set were designed using a free online software qPCR primer &amp; probe design tool and design service (Eurofins Genomics, Germany). The forward and reverse primer as well as probes sequences are presented in Table 1.</w:t>
      </w:r>
    </w:p>
    <w:p w14:paraId="502ECEDB" w14:textId="77777777" w:rsidR="00662189" w:rsidRPr="008257DD" w:rsidRDefault="00662189" w:rsidP="000B582A">
      <w:pPr>
        <w:spacing w:line="480" w:lineRule="auto"/>
        <w:jc w:val="both"/>
        <w:rPr>
          <w:rFonts w:eastAsia="Times New Roman"/>
          <w:sz w:val="24"/>
          <w:szCs w:val="24"/>
        </w:rPr>
      </w:pPr>
    </w:p>
    <w:p w14:paraId="2EC289A4" w14:textId="35C5468F"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lastRenderedPageBreak/>
        <w:t xml:space="preserve">Table </w:t>
      </w:r>
      <w:r w:rsidR="00107DCD" w:rsidRPr="00AB1F90">
        <w:rPr>
          <w:rFonts w:ascii="Times New Roman" w:eastAsia="Times New Roman" w:hAnsi="Times New Roman" w:cs="Times New Roman"/>
          <w:sz w:val="24"/>
          <w:szCs w:val="24"/>
        </w:rPr>
        <w:t>S</w:t>
      </w:r>
      <w:r w:rsidRPr="00AB1F90">
        <w:rPr>
          <w:rFonts w:ascii="Times New Roman" w:eastAsia="Times New Roman" w:hAnsi="Times New Roman" w:cs="Times New Roman"/>
          <w:sz w:val="24"/>
          <w:szCs w:val="24"/>
        </w:rPr>
        <w:t>1. Primers (forward and reverse) and probes (allele 1 and allele 2) design for rs17576 genotyping assay (</w:t>
      </w:r>
      <w:r w:rsidRPr="00AB1F90">
        <w:rPr>
          <w:rFonts w:ascii="Times New Roman" w:eastAsia="Times New Roman" w:hAnsi="Times New Roman" w:cs="Times New Roman"/>
          <w:i/>
          <w:sz w:val="24"/>
          <w:szCs w:val="24"/>
        </w:rPr>
        <w:t>MMP9</w:t>
      </w:r>
      <w:r w:rsidRPr="00AB1F90">
        <w:rPr>
          <w:rFonts w:ascii="Times New Roman" w:eastAsia="Times New Roman" w:hAnsi="Times New Roman" w:cs="Times New Roman"/>
          <w:sz w:val="24"/>
          <w:szCs w:val="24"/>
        </w:rPr>
        <w:t xml:space="preserve"> Gln279Arg, A/G transition detection). FWD- forward primer, REV- reverse primer, Allele 1 PR- probe for SNP allele 1, Allele 2 PR- probe for SNP allele 2, bp- base pairs (length of sequence in base </w:t>
      </w:r>
      <w:proofErr w:type="spellStart"/>
      <w:r w:rsidRPr="00AB1F90">
        <w:rPr>
          <w:rFonts w:ascii="Times New Roman" w:eastAsia="Times New Roman" w:hAnsi="Times New Roman" w:cs="Times New Roman"/>
          <w:sz w:val="24"/>
          <w:szCs w:val="24"/>
        </w:rPr>
        <w:t>paris</w:t>
      </w:r>
      <w:proofErr w:type="spellEnd"/>
      <w:r w:rsidRPr="00AB1F90">
        <w:rPr>
          <w:rFonts w:ascii="Times New Roman" w:eastAsia="Times New Roman" w:hAnsi="Times New Roman" w:cs="Times New Roman"/>
          <w:sz w:val="24"/>
          <w:szCs w:val="24"/>
        </w:rPr>
        <w:t>), reporter- fluorescent dye, quencher- fluorescent dye quencher pair. For probe sequences nucleotides highlighted in red denote the ambiguity position (transition).</w:t>
      </w:r>
    </w:p>
    <w:tbl>
      <w:tblPr>
        <w:tblStyle w:val="a"/>
        <w:tblW w:w="9717" w:type="dxa"/>
        <w:tblBorders>
          <w:top w:val="nil"/>
          <w:left w:val="nil"/>
          <w:bottom w:val="nil"/>
          <w:right w:val="nil"/>
          <w:insideH w:val="nil"/>
          <w:insideV w:val="nil"/>
        </w:tblBorders>
        <w:tblLayout w:type="fixed"/>
        <w:tblLook w:val="0600" w:firstRow="0" w:lastRow="0" w:firstColumn="0" w:lastColumn="0" w:noHBand="1" w:noVBand="1"/>
      </w:tblPr>
      <w:tblGrid>
        <w:gridCol w:w="2876"/>
        <w:gridCol w:w="1337"/>
        <w:gridCol w:w="3337"/>
        <w:gridCol w:w="2167"/>
      </w:tblGrid>
      <w:tr w:rsidR="00662189" w:rsidRPr="00AB1F90" w14:paraId="61FFD208" w14:textId="77777777" w:rsidTr="00AB1F90">
        <w:trPr>
          <w:trHeight w:val="487"/>
        </w:trPr>
        <w:tc>
          <w:tcPr>
            <w:tcW w:w="2876"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7827297F" w14:textId="77777777" w:rsidR="00662189" w:rsidRPr="00AB1F90" w:rsidRDefault="008257DD" w:rsidP="000B582A">
            <w:pPr>
              <w:spacing w:line="480" w:lineRule="auto"/>
              <w:jc w:val="both"/>
              <w:rPr>
                <w:rFonts w:ascii="Times New Roman" w:eastAsia="Times New Roman" w:hAnsi="Times New Roman" w:cs="Times New Roman"/>
                <w:b/>
                <w:sz w:val="24"/>
                <w:szCs w:val="24"/>
              </w:rPr>
            </w:pPr>
            <w:r w:rsidRPr="00AB1F90">
              <w:rPr>
                <w:rFonts w:ascii="Times New Roman" w:eastAsia="Times New Roman" w:hAnsi="Times New Roman" w:cs="Times New Roman"/>
                <w:b/>
                <w:sz w:val="24"/>
                <w:szCs w:val="24"/>
              </w:rPr>
              <w:t>Oligonucleotide type</w:t>
            </w:r>
          </w:p>
        </w:tc>
        <w:tc>
          <w:tcPr>
            <w:tcW w:w="133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116FF3F0" w14:textId="77777777" w:rsidR="00662189" w:rsidRPr="00AB1F90" w:rsidRDefault="008257DD" w:rsidP="000B582A">
            <w:pPr>
              <w:spacing w:line="480" w:lineRule="auto"/>
              <w:jc w:val="both"/>
              <w:rPr>
                <w:rFonts w:ascii="Times New Roman" w:eastAsia="Times New Roman" w:hAnsi="Times New Roman" w:cs="Times New Roman"/>
                <w:b/>
                <w:sz w:val="24"/>
                <w:szCs w:val="24"/>
              </w:rPr>
            </w:pPr>
            <w:r w:rsidRPr="00AB1F90">
              <w:rPr>
                <w:rFonts w:ascii="Times New Roman" w:eastAsia="Times New Roman" w:hAnsi="Times New Roman" w:cs="Times New Roman"/>
                <w:b/>
                <w:sz w:val="24"/>
                <w:szCs w:val="24"/>
              </w:rPr>
              <w:t>Length (bp)</w:t>
            </w:r>
          </w:p>
        </w:tc>
        <w:tc>
          <w:tcPr>
            <w:tcW w:w="333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EEDE8FA" w14:textId="77777777" w:rsidR="00662189" w:rsidRPr="00AB1F90" w:rsidRDefault="008257DD" w:rsidP="000B582A">
            <w:pPr>
              <w:spacing w:line="480" w:lineRule="auto"/>
              <w:jc w:val="both"/>
              <w:rPr>
                <w:rFonts w:ascii="Times New Roman" w:eastAsia="Times New Roman" w:hAnsi="Times New Roman" w:cs="Times New Roman"/>
                <w:b/>
                <w:sz w:val="24"/>
                <w:szCs w:val="24"/>
              </w:rPr>
            </w:pPr>
            <w:r w:rsidRPr="00AB1F90">
              <w:rPr>
                <w:rFonts w:ascii="Times New Roman" w:eastAsia="Times New Roman" w:hAnsi="Times New Roman" w:cs="Times New Roman"/>
                <w:b/>
                <w:sz w:val="24"/>
                <w:szCs w:val="24"/>
              </w:rPr>
              <w:t>Sequence</w:t>
            </w:r>
          </w:p>
        </w:tc>
        <w:tc>
          <w:tcPr>
            <w:tcW w:w="216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580F676E" w14:textId="77777777" w:rsidR="00662189" w:rsidRPr="00AB1F90" w:rsidRDefault="008257DD" w:rsidP="000B582A">
            <w:pPr>
              <w:spacing w:line="480" w:lineRule="auto"/>
              <w:jc w:val="both"/>
              <w:rPr>
                <w:rFonts w:ascii="Times New Roman" w:eastAsia="Times New Roman" w:hAnsi="Times New Roman" w:cs="Times New Roman"/>
                <w:b/>
                <w:sz w:val="24"/>
                <w:szCs w:val="24"/>
              </w:rPr>
            </w:pPr>
            <w:r w:rsidRPr="00AB1F90">
              <w:rPr>
                <w:rFonts w:ascii="Times New Roman" w:eastAsia="Times New Roman" w:hAnsi="Times New Roman" w:cs="Times New Roman"/>
                <w:b/>
                <w:sz w:val="24"/>
                <w:szCs w:val="24"/>
              </w:rPr>
              <w:t>Reporter/quencher</w:t>
            </w:r>
          </w:p>
        </w:tc>
      </w:tr>
      <w:tr w:rsidR="00662189" w:rsidRPr="00AB1F90" w14:paraId="0CEE1B46" w14:textId="77777777" w:rsidTr="00AB1F90">
        <w:trPr>
          <w:trHeight w:val="553"/>
        </w:trPr>
        <w:tc>
          <w:tcPr>
            <w:tcW w:w="28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296C67"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MMP9 Gln279Arg FWD primer</w:t>
            </w:r>
          </w:p>
        </w:tc>
        <w:tc>
          <w:tcPr>
            <w:tcW w:w="1337" w:type="dxa"/>
            <w:tcBorders>
              <w:top w:val="nil"/>
              <w:left w:val="nil"/>
              <w:bottom w:val="single" w:sz="8" w:space="0" w:color="000000"/>
              <w:right w:val="single" w:sz="8" w:space="0" w:color="000000"/>
            </w:tcBorders>
            <w:tcMar>
              <w:top w:w="100" w:type="dxa"/>
              <w:left w:w="100" w:type="dxa"/>
              <w:bottom w:w="100" w:type="dxa"/>
              <w:right w:w="100" w:type="dxa"/>
            </w:tcMar>
          </w:tcPr>
          <w:p w14:paraId="063069B0"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19</w:t>
            </w:r>
          </w:p>
        </w:tc>
        <w:tc>
          <w:tcPr>
            <w:tcW w:w="3337" w:type="dxa"/>
            <w:tcBorders>
              <w:top w:val="nil"/>
              <w:left w:val="nil"/>
              <w:bottom w:val="single" w:sz="8" w:space="0" w:color="000000"/>
              <w:right w:val="single" w:sz="8" w:space="0" w:color="000000"/>
            </w:tcBorders>
            <w:tcMar>
              <w:top w:w="100" w:type="dxa"/>
              <w:left w:w="100" w:type="dxa"/>
              <w:bottom w:w="100" w:type="dxa"/>
              <w:right w:w="100" w:type="dxa"/>
            </w:tcMar>
          </w:tcPr>
          <w:p w14:paraId="0A53363E"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TCCCCCTTTCCCACATCCT</w:t>
            </w:r>
          </w:p>
        </w:tc>
        <w:tc>
          <w:tcPr>
            <w:tcW w:w="2167" w:type="dxa"/>
            <w:tcBorders>
              <w:top w:val="nil"/>
              <w:left w:val="nil"/>
              <w:bottom w:val="single" w:sz="8" w:space="0" w:color="000000"/>
              <w:right w:val="single" w:sz="8" w:space="0" w:color="000000"/>
            </w:tcBorders>
            <w:tcMar>
              <w:top w:w="100" w:type="dxa"/>
              <w:left w:w="100" w:type="dxa"/>
              <w:bottom w:w="100" w:type="dxa"/>
              <w:right w:w="100" w:type="dxa"/>
            </w:tcMar>
          </w:tcPr>
          <w:p w14:paraId="3554AFEE"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 xml:space="preserve"> </w:t>
            </w:r>
          </w:p>
        </w:tc>
      </w:tr>
      <w:tr w:rsidR="00662189" w:rsidRPr="00AB1F90" w14:paraId="0F68CD35" w14:textId="77777777" w:rsidTr="00AB1F90">
        <w:trPr>
          <w:trHeight w:val="517"/>
        </w:trPr>
        <w:tc>
          <w:tcPr>
            <w:tcW w:w="28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990FCB"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MMP9 Gln279Arg REV primer</w:t>
            </w:r>
          </w:p>
        </w:tc>
        <w:tc>
          <w:tcPr>
            <w:tcW w:w="1337" w:type="dxa"/>
            <w:tcBorders>
              <w:top w:val="nil"/>
              <w:left w:val="nil"/>
              <w:bottom w:val="single" w:sz="8" w:space="0" w:color="000000"/>
              <w:right w:val="single" w:sz="8" w:space="0" w:color="000000"/>
            </w:tcBorders>
            <w:tcMar>
              <w:top w:w="100" w:type="dxa"/>
              <w:left w:w="100" w:type="dxa"/>
              <w:bottom w:w="100" w:type="dxa"/>
              <w:right w:w="100" w:type="dxa"/>
            </w:tcMar>
          </w:tcPr>
          <w:p w14:paraId="7BFF9D88"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21</w:t>
            </w:r>
          </w:p>
        </w:tc>
        <w:tc>
          <w:tcPr>
            <w:tcW w:w="3337" w:type="dxa"/>
            <w:tcBorders>
              <w:top w:val="nil"/>
              <w:left w:val="nil"/>
              <w:bottom w:val="single" w:sz="8" w:space="0" w:color="000000"/>
              <w:right w:val="single" w:sz="8" w:space="0" w:color="000000"/>
            </w:tcBorders>
            <w:tcMar>
              <w:top w:w="100" w:type="dxa"/>
              <w:left w:w="100" w:type="dxa"/>
              <w:bottom w:w="100" w:type="dxa"/>
              <w:right w:w="100" w:type="dxa"/>
            </w:tcMar>
          </w:tcPr>
          <w:p w14:paraId="184B72DA"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CAGGGTTTCCCATCAGCATTG</w:t>
            </w:r>
          </w:p>
        </w:tc>
        <w:tc>
          <w:tcPr>
            <w:tcW w:w="2167" w:type="dxa"/>
            <w:tcBorders>
              <w:top w:val="nil"/>
              <w:left w:val="nil"/>
              <w:bottom w:val="single" w:sz="8" w:space="0" w:color="000000"/>
              <w:right w:val="single" w:sz="8" w:space="0" w:color="000000"/>
            </w:tcBorders>
            <w:tcMar>
              <w:top w:w="100" w:type="dxa"/>
              <w:left w:w="100" w:type="dxa"/>
              <w:bottom w:w="100" w:type="dxa"/>
              <w:right w:w="100" w:type="dxa"/>
            </w:tcMar>
          </w:tcPr>
          <w:p w14:paraId="2181E632"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 xml:space="preserve"> </w:t>
            </w:r>
          </w:p>
        </w:tc>
      </w:tr>
      <w:tr w:rsidR="00662189" w:rsidRPr="00AB1F90" w14:paraId="23D9FDD9" w14:textId="77777777" w:rsidTr="00AB1F90">
        <w:trPr>
          <w:trHeight w:val="462"/>
        </w:trPr>
        <w:tc>
          <w:tcPr>
            <w:tcW w:w="28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9510D8"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MMP9 Gln279Arg Allele 1 PR</w:t>
            </w:r>
          </w:p>
        </w:tc>
        <w:tc>
          <w:tcPr>
            <w:tcW w:w="1337" w:type="dxa"/>
            <w:tcBorders>
              <w:top w:val="nil"/>
              <w:left w:val="nil"/>
              <w:bottom w:val="single" w:sz="8" w:space="0" w:color="000000"/>
              <w:right w:val="single" w:sz="8" w:space="0" w:color="000000"/>
            </w:tcBorders>
            <w:tcMar>
              <w:top w:w="100" w:type="dxa"/>
              <w:left w:w="100" w:type="dxa"/>
              <w:bottom w:w="100" w:type="dxa"/>
              <w:right w:w="100" w:type="dxa"/>
            </w:tcMar>
          </w:tcPr>
          <w:p w14:paraId="6BB3F6D9"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17</w:t>
            </w:r>
          </w:p>
        </w:tc>
        <w:tc>
          <w:tcPr>
            <w:tcW w:w="3337" w:type="dxa"/>
            <w:tcBorders>
              <w:top w:val="nil"/>
              <w:left w:val="nil"/>
              <w:bottom w:val="single" w:sz="8" w:space="0" w:color="000000"/>
              <w:right w:val="single" w:sz="8" w:space="0" w:color="000000"/>
            </w:tcBorders>
            <w:tcMar>
              <w:top w:w="100" w:type="dxa"/>
              <w:left w:w="100" w:type="dxa"/>
              <w:bottom w:w="100" w:type="dxa"/>
              <w:right w:w="100" w:type="dxa"/>
            </w:tcMar>
          </w:tcPr>
          <w:p w14:paraId="7211CE80"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CTCTACACCC</w:t>
            </w:r>
            <w:r w:rsidRPr="00AB1F90">
              <w:rPr>
                <w:rFonts w:ascii="Times New Roman" w:eastAsia="Times New Roman" w:hAnsi="Times New Roman" w:cs="Times New Roman"/>
                <w:b/>
                <w:color w:val="FF0000"/>
                <w:sz w:val="24"/>
                <w:szCs w:val="24"/>
              </w:rPr>
              <w:t>A</w:t>
            </w:r>
            <w:r w:rsidRPr="00AB1F90">
              <w:rPr>
                <w:rFonts w:ascii="Times New Roman" w:eastAsia="Times New Roman" w:hAnsi="Times New Roman" w:cs="Times New Roman"/>
                <w:sz w:val="24"/>
                <w:szCs w:val="24"/>
              </w:rPr>
              <w:t>GGACGG</w:t>
            </w:r>
          </w:p>
        </w:tc>
        <w:tc>
          <w:tcPr>
            <w:tcW w:w="2167" w:type="dxa"/>
            <w:tcBorders>
              <w:top w:val="nil"/>
              <w:left w:val="nil"/>
              <w:bottom w:val="single" w:sz="8" w:space="0" w:color="000000"/>
              <w:right w:val="single" w:sz="8" w:space="0" w:color="000000"/>
            </w:tcBorders>
            <w:tcMar>
              <w:top w:w="100" w:type="dxa"/>
              <w:left w:w="100" w:type="dxa"/>
              <w:bottom w:w="100" w:type="dxa"/>
              <w:right w:w="100" w:type="dxa"/>
            </w:tcMar>
          </w:tcPr>
          <w:p w14:paraId="302C0574"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VIC-BHQ1</w:t>
            </w:r>
          </w:p>
        </w:tc>
      </w:tr>
      <w:tr w:rsidR="00662189" w:rsidRPr="00AB1F90" w14:paraId="0AF1EC2B" w14:textId="77777777" w:rsidTr="00AB1F90">
        <w:trPr>
          <w:trHeight w:val="607"/>
        </w:trPr>
        <w:tc>
          <w:tcPr>
            <w:tcW w:w="28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EC24FA"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MMP9 Gln279Arg Allele 2 PR</w:t>
            </w:r>
          </w:p>
        </w:tc>
        <w:tc>
          <w:tcPr>
            <w:tcW w:w="1337" w:type="dxa"/>
            <w:tcBorders>
              <w:top w:val="nil"/>
              <w:left w:val="nil"/>
              <w:bottom w:val="single" w:sz="8" w:space="0" w:color="000000"/>
              <w:right w:val="single" w:sz="8" w:space="0" w:color="000000"/>
            </w:tcBorders>
            <w:tcMar>
              <w:top w:w="100" w:type="dxa"/>
              <w:left w:w="100" w:type="dxa"/>
              <w:bottom w:w="100" w:type="dxa"/>
              <w:right w:w="100" w:type="dxa"/>
            </w:tcMar>
          </w:tcPr>
          <w:p w14:paraId="0A537F0A"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17</w:t>
            </w:r>
          </w:p>
        </w:tc>
        <w:tc>
          <w:tcPr>
            <w:tcW w:w="3337" w:type="dxa"/>
            <w:tcBorders>
              <w:top w:val="nil"/>
              <w:left w:val="nil"/>
              <w:bottom w:val="single" w:sz="8" w:space="0" w:color="000000"/>
              <w:right w:val="single" w:sz="8" w:space="0" w:color="000000"/>
            </w:tcBorders>
            <w:tcMar>
              <w:top w:w="100" w:type="dxa"/>
              <w:left w:w="100" w:type="dxa"/>
              <w:bottom w:w="100" w:type="dxa"/>
              <w:right w:w="100" w:type="dxa"/>
            </w:tcMar>
          </w:tcPr>
          <w:p w14:paraId="403D4B9E"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TCTACACCC</w:t>
            </w:r>
            <w:r w:rsidRPr="00AB1F90">
              <w:rPr>
                <w:rFonts w:ascii="Times New Roman" w:eastAsia="Times New Roman" w:hAnsi="Times New Roman" w:cs="Times New Roman"/>
                <w:b/>
                <w:color w:val="FF0000"/>
                <w:sz w:val="24"/>
                <w:szCs w:val="24"/>
              </w:rPr>
              <w:t>G</w:t>
            </w:r>
            <w:r w:rsidRPr="00AB1F90">
              <w:rPr>
                <w:rFonts w:ascii="Times New Roman" w:eastAsia="Times New Roman" w:hAnsi="Times New Roman" w:cs="Times New Roman"/>
                <w:sz w:val="24"/>
                <w:szCs w:val="24"/>
              </w:rPr>
              <w:t>GGACGG</w:t>
            </w:r>
          </w:p>
        </w:tc>
        <w:tc>
          <w:tcPr>
            <w:tcW w:w="2167" w:type="dxa"/>
            <w:tcBorders>
              <w:top w:val="nil"/>
              <w:left w:val="nil"/>
              <w:bottom w:val="single" w:sz="8" w:space="0" w:color="000000"/>
              <w:right w:val="single" w:sz="8" w:space="0" w:color="000000"/>
            </w:tcBorders>
            <w:tcMar>
              <w:top w:w="100" w:type="dxa"/>
              <w:left w:w="100" w:type="dxa"/>
              <w:bottom w:w="100" w:type="dxa"/>
              <w:right w:w="100" w:type="dxa"/>
            </w:tcMar>
          </w:tcPr>
          <w:p w14:paraId="0A8AD3F4" w14:textId="77777777" w:rsidR="00662189" w:rsidRPr="00AB1F90" w:rsidRDefault="008257DD" w:rsidP="000B582A">
            <w:pPr>
              <w:spacing w:line="480" w:lineRule="auto"/>
              <w:jc w:val="both"/>
              <w:rPr>
                <w:rFonts w:ascii="Times New Roman" w:eastAsia="Times New Roman" w:hAnsi="Times New Roman" w:cs="Times New Roman"/>
                <w:sz w:val="24"/>
                <w:szCs w:val="24"/>
              </w:rPr>
            </w:pPr>
            <w:r w:rsidRPr="00AB1F90">
              <w:rPr>
                <w:rFonts w:ascii="Times New Roman" w:eastAsia="Times New Roman" w:hAnsi="Times New Roman" w:cs="Times New Roman"/>
                <w:sz w:val="24"/>
                <w:szCs w:val="24"/>
              </w:rPr>
              <w:t>FAM-BHQ1</w:t>
            </w:r>
          </w:p>
        </w:tc>
      </w:tr>
    </w:tbl>
    <w:p w14:paraId="7DFDEDC2" w14:textId="77777777" w:rsidR="00662189" w:rsidRPr="008257DD" w:rsidRDefault="00662189" w:rsidP="000B582A">
      <w:pPr>
        <w:spacing w:line="480" w:lineRule="auto"/>
        <w:jc w:val="both"/>
        <w:rPr>
          <w:rFonts w:eastAsia="Times New Roman"/>
          <w:sz w:val="24"/>
          <w:szCs w:val="24"/>
        </w:rPr>
      </w:pPr>
    </w:p>
    <w:p w14:paraId="119717E7" w14:textId="34DA0876" w:rsidR="00662189" w:rsidRPr="0084419E" w:rsidRDefault="008257DD" w:rsidP="000B582A">
      <w:pPr>
        <w:spacing w:line="480" w:lineRule="auto"/>
        <w:jc w:val="both"/>
        <w:rPr>
          <w:rFonts w:ascii="Times New Roman" w:eastAsia="Times New Roman" w:hAnsi="Times New Roman" w:cs="Times New Roman"/>
          <w:sz w:val="24"/>
          <w:szCs w:val="24"/>
        </w:rPr>
      </w:pPr>
      <w:r w:rsidRPr="0084419E">
        <w:rPr>
          <w:rFonts w:ascii="Times New Roman" w:eastAsia="Times New Roman" w:hAnsi="Times New Roman" w:cs="Times New Roman"/>
          <w:sz w:val="24"/>
          <w:szCs w:val="24"/>
        </w:rPr>
        <w:t xml:space="preserve">Allelic discrimination assays for rs1042713 and rs17576 was performed in 12.5 </w:t>
      </w:r>
      <w:proofErr w:type="spellStart"/>
      <w:r w:rsidRPr="0084419E">
        <w:rPr>
          <w:rFonts w:ascii="Times New Roman" w:eastAsia="Times New Roman" w:hAnsi="Times New Roman" w:cs="Times New Roman"/>
          <w:sz w:val="24"/>
          <w:szCs w:val="24"/>
        </w:rPr>
        <w:t>μl</w:t>
      </w:r>
      <w:proofErr w:type="spellEnd"/>
      <w:r w:rsidRPr="0084419E">
        <w:rPr>
          <w:rFonts w:ascii="Times New Roman" w:eastAsia="Times New Roman" w:hAnsi="Times New Roman" w:cs="Times New Roman"/>
          <w:sz w:val="24"/>
          <w:szCs w:val="24"/>
        </w:rPr>
        <w:t xml:space="preserve"> reaction volume, using approximately 5 ng of DNA template</w:t>
      </w:r>
      <w:r w:rsidR="00B92C3E">
        <w:rPr>
          <w:rFonts w:ascii="Times New Roman" w:eastAsia="Times New Roman" w:hAnsi="Times New Roman" w:cs="Times New Roman"/>
          <w:sz w:val="24"/>
          <w:szCs w:val="24"/>
        </w:rPr>
        <w:t xml:space="preserve"> (</w:t>
      </w:r>
      <w:r w:rsidR="00B92C3E" w:rsidRPr="00B92C3E">
        <w:rPr>
          <w:rFonts w:ascii="Times New Roman" w:eastAsia="Times New Roman" w:hAnsi="Times New Roman" w:cs="Times New Roman"/>
          <w:sz w:val="24"/>
          <w:szCs w:val="24"/>
        </w:rPr>
        <w:t>2x Brilliant III Ultra-Fast QPCR Master Mix (Agilent Technologies, USA)</w:t>
      </w:r>
      <w:r w:rsidRPr="0084419E">
        <w:rPr>
          <w:rFonts w:ascii="Times New Roman" w:eastAsia="Times New Roman" w:hAnsi="Times New Roman" w:cs="Times New Roman"/>
          <w:sz w:val="24"/>
          <w:szCs w:val="24"/>
        </w:rPr>
        <w:t xml:space="preserve">, 100 mM of primer set (forward and reverse) and 10 mM of probes, with qPCR conditions as follows: 50°C for 2 minutes and 95°C for 10 minutes, followed by 40 cycles at 95°C for 15 seconds and at 60°C for 1 minute. </w:t>
      </w:r>
    </w:p>
    <w:p w14:paraId="6C7CA619" w14:textId="77777777" w:rsidR="00662189" w:rsidRDefault="008257DD" w:rsidP="000B582A">
      <w:pPr>
        <w:spacing w:line="480" w:lineRule="auto"/>
        <w:jc w:val="both"/>
        <w:rPr>
          <w:rFonts w:ascii="Times New Roman" w:eastAsia="Times New Roman" w:hAnsi="Times New Roman" w:cs="Times New Roman"/>
          <w:sz w:val="24"/>
          <w:szCs w:val="24"/>
        </w:rPr>
      </w:pPr>
      <w:r w:rsidRPr="0084419E">
        <w:rPr>
          <w:rFonts w:ascii="Times New Roman" w:eastAsia="Times New Roman" w:hAnsi="Times New Roman" w:cs="Times New Roman"/>
          <w:sz w:val="24"/>
          <w:szCs w:val="24"/>
        </w:rPr>
        <w:lastRenderedPageBreak/>
        <w:t xml:space="preserve">Genotyping of the amplified PCR products was determined by differences in VIC and FAM fluorescent levels, using the ABI Prism 7500 Fast Real-Time PCR system (system instrument equipped with SDS v2.0.5 software, Applied Biosystems, </w:t>
      </w:r>
      <w:proofErr w:type="spellStart"/>
      <w:r w:rsidRPr="0084419E">
        <w:rPr>
          <w:rFonts w:ascii="Times New Roman" w:eastAsia="Times New Roman" w:hAnsi="Times New Roman" w:cs="Times New Roman"/>
          <w:sz w:val="24"/>
          <w:szCs w:val="24"/>
        </w:rPr>
        <w:t>ThermoFisher</w:t>
      </w:r>
      <w:proofErr w:type="spellEnd"/>
      <w:r w:rsidRPr="0084419E">
        <w:rPr>
          <w:rFonts w:ascii="Times New Roman" w:eastAsia="Times New Roman" w:hAnsi="Times New Roman" w:cs="Times New Roman"/>
          <w:sz w:val="24"/>
          <w:szCs w:val="24"/>
        </w:rPr>
        <w:t xml:space="preserve"> Scientific Inc., USA) for rs37973, rs9910408, rs242941 and rs1876828 and using the Agilent </w:t>
      </w:r>
      <w:proofErr w:type="spellStart"/>
      <w:r w:rsidRPr="0084419E">
        <w:rPr>
          <w:rFonts w:ascii="Times New Roman" w:eastAsia="Times New Roman" w:hAnsi="Times New Roman" w:cs="Times New Roman"/>
          <w:sz w:val="24"/>
          <w:szCs w:val="24"/>
        </w:rPr>
        <w:t>AriaMX</w:t>
      </w:r>
      <w:proofErr w:type="spellEnd"/>
      <w:r w:rsidRPr="0084419E">
        <w:rPr>
          <w:rFonts w:ascii="Times New Roman" w:eastAsia="Times New Roman" w:hAnsi="Times New Roman" w:cs="Times New Roman"/>
          <w:sz w:val="24"/>
          <w:szCs w:val="24"/>
        </w:rPr>
        <w:t xml:space="preserve"> Real-Time PCR system (system instrument equipped with </w:t>
      </w:r>
      <w:proofErr w:type="spellStart"/>
      <w:r w:rsidRPr="0084419E">
        <w:rPr>
          <w:rFonts w:ascii="Times New Roman" w:eastAsia="Times New Roman" w:hAnsi="Times New Roman" w:cs="Times New Roman"/>
          <w:sz w:val="24"/>
          <w:szCs w:val="24"/>
        </w:rPr>
        <w:t>AriaMx</w:t>
      </w:r>
      <w:proofErr w:type="spellEnd"/>
      <w:r w:rsidRPr="0084419E">
        <w:rPr>
          <w:rFonts w:ascii="Times New Roman" w:eastAsia="Times New Roman" w:hAnsi="Times New Roman" w:cs="Times New Roman"/>
          <w:sz w:val="24"/>
          <w:szCs w:val="24"/>
        </w:rPr>
        <w:t xml:space="preserve"> software v1.0, Agilent Technologies, USA) for rs1042713 and rs17576.</w:t>
      </w:r>
    </w:p>
    <w:p w14:paraId="4F5F8A5C" w14:textId="2CE8DD6E" w:rsidR="00F46B05" w:rsidRDefault="00F46B05" w:rsidP="000B582A">
      <w:pPr>
        <w:pStyle w:val="Naslov3"/>
        <w:spacing w:line="480" w:lineRule="auto"/>
      </w:pPr>
      <w:r w:rsidRPr="00F46B05">
        <w:t>Genotyping results</w:t>
      </w:r>
    </w:p>
    <w:p w14:paraId="44F0673D" w14:textId="77777777" w:rsidR="00F46B05" w:rsidRDefault="00F46B05" w:rsidP="000B582A">
      <w:pPr>
        <w:spacing w:line="480" w:lineRule="auto"/>
        <w:jc w:val="both"/>
        <w:rPr>
          <w:rFonts w:ascii="Times New Roman" w:hAnsi="Times New Roman" w:cs="Times New Roman"/>
          <w:sz w:val="24"/>
          <w:szCs w:val="24"/>
        </w:rPr>
      </w:pPr>
    </w:p>
    <w:p w14:paraId="6BE25FE3" w14:textId="34E24829" w:rsidR="00F46B05" w:rsidRPr="00F46B05" w:rsidRDefault="00F46B05" w:rsidP="000B582A">
      <w:pPr>
        <w:spacing w:line="480" w:lineRule="auto"/>
        <w:jc w:val="both"/>
        <w:rPr>
          <w:rFonts w:ascii="Times New Roman" w:hAnsi="Times New Roman" w:cs="Times New Roman"/>
          <w:sz w:val="24"/>
          <w:szCs w:val="24"/>
        </w:rPr>
      </w:pPr>
      <w:r w:rsidRPr="00F46B05">
        <w:rPr>
          <w:rFonts w:ascii="Times New Roman" w:hAnsi="Times New Roman" w:cs="Times New Roman"/>
          <w:sz w:val="24"/>
          <w:szCs w:val="24"/>
        </w:rPr>
        <w:t>Genotype distribution (frequency) for each genetic polymorphism is shown in Figure s1. All participants were successfully genotyped for rs37973, rs9910408, rs242941. For rs1042713 and rs17576 genotype data was missing for 1 and 19 participants, respectively, due to insufficient DNA extract material or degraded DNA samples in subsequent/ repeated analysis. Genotyping was performed at the Srebrnjak Children`s Hospital in Zagreb, Croatia in 2 batches on 2 different platforms.</w:t>
      </w:r>
    </w:p>
    <w:p w14:paraId="67F72934" w14:textId="77777777" w:rsidR="00F46B05" w:rsidRDefault="00F46B05" w:rsidP="000B582A">
      <w:pPr>
        <w:spacing w:line="480" w:lineRule="auto"/>
        <w:jc w:val="both"/>
        <w:rPr>
          <w:rFonts w:ascii="Times New Roman" w:hAnsi="Times New Roman" w:cs="Times New Roman"/>
          <w:sz w:val="24"/>
          <w:szCs w:val="24"/>
        </w:rPr>
      </w:pPr>
    </w:p>
    <w:p w14:paraId="40E740E1" w14:textId="66856D37" w:rsidR="00F46B05" w:rsidRDefault="00F46B05" w:rsidP="000B582A">
      <w:pPr>
        <w:spacing w:line="480" w:lineRule="auto"/>
        <w:jc w:val="both"/>
        <w:rPr>
          <w:rFonts w:ascii="Times New Roman" w:hAnsi="Times New Roman" w:cs="Times New Roman"/>
          <w:sz w:val="24"/>
          <w:szCs w:val="24"/>
        </w:rPr>
      </w:pPr>
      <w:r w:rsidRPr="00F46B05">
        <w:rPr>
          <w:rFonts w:ascii="Times New Roman" w:hAnsi="Times New Roman" w:cs="Times New Roman"/>
          <w:sz w:val="24"/>
          <w:szCs w:val="24"/>
        </w:rPr>
        <w:t>Figure S1. Genotype frequency (%) for respective genetic polymorphisms: rs37973, rs9910408, rs242941, rs1876828, rs1042713 and rs17576. For rs37973, rs9910408, rs242941 and rs1876828 N=365, for rs1042713 N=364 and for rs17576 N=346.</w:t>
      </w:r>
    </w:p>
    <w:p w14:paraId="43AAB455" w14:textId="05A881F7" w:rsidR="00F46B05" w:rsidRDefault="00F46B05" w:rsidP="000B582A">
      <w:pPr>
        <w:spacing w:line="480" w:lineRule="auto"/>
        <w:jc w:val="both"/>
        <w:rPr>
          <w:rFonts w:ascii="Times New Roman" w:hAnsi="Times New Roman" w:cs="Times New Roman"/>
          <w:sz w:val="24"/>
          <w:szCs w:val="24"/>
        </w:rPr>
      </w:pPr>
      <w:r w:rsidRPr="00F46B05">
        <w:rPr>
          <w:rFonts w:ascii="Times New Roman" w:hAnsi="Times New Roman" w:cs="Times New Roman"/>
          <w:sz w:val="24"/>
          <w:szCs w:val="24"/>
        </w:rPr>
        <w:t>Consistency with the Hardy- Weinberg equilibrium (HWE) for each genetic polymorphism, along with global and population-specific minor allele frequency (MAF) is presented in Table 14.</w:t>
      </w:r>
    </w:p>
    <w:p w14:paraId="5A17108C" w14:textId="77777777" w:rsidR="00F46B05" w:rsidRDefault="00F46B05" w:rsidP="000B582A">
      <w:pPr>
        <w:spacing w:line="480" w:lineRule="auto"/>
        <w:jc w:val="both"/>
        <w:rPr>
          <w:rFonts w:ascii="Times New Roman" w:hAnsi="Times New Roman" w:cs="Times New Roman"/>
          <w:sz w:val="24"/>
          <w:szCs w:val="24"/>
        </w:rPr>
        <w:sectPr w:rsidR="00F46B05">
          <w:pgSz w:w="12240" w:h="15840"/>
          <w:pgMar w:top="1440" w:right="1440" w:bottom="1440" w:left="1440" w:header="720" w:footer="720" w:gutter="0"/>
          <w:pgNumType w:start="1"/>
          <w:cols w:space="720"/>
        </w:sectPr>
      </w:pPr>
      <w:r>
        <w:rPr>
          <w:rFonts w:ascii="Times New Roman" w:hAnsi="Times New Roman" w:cs="Times New Roman"/>
          <w:sz w:val="24"/>
          <w:szCs w:val="24"/>
        </w:rPr>
        <w:br w:type="page"/>
      </w:r>
    </w:p>
    <w:p w14:paraId="323391E7" w14:textId="7F711B9D" w:rsidR="00F46B05" w:rsidRDefault="00F46B05" w:rsidP="000B582A">
      <w:pPr>
        <w:spacing w:line="480" w:lineRule="auto"/>
        <w:jc w:val="both"/>
        <w:rPr>
          <w:rFonts w:ascii="Times New Roman" w:hAnsi="Times New Roman" w:cs="Times New Roman"/>
          <w:sz w:val="24"/>
          <w:szCs w:val="24"/>
        </w:rPr>
      </w:pPr>
      <w:r w:rsidRPr="00F46B05">
        <w:rPr>
          <w:rFonts w:ascii="Times New Roman" w:hAnsi="Times New Roman" w:cs="Times New Roman"/>
          <w:sz w:val="24"/>
          <w:szCs w:val="24"/>
        </w:rPr>
        <w:lastRenderedPageBreak/>
        <w:t xml:space="preserve">Table S2. HWE consistency for genotype frequencies for rs37973, rs9910408, rs242941, rs1876828, rs1042713 and rs17576. </w:t>
      </w:r>
      <w:r w:rsidRPr="00F46B05">
        <w:rPr>
          <w:rFonts w:ascii="Symbol" w:hAnsi="Symbol" w:cs="Times New Roman"/>
          <w:sz w:val="24"/>
          <w:szCs w:val="24"/>
        </w:rPr>
        <w:t></w:t>
      </w:r>
      <w:r>
        <w:rPr>
          <w:rFonts w:ascii="Times New Roman" w:hAnsi="Times New Roman" w:cs="Times New Roman"/>
          <w:sz w:val="24"/>
          <w:szCs w:val="24"/>
        </w:rPr>
        <w:t xml:space="preserve">2- </w:t>
      </w:r>
      <w:r w:rsidRPr="00F46B05">
        <w:rPr>
          <w:rFonts w:ascii="Times New Roman" w:hAnsi="Times New Roman" w:cs="Times New Roman"/>
          <w:sz w:val="24"/>
          <w:szCs w:val="24"/>
        </w:rPr>
        <w:t xml:space="preserve">chi-squared value, p&lt; 0.05 consistent with HWE. Global and population specific (Central European) MAF according to NCBI </w:t>
      </w:r>
      <w:proofErr w:type="spellStart"/>
      <w:r w:rsidRPr="00F46B05">
        <w:rPr>
          <w:rFonts w:ascii="Times New Roman" w:hAnsi="Times New Roman" w:cs="Times New Roman"/>
          <w:sz w:val="24"/>
          <w:szCs w:val="24"/>
        </w:rPr>
        <w:t>dbSNP</w:t>
      </w:r>
      <w:proofErr w:type="spellEnd"/>
      <w:r w:rsidRPr="00F46B05">
        <w:rPr>
          <w:rFonts w:ascii="Times New Roman" w:hAnsi="Times New Roman" w:cs="Times New Roman"/>
          <w:sz w:val="24"/>
          <w:szCs w:val="24"/>
        </w:rPr>
        <w:t xml:space="preserve"> (https://www.ncbi.nlm.nih.gov/SNP/). HWE- Hardy-Weinberg equilibrium, MAF- minor allele frequency, CEU- Central European, reference population. Calculated using Michael H. Court's (2005-2008) online calculator.</w:t>
      </w:r>
    </w:p>
    <w:tbl>
      <w:tblPr>
        <w:tblStyle w:val="Reetkatablice"/>
        <w:tblW w:w="0" w:type="auto"/>
        <w:tblLayout w:type="fixed"/>
        <w:tblLook w:val="04A0" w:firstRow="1" w:lastRow="0" w:firstColumn="1" w:lastColumn="0" w:noHBand="0" w:noVBand="1"/>
      </w:tblPr>
      <w:tblGrid>
        <w:gridCol w:w="1355"/>
        <w:gridCol w:w="1163"/>
        <w:gridCol w:w="972"/>
        <w:gridCol w:w="1085"/>
        <w:gridCol w:w="1051"/>
        <w:gridCol w:w="1086"/>
        <w:gridCol w:w="1051"/>
        <w:gridCol w:w="1086"/>
        <w:gridCol w:w="1051"/>
        <w:gridCol w:w="1086"/>
        <w:gridCol w:w="1051"/>
        <w:gridCol w:w="1086"/>
        <w:gridCol w:w="1051"/>
      </w:tblGrid>
      <w:tr w:rsidR="00F46B05" w:rsidRPr="00F46B05" w14:paraId="6EC94B04" w14:textId="77777777" w:rsidTr="00F46B05">
        <w:trPr>
          <w:trHeight w:val="363"/>
        </w:trPr>
        <w:tc>
          <w:tcPr>
            <w:tcW w:w="1355" w:type="dxa"/>
            <w:vMerge w:val="restart"/>
            <w:shd w:val="clear" w:color="auto" w:fill="BFBFBF" w:themeFill="background1" w:themeFillShade="BF"/>
          </w:tcPr>
          <w:p w14:paraId="5526A18C" w14:textId="77777777" w:rsidR="00F46B05" w:rsidRPr="00F46B05" w:rsidRDefault="00F46B05" w:rsidP="000B582A">
            <w:pPr>
              <w:spacing w:line="480" w:lineRule="auto"/>
              <w:jc w:val="both"/>
              <w:rPr>
                <w:rFonts w:ascii="Times New Roman" w:eastAsia="Times New Roman" w:hAnsi="Times New Roman" w:cs="Times New Roman"/>
                <w:b/>
                <w:sz w:val="24"/>
                <w:szCs w:val="24"/>
              </w:rPr>
            </w:pPr>
          </w:p>
          <w:p w14:paraId="4610615C"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Genotype</w:t>
            </w:r>
            <w:proofErr w:type="spellEnd"/>
          </w:p>
        </w:tc>
        <w:tc>
          <w:tcPr>
            <w:tcW w:w="2135" w:type="dxa"/>
            <w:gridSpan w:val="2"/>
            <w:shd w:val="clear" w:color="auto" w:fill="BFBFBF" w:themeFill="background1" w:themeFillShade="BF"/>
          </w:tcPr>
          <w:p w14:paraId="7D73D6AB" w14:textId="77777777" w:rsidR="00F46B05" w:rsidRPr="00F46B05" w:rsidRDefault="00F46B05" w:rsidP="000B582A">
            <w:pPr>
              <w:spacing w:line="480" w:lineRule="auto"/>
              <w:jc w:val="center"/>
              <w:rPr>
                <w:rFonts w:ascii="Times New Roman" w:eastAsia="Times New Roman" w:hAnsi="Times New Roman" w:cs="Times New Roman"/>
                <w:b/>
                <w:sz w:val="24"/>
                <w:szCs w:val="24"/>
              </w:rPr>
            </w:pPr>
            <w:r w:rsidRPr="00F46B05">
              <w:rPr>
                <w:rFonts w:ascii="Times New Roman" w:eastAsia="Times New Roman" w:hAnsi="Times New Roman" w:cs="Times New Roman"/>
                <w:b/>
                <w:sz w:val="24"/>
                <w:szCs w:val="24"/>
              </w:rPr>
              <w:t>rs37973</w:t>
            </w:r>
          </w:p>
        </w:tc>
        <w:tc>
          <w:tcPr>
            <w:tcW w:w="2136" w:type="dxa"/>
            <w:gridSpan w:val="2"/>
            <w:shd w:val="clear" w:color="auto" w:fill="BFBFBF" w:themeFill="background1" w:themeFillShade="BF"/>
          </w:tcPr>
          <w:p w14:paraId="5FFF4C90" w14:textId="77777777" w:rsidR="00F46B05" w:rsidRPr="00F46B05" w:rsidRDefault="00F46B05" w:rsidP="000B582A">
            <w:pPr>
              <w:spacing w:line="480" w:lineRule="auto"/>
              <w:jc w:val="center"/>
              <w:rPr>
                <w:rFonts w:ascii="Times New Roman" w:eastAsia="Times New Roman" w:hAnsi="Times New Roman" w:cs="Times New Roman"/>
                <w:b/>
                <w:sz w:val="24"/>
                <w:szCs w:val="24"/>
              </w:rPr>
            </w:pPr>
            <w:r w:rsidRPr="00F46B05">
              <w:rPr>
                <w:rFonts w:ascii="Times New Roman" w:eastAsia="Times New Roman" w:hAnsi="Times New Roman" w:cs="Times New Roman"/>
                <w:b/>
                <w:sz w:val="24"/>
                <w:szCs w:val="24"/>
              </w:rPr>
              <w:t>rs9910408</w:t>
            </w:r>
          </w:p>
        </w:tc>
        <w:tc>
          <w:tcPr>
            <w:tcW w:w="2137" w:type="dxa"/>
            <w:gridSpan w:val="2"/>
            <w:shd w:val="clear" w:color="auto" w:fill="BFBFBF" w:themeFill="background1" w:themeFillShade="BF"/>
          </w:tcPr>
          <w:p w14:paraId="60292679" w14:textId="77777777" w:rsidR="00F46B05" w:rsidRPr="00F46B05" w:rsidRDefault="00F46B05" w:rsidP="000B582A">
            <w:pPr>
              <w:spacing w:line="480" w:lineRule="auto"/>
              <w:jc w:val="center"/>
              <w:rPr>
                <w:rFonts w:ascii="Times New Roman" w:eastAsia="Times New Roman" w:hAnsi="Times New Roman" w:cs="Times New Roman"/>
                <w:b/>
                <w:sz w:val="24"/>
                <w:szCs w:val="24"/>
              </w:rPr>
            </w:pPr>
            <w:r w:rsidRPr="00F46B05">
              <w:rPr>
                <w:rFonts w:ascii="Times New Roman" w:eastAsia="Times New Roman" w:hAnsi="Times New Roman" w:cs="Times New Roman"/>
                <w:b/>
                <w:sz w:val="24"/>
                <w:szCs w:val="24"/>
              </w:rPr>
              <w:t>rs242941</w:t>
            </w:r>
          </w:p>
        </w:tc>
        <w:tc>
          <w:tcPr>
            <w:tcW w:w="2137" w:type="dxa"/>
            <w:gridSpan w:val="2"/>
            <w:shd w:val="clear" w:color="auto" w:fill="BFBFBF" w:themeFill="background1" w:themeFillShade="BF"/>
          </w:tcPr>
          <w:p w14:paraId="25B5DAF5" w14:textId="77777777" w:rsidR="00F46B05" w:rsidRPr="00F46B05" w:rsidRDefault="00F46B05" w:rsidP="000B582A">
            <w:pPr>
              <w:spacing w:line="480" w:lineRule="auto"/>
              <w:jc w:val="center"/>
              <w:rPr>
                <w:rFonts w:ascii="Times New Roman" w:eastAsia="Times New Roman" w:hAnsi="Times New Roman" w:cs="Times New Roman"/>
                <w:b/>
                <w:sz w:val="24"/>
                <w:szCs w:val="24"/>
              </w:rPr>
            </w:pPr>
            <w:r w:rsidRPr="00F46B05">
              <w:rPr>
                <w:rFonts w:ascii="Times New Roman" w:eastAsia="Times New Roman" w:hAnsi="Times New Roman" w:cs="Times New Roman"/>
                <w:b/>
                <w:sz w:val="24"/>
                <w:szCs w:val="24"/>
              </w:rPr>
              <w:t>rs1876828</w:t>
            </w:r>
          </w:p>
        </w:tc>
        <w:tc>
          <w:tcPr>
            <w:tcW w:w="2137" w:type="dxa"/>
            <w:gridSpan w:val="2"/>
            <w:shd w:val="clear" w:color="auto" w:fill="BFBFBF" w:themeFill="background1" w:themeFillShade="BF"/>
          </w:tcPr>
          <w:p w14:paraId="4C9DAB2A" w14:textId="77777777" w:rsidR="00F46B05" w:rsidRPr="00F46B05" w:rsidRDefault="00F46B05" w:rsidP="000B582A">
            <w:pPr>
              <w:spacing w:line="480" w:lineRule="auto"/>
              <w:jc w:val="center"/>
              <w:rPr>
                <w:rFonts w:ascii="Times New Roman" w:eastAsia="Times New Roman" w:hAnsi="Times New Roman" w:cs="Times New Roman"/>
                <w:b/>
                <w:sz w:val="24"/>
                <w:szCs w:val="24"/>
              </w:rPr>
            </w:pPr>
            <w:r w:rsidRPr="00F46B05">
              <w:rPr>
                <w:rFonts w:ascii="Times New Roman" w:eastAsia="Times New Roman" w:hAnsi="Times New Roman" w:cs="Times New Roman"/>
                <w:b/>
                <w:sz w:val="24"/>
                <w:szCs w:val="24"/>
              </w:rPr>
              <w:t>rs1042713</w:t>
            </w:r>
          </w:p>
        </w:tc>
        <w:tc>
          <w:tcPr>
            <w:tcW w:w="2137" w:type="dxa"/>
            <w:gridSpan w:val="2"/>
            <w:shd w:val="clear" w:color="auto" w:fill="BFBFBF" w:themeFill="background1" w:themeFillShade="BF"/>
          </w:tcPr>
          <w:p w14:paraId="57BC5302" w14:textId="77777777" w:rsidR="00F46B05" w:rsidRPr="00F46B05" w:rsidRDefault="00F46B05" w:rsidP="000B582A">
            <w:pPr>
              <w:spacing w:line="480" w:lineRule="auto"/>
              <w:jc w:val="center"/>
              <w:rPr>
                <w:rFonts w:ascii="Times New Roman" w:eastAsia="Times New Roman" w:hAnsi="Times New Roman" w:cs="Times New Roman"/>
                <w:b/>
                <w:sz w:val="24"/>
                <w:szCs w:val="24"/>
              </w:rPr>
            </w:pPr>
            <w:r w:rsidRPr="00F46B05">
              <w:rPr>
                <w:rFonts w:ascii="Times New Roman" w:eastAsia="Times New Roman" w:hAnsi="Times New Roman" w:cs="Times New Roman"/>
                <w:b/>
                <w:sz w:val="24"/>
                <w:szCs w:val="24"/>
              </w:rPr>
              <w:t>rs17576</w:t>
            </w:r>
          </w:p>
        </w:tc>
      </w:tr>
      <w:tr w:rsidR="00F46B05" w:rsidRPr="00F46B05" w14:paraId="6F3E7C30" w14:textId="77777777" w:rsidTr="00F46B05">
        <w:trPr>
          <w:trHeight w:val="148"/>
        </w:trPr>
        <w:tc>
          <w:tcPr>
            <w:tcW w:w="1355" w:type="dxa"/>
            <w:vMerge/>
            <w:shd w:val="clear" w:color="auto" w:fill="BFBFBF" w:themeFill="background1" w:themeFillShade="BF"/>
          </w:tcPr>
          <w:p w14:paraId="3B4FC9BF" w14:textId="77777777" w:rsidR="00F46B05" w:rsidRPr="00F46B05" w:rsidRDefault="00F46B05" w:rsidP="000B582A">
            <w:pPr>
              <w:spacing w:line="480" w:lineRule="auto"/>
              <w:jc w:val="both"/>
              <w:rPr>
                <w:rFonts w:ascii="Times New Roman" w:eastAsia="Times New Roman" w:hAnsi="Times New Roman" w:cs="Times New Roman"/>
                <w:b/>
                <w:sz w:val="24"/>
                <w:szCs w:val="24"/>
              </w:rPr>
            </w:pPr>
          </w:p>
        </w:tc>
        <w:tc>
          <w:tcPr>
            <w:tcW w:w="1163" w:type="dxa"/>
            <w:shd w:val="clear" w:color="auto" w:fill="D9D9D9" w:themeFill="background1" w:themeFillShade="D9"/>
          </w:tcPr>
          <w:p w14:paraId="7EFB706F"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Observed</w:t>
            </w:r>
            <w:proofErr w:type="spellEnd"/>
          </w:p>
        </w:tc>
        <w:tc>
          <w:tcPr>
            <w:tcW w:w="972" w:type="dxa"/>
            <w:shd w:val="clear" w:color="auto" w:fill="D9D9D9" w:themeFill="background1" w:themeFillShade="D9"/>
          </w:tcPr>
          <w:p w14:paraId="0F15608B"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Expected</w:t>
            </w:r>
            <w:proofErr w:type="spellEnd"/>
          </w:p>
        </w:tc>
        <w:tc>
          <w:tcPr>
            <w:tcW w:w="1085" w:type="dxa"/>
            <w:shd w:val="clear" w:color="auto" w:fill="D9D9D9" w:themeFill="background1" w:themeFillShade="D9"/>
          </w:tcPr>
          <w:p w14:paraId="42255E88"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Observed</w:t>
            </w:r>
            <w:proofErr w:type="spellEnd"/>
          </w:p>
        </w:tc>
        <w:tc>
          <w:tcPr>
            <w:tcW w:w="1051" w:type="dxa"/>
            <w:shd w:val="clear" w:color="auto" w:fill="D9D9D9" w:themeFill="background1" w:themeFillShade="D9"/>
          </w:tcPr>
          <w:p w14:paraId="2EA85D6D"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Expected</w:t>
            </w:r>
            <w:proofErr w:type="spellEnd"/>
          </w:p>
        </w:tc>
        <w:tc>
          <w:tcPr>
            <w:tcW w:w="1086" w:type="dxa"/>
            <w:shd w:val="clear" w:color="auto" w:fill="D9D9D9" w:themeFill="background1" w:themeFillShade="D9"/>
          </w:tcPr>
          <w:p w14:paraId="0C14E628"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Observed</w:t>
            </w:r>
            <w:proofErr w:type="spellEnd"/>
          </w:p>
        </w:tc>
        <w:tc>
          <w:tcPr>
            <w:tcW w:w="1051" w:type="dxa"/>
            <w:shd w:val="clear" w:color="auto" w:fill="D9D9D9" w:themeFill="background1" w:themeFillShade="D9"/>
          </w:tcPr>
          <w:p w14:paraId="18CE51EB"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Expected</w:t>
            </w:r>
            <w:proofErr w:type="spellEnd"/>
          </w:p>
        </w:tc>
        <w:tc>
          <w:tcPr>
            <w:tcW w:w="1086" w:type="dxa"/>
            <w:shd w:val="clear" w:color="auto" w:fill="D9D9D9" w:themeFill="background1" w:themeFillShade="D9"/>
          </w:tcPr>
          <w:p w14:paraId="3E295F7D"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Observed</w:t>
            </w:r>
            <w:proofErr w:type="spellEnd"/>
          </w:p>
        </w:tc>
        <w:tc>
          <w:tcPr>
            <w:tcW w:w="1051" w:type="dxa"/>
            <w:shd w:val="clear" w:color="auto" w:fill="D9D9D9" w:themeFill="background1" w:themeFillShade="D9"/>
          </w:tcPr>
          <w:p w14:paraId="54412450"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Expected</w:t>
            </w:r>
            <w:proofErr w:type="spellEnd"/>
          </w:p>
        </w:tc>
        <w:tc>
          <w:tcPr>
            <w:tcW w:w="1086" w:type="dxa"/>
            <w:shd w:val="clear" w:color="auto" w:fill="D9D9D9" w:themeFill="background1" w:themeFillShade="D9"/>
          </w:tcPr>
          <w:p w14:paraId="621AEC19"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Observed</w:t>
            </w:r>
            <w:proofErr w:type="spellEnd"/>
          </w:p>
        </w:tc>
        <w:tc>
          <w:tcPr>
            <w:tcW w:w="1051" w:type="dxa"/>
            <w:shd w:val="clear" w:color="auto" w:fill="D9D9D9" w:themeFill="background1" w:themeFillShade="D9"/>
          </w:tcPr>
          <w:p w14:paraId="3DE06F85"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Expected</w:t>
            </w:r>
            <w:proofErr w:type="spellEnd"/>
          </w:p>
        </w:tc>
        <w:tc>
          <w:tcPr>
            <w:tcW w:w="1086" w:type="dxa"/>
            <w:shd w:val="clear" w:color="auto" w:fill="D9D9D9" w:themeFill="background1" w:themeFillShade="D9"/>
          </w:tcPr>
          <w:p w14:paraId="6623257E"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Observed</w:t>
            </w:r>
            <w:proofErr w:type="spellEnd"/>
          </w:p>
        </w:tc>
        <w:tc>
          <w:tcPr>
            <w:tcW w:w="1051" w:type="dxa"/>
            <w:shd w:val="clear" w:color="auto" w:fill="D9D9D9" w:themeFill="background1" w:themeFillShade="D9"/>
          </w:tcPr>
          <w:p w14:paraId="6D624D5B" w14:textId="77777777" w:rsidR="00F46B05" w:rsidRPr="00F46B05" w:rsidRDefault="00F46B05" w:rsidP="000B582A">
            <w:pPr>
              <w:spacing w:line="480" w:lineRule="auto"/>
              <w:jc w:val="both"/>
              <w:rPr>
                <w:rFonts w:ascii="Times New Roman" w:eastAsia="Times New Roman" w:hAnsi="Times New Roman" w:cs="Times New Roman"/>
                <w:b/>
                <w:sz w:val="24"/>
                <w:szCs w:val="24"/>
              </w:rPr>
            </w:pPr>
            <w:proofErr w:type="spellStart"/>
            <w:r w:rsidRPr="00F46B05">
              <w:rPr>
                <w:rFonts w:ascii="Times New Roman" w:eastAsia="Times New Roman" w:hAnsi="Times New Roman" w:cs="Times New Roman"/>
                <w:b/>
                <w:sz w:val="24"/>
                <w:szCs w:val="24"/>
              </w:rPr>
              <w:t>Expected</w:t>
            </w:r>
            <w:proofErr w:type="spellEnd"/>
          </w:p>
        </w:tc>
      </w:tr>
      <w:tr w:rsidR="00F46B05" w:rsidRPr="00F46B05" w14:paraId="621AF3A0" w14:textId="77777777" w:rsidTr="00F46B05">
        <w:trPr>
          <w:trHeight w:val="708"/>
        </w:trPr>
        <w:tc>
          <w:tcPr>
            <w:tcW w:w="1355" w:type="dxa"/>
          </w:tcPr>
          <w:p w14:paraId="4B2F3F70" w14:textId="77777777" w:rsidR="00F46B05" w:rsidRPr="00F46B05" w:rsidRDefault="00F46B05" w:rsidP="000B582A">
            <w:pPr>
              <w:spacing w:line="480" w:lineRule="auto"/>
              <w:jc w:val="both"/>
              <w:rPr>
                <w:rFonts w:ascii="Times New Roman" w:eastAsia="Times New Roman" w:hAnsi="Times New Roman" w:cs="Times New Roman"/>
                <w:sz w:val="24"/>
                <w:szCs w:val="24"/>
              </w:rPr>
            </w:pPr>
            <w:proofErr w:type="spellStart"/>
            <w:r w:rsidRPr="00F46B05">
              <w:rPr>
                <w:rFonts w:ascii="Times New Roman" w:eastAsia="Times New Roman" w:hAnsi="Times New Roman" w:cs="Times New Roman"/>
                <w:sz w:val="24"/>
                <w:szCs w:val="24"/>
              </w:rPr>
              <w:t>Homozygote</w:t>
            </w:r>
            <w:proofErr w:type="spellEnd"/>
            <w:r w:rsidRPr="00F46B05">
              <w:rPr>
                <w:rFonts w:ascii="Times New Roman" w:eastAsia="Times New Roman" w:hAnsi="Times New Roman" w:cs="Times New Roman"/>
                <w:sz w:val="24"/>
                <w:szCs w:val="24"/>
              </w:rPr>
              <w:t xml:space="preserve"> reference</w:t>
            </w:r>
          </w:p>
        </w:tc>
        <w:tc>
          <w:tcPr>
            <w:tcW w:w="1163" w:type="dxa"/>
          </w:tcPr>
          <w:p w14:paraId="6EA18B38"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130</w:t>
            </w:r>
          </w:p>
        </w:tc>
        <w:tc>
          <w:tcPr>
            <w:tcW w:w="972" w:type="dxa"/>
          </w:tcPr>
          <w:p w14:paraId="4666D3E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130.2</w:t>
            </w:r>
          </w:p>
        </w:tc>
        <w:tc>
          <w:tcPr>
            <w:tcW w:w="1085" w:type="dxa"/>
          </w:tcPr>
          <w:p w14:paraId="71DB7E8F"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103</w:t>
            </w:r>
          </w:p>
        </w:tc>
        <w:tc>
          <w:tcPr>
            <w:tcW w:w="1051" w:type="dxa"/>
          </w:tcPr>
          <w:p w14:paraId="0C931EA7"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106.9</w:t>
            </w:r>
          </w:p>
        </w:tc>
        <w:tc>
          <w:tcPr>
            <w:tcW w:w="1086" w:type="dxa"/>
          </w:tcPr>
          <w:p w14:paraId="030B92F6"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150</w:t>
            </w:r>
          </w:p>
        </w:tc>
        <w:tc>
          <w:tcPr>
            <w:tcW w:w="1051" w:type="dxa"/>
          </w:tcPr>
          <w:p w14:paraId="6E1193DF"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155.2</w:t>
            </w:r>
          </w:p>
        </w:tc>
        <w:tc>
          <w:tcPr>
            <w:tcW w:w="1086" w:type="dxa"/>
          </w:tcPr>
          <w:p w14:paraId="3362CE2C"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270</w:t>
            </w:r>
          </w:p>
        </w:tc>
        <w:tc>
          <w:tcPr>
            <w:tcW w:w="1051" w:type="dxa"/>
          </w:tcPr>
          <w:p w14:paraId="708C37A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270.1</w:t>
            </w:r>
          </w:p>
        </w:tc>
        <w:tc>
          <w:tcPr>
            <w:tcW w:w="1086" w:type="dxa"/>
          </w:tcPr>
          <w:p w14:paraId="4E3F5742"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113</w:t>
            </w:r>
          </w:p>
        </w:tc>
        <w:tc>
          <w:tcPr>
            <w:tcW w:w="1051" w:type="dxa"/>
          </w:tcPr>
          <w:p w14:paraId="6F036028"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88.0</w:t>
            </w:r>
          </w:p>
        </w:tc>
        <w:tc>
          <w:tcPr>
            <w:tcW w:w="1086" w:type="dxa"/>
          </w:tcPr>
          <w:p w14:paraId="6F8CCEEC"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50</w:t>
            </w:r>
          </w:p>
        </w:tc>
        <w:tc>
          <w:tcPr>
            <w:tcW w:w="1051" w:type="dxa"/>
          </w:tcPr>
          <w:p w14:paraId="07EB1F4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83.0</w:t>
            </w:r>
          </w:p>
        </w:tc>
      </w:tr>
      <w:tr w:rsidR="00F46B05" w:rsidRPr="00F46B05" w14:paraId="0B27EF00" w14:textId="77777777" w:rsidTr="00F46B05">
        <w:trPr>
          <w:trHeight w:val="345"/>
        </w:trPr>
        <w:tc>
          <w:tcPr>
            <w:tcW w:w="1355" w:type="dxa"/>
          </w:tcPr>
          <w:p w14:paraId="3F013A5C" w14:textId="77777777" w:rsidR="00F46B05" w:rsidRPr="00F46B05" w:rsidRDefault="00F46B05" w:rsidP="000B582A">
            <w:pPr>
              <w:spacing w:line="480" w:lineRule="auto"/>
              <w:jc w:val="both"/>
              <w:rPr>
                <w:rFonts w:ascii="Times New Roman" w:eastAsia="Times New Roman" w:hAnsi="Times New Roman" w:cs="Times New Roman"/>
                <w:sz w:val="24"/>
                <w:szCs w:val="24"/>
              </w:rPr>
            </w:pPr>
            <w:proofErr w:type="spellStart"/>
            <w:r w:rsidRPr="00F46B05">
              <w:rPr>
                <w:rFonts w:ascii="Times New Roman" w:eastAsia="Times New Roman" w:hAnsi="Times New Roman" w:cs="Times New Roman"/>
                <w:sz w:val="24"/>
                <w:szCs w:val="24"/>
              </w:rPr>
              <w:t>Heterozygote</w:t>
            </w:r>
            <w:proofErr w:type="spellEnd"/>
          </w:p>
        </w:tc>
        <w:tc>
          <w:tcPr>
            <w:tcW w:w="1163" w:type="dxa"/>
          </w:tcPr>
          <w:p w14:paraId="2D28B137"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176</w:t>
            </w:r>
          </w:p>
        </w:tc>
        <w:tc>
          <w:tcPr>
            <w:tcW w:w="972" w:type="dxa"/>
          </w:tcPr>
          <w:p w14:paraId="0D236400"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175.6</w:t>
            </w:r>
          </w:p>
        </w:tc>
        <w:tc>
          <w:tcPr>
            <w:tcW w:w="1085" w:type="dxa"/>
          </w:tcPr>
          <w:p w14:paraId="21BFFF6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189</w:t>
            </w:r>
          </w:p>
        </w:tc>
        <w:tc>
          <w:tcPr>
            <w:tcW w:w="1051" w:type="dxa"/>
          </w:tcPr>
          <w:p w14:paraId="5DB532F5"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181.3</w:t>
            </w:r>
          </w:p>
        </w:tc>
        <w:tc>
          <w:tcPr>
            <w:tcW w:w="1086" w:type="dxa"/>
          </w:tcPr>
          <w:p w14:paraId="0B70D17A"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176</w:t>
            </w:r>
          </w:p>
        </w:tc>
        <w:tc>
          <w:tcPr>
            <w:tcW w:w="1051" w:type="dxa"/>
          </w:tcPr>
          <w:p w14:paraId="0220DB17"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165.6</w:t>
            </w:r>
          </w:p>
        </w:tc>
        <w:tc>
          <w:tcPr>
            <w:tcW w:w="1086" w:type="dxa"/>
          </w:tcPr>
          <w:p w14:paraId="4181A37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88</w:t>
            </w:r>
          </w:p>
        </w:tc>
        <w:tc>
          <w:tcPr>
            <w:tcW w:w="1051" w:type="dxa"/>
          </w:tcPr>
          <w:p w14:paraId="25683F0F"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87.7</w:t>
            </w:r>
          </w:p>
        </w:tc>
        <w:tc>
          <w:tcPr>
            <w:tcW w:w="1086" w:type="dxa"/>
          </w:tcPr>
          <w:p w14:paraId="2B47E97C"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132</w:t>
            </w:r>
          </w:p>
        </w:tc>
        <w:tc>
          <w:tcPr>
            <w:tcW w:w="1051" w:type="dxa"/>
          </w:tcPr>
          <w:p w14:paraId="00D4F505"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182.0</w:t>
            </w:r>
          </w:p>
        </w:tc>
        <w:tc>
          <w:tcPr>
            <w:tcW w:w="1086" w:type="dxa"/>
          </w:tcPr>
          <w:p w14:paraId="04C8726C"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239</w:t>
            </w:r>
          </w:p>
        </w:tc>
        <w:tc>
          <w:tcPr>
            <w:tcW w:w="1051" w:type="dxa"/>
          </w:tcPr>
          <w:p w14:paraId="18DA5628"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172.9</w:t>
            </w:r>
          </w:p>
        </w:tc>
      </w:tr>
      <w:tr w:rsidR="00F46B05" w:rsidRPr="00F46B05" w14:paraId="23ACAB67" w14:textId="77777777" w:rsidTr="00F46B05">
        <w:trPr>
          <w:trHeight w:val="708"/>
        </w:trPr>
        <w:tc>
          <w:tcPr>
            <w:tcW w:w="1355" w:type="dxa"/>
          </w:tcPr>
          <w:p w14:paraId="16088026" w14:textId="77777777" w:rsidR="00F46B05" w:rsidRPr="00F46B05" w:rsidRDefault="00F46B05" w:rsidP="000B582A">
            <w:pPr>
              <w:spacing w:line="480" w:lineRule="auto"/>
              <w:jc w:val="both"/>
              <w:rPr>
                <w:rFonts w:ascii="Times New Roman" w:eastAsia="Times New Roman" w:hAnsi="Times New Roman" w:cs="Times New Roman"/>
                <w:sz w:val="24"/>
                <w:szCs w:val="24"/>
              </w:rPr>
            </w:pPr>
            <w:proofErr w:type="spellStart"/>
            <w:r w:rsidRPr="00F46B05">
              <w:rPr>
                <w:rFonts w:ascii="Times New Roman" w:eastAsia="Times New Roman" w:hAnsi="Times New Roman" w:cs="Times New Roman"/>
                <w:sz w:val="24"/>
                <w:szCs w:val="24"/>
              </w:rPr>
              <w:t>Homozygote</w:t>
            </w:r>
            <w:proofErr w:type="spellEnd"/>
            <w:r w:rsidRPr="00F46B05">
              <w:rPr>
                <w:rFonts w:ascii="Times New Roman" w:eastAsia="Times New Roman" w:hAnsi="Times New Roman" w:cs="Times New Roman"/>
                <w:sz w:val="24"/>
                <w:szCs w:val="24"/>
              </w:rPr>
              <w:t xml:space="preserve"> </w:t>
            </w:r>
            <w:proofErr w:type="spellStart"/>
            <w:r w:rsidRPr="00F46B05">
              <w:rPr>
                <w:rFonts w:ascii="Times New Roman" w:eastAsia="Times New Roman" w:hAnsi="Times New Roman" w:cs="Times New Roman"/>
                <w:sz w:val="24"/>
                <w:szCs w:val="24"/>
              </w:rPr>
              <w:t>variant</w:t>
            </w:r>
            <w:proofErr w:type="spellEnd"/>
          </w:p>
        </w:tc>
        <w:tc>
          <w:tcPr>
            <w:tcW w:w="1163" w:type="dxa"/>
          </w:tcPr>
          <w:p w14:paraId="5F28E2EB"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59</w:t>
            </w:r>
          </w:p>
        </w:tc>
        <w:tc>
          <w:tcPr>
            <w:tcW w:w="972" w:type="dxa"/>
          </w:tcPr>
          <w:p w14:paraId="3E9640E7"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59.2</w:t>
            </w:r>
          </w:p>
        </w:tc>
        <w:tc>
          <w:tcPr>
            <w:tcW w:w="1085" w:type="dxa"/>
          </w:tcPr>
          <w:p w14:paraId="2544B2E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73</w:t>
            </w:r>
          </w:p>
        </w:tc>
        <w:tc>
          <w:tcPr>
            <w:tcW w:w="1051" w:type="dxa"/>
          </w:tcPr>
          <w:p w14:paraId="578F878E"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76.9</w:t>
            </w:r>
          </w:p>
        </w:tc>
        <w:tc>
          <w:tcPr>
            <w:tcW w:w="1086" w:type="dxa"/>
          </w:tcPr>
          <w:p w14:paraId="38502B4D"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39</w:t>
            </w:r>
          </w:p>
        </w:tc>
        <w:tc>
          <w:tcPr>
            <w:tcW w:w="1051" w:type="dxa"/>
          </w:tcPr>
          <w:p w14:paraId="769A0535"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44.2</w:t>
            </w:r>
          </w:p>
        </w:tc>
        <w:tc>
          <w:tcPr>
            <w:tcW w:w="1086" w:type="dxa"/>
          </w:tcPr>
          <w:p w14:paraId="0DC6B319"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7</w:t>
            </w:r>
          </w:p>
        </w:tc>
        <w:tc>
          <w:tcPr>
            <w:tcW w:w="1051" w:type="dxa"/>
          </w:tcPr>
          <w:p w14:paraId="1AD18EB1"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7.1</w:t>
            </w:r>
          </w:p>
        </w:tc>
        <w:tc>
          <w:tcPr>
            <w:tcW w:w="1086" w:type="dxa"/>
          </w:tcPr>
          <w:p w14:paraId="745BD026"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119</w:t>
            </w:r>
          </w:p>
        </w:tc>
        <w:tc>
          <w:tcPr>
            <w:tcW w:w="1051" w:type="dxa"/>
          </w:tcPr>
          <w:p w14:paraId="014D365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94.0</w:t>
            </w:r>
          </w:p>
        </w:tc>
        <w:tc>
          <w:tcPr>
            <w:tcW w:w="1086" w:type="dxa"/>
          </w:tcPr>
          <w:p w14:paraId="0A29ACA7"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57</w:t>
            </w:r>
          </w:p>
        </w:tc>
        <w:tc>
          <w:tcPr>
            <w:tcW w:w="1051" w:type="dxa"/>
          </w:tcPr>
          <w:p w14:paraId="7BD1335F"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90.0</w:t>
            </w:r>
          </w:p>
        </w:tc>
      </w:tr>
      <w:tr w:rsidR="00F46B05" w:rsidRPr="00F46B05" w14:paraId="0F2A22A9" w14:textId="77777777" w:rsidTr="00F46B05">
        <w:trPr>
          <w:trHeight w:val="564"/>
        </w:trPr>
        <w:tc>
          <w:tcPr>
            <w:tcW w:w="1355" w:type="dxa"/>
          </w:tcPr>
          <w:p w14:paraId="32384F15" w14:textId="77777777" w:rsidR="00F46B05" w:rsidRPr="00F46B05" w:rsidRDefault="00F46B05" w:rsidP="000B582A">
            <w:pPr>
              <w:spacing w:line="480" w:lineRule="auto"/>
              <w:jc w:val="both"/>
              <w:rPr>
                <w:rFonts w:ascii="Times New Roman" w:eastAsia="Times New Roman" w:hAnsi="Times New Roman" w:cs="Times New Roman"/>
                <w:sz w:val="24"/>
                <w:szCs w:val="24"/>
              </w:rPr>
            </w:pPr>
            <w:proofErr w:type="spellStart"/>
            <w:r w:rsidRPr="00F46B05">
              <w:rPr>
                <w:rFonts w:ascii="Times New Roman" w:eastAsia="Times New Roman" w:hAnsi="Times New Roman" w:cs="Times New Roman"/>
                <w:sz w:val="24"/>
                <w:szCs w:val="24"/>
              </w:rPr>
              <w:t>Variant</w:t>
            </w:r>
            <w:proofErr w:type="spellEnd"/>
            <w:r w:rsidRPr="00F46B05">
              <w:rPr>
                <w:rFonts w:ascii="Times New Roman" w:eastAsia="Times New Roman" w:hAnsi="Times New Roman" w:cs="Times New Roman"/>
                <w:sz w:val="24"/>
                <w:szCs w:val="24"/>
              </w:rPr>
              <w:t xml:space="preserve"> </w:t>
            </w:r>
            <w:proofErr w:type="spellStart"/>
            <w:r w:rsidRPr="00F46B05">
              <w:rPr>
                <w:rFonts w:ascii="Times New Roman" w:eastAsia="Times New Roman" w:hAnsi="Times New Roman" w:cs="Times New Roman"/>
                <w:sz w:val="24"/>
                <w:szCs w:val="24"/>
              </w:rPr>
              <w:t>allele</w:t>
            </w:r>
            <w:proofErr w:type="spellEnd"/>
            <w:r w:rsidRPr="00F46B05">
              <w:rPr>
                <w:rFonts w:ascii="Times New Roman" w:eastAsia="Times New Roman" w:hAnsi="Times New Roman" w:cs="Times New Roman"/>
                <w:sz w:val="24"/>
                <w:szCs w:val="24"/>
              </w:rPr>
              <w:t xml:space="preserve"> </w:t>
            </w:r>
            <w:proofErr w:type="spellStart"/>
            <w:r w:rsidRPr="00F46B05">
              <w:rPr>
                <w:rFonts w:ascii="Times New Roman" w:eastAsia="Times New Roman" w:hAnsi="Times New Roman" w:cs="Times New Roman"/>
                <w:sz w:val="24"/>
                <w:szCs w:val="24"/>
              </w:rPr>
              <w:t>frequency</w:t>
            </w:r>
            <w:proofErr w:type="spellEnd"/>
          </w:p>
        </w:tc>
        <w:tc>
          <w:tcPr>
            <w:tcW w:w="2135" w:type="dxa"/>
            <w:gridSpan w:val="2"/>
          </w:tcPr>
          <w:p w14:paraId="353EA91A"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0.40</w:t>
            </w:r>
          </w:p>
        </w:tc>
        <w:tc>
          <w:tcPr>
            <w:tcW w:w="2136" w:type="dxa"/>
            <w:gridSpan w:val="2"/>
          </w:tcPr>
          <w:p w14:paraId="3FEA276F"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0.46</w:t>
            </w:r>
          </w:p>
        </w:tc>
        <w:tc>
          <w:tcPr>
            <w:tcW w:w="2137" w:type="dxa"/>
            <w:gridSpan w:val="2"/>
          </w:tcPr>
          <w:p w14:paraId="14F790C3"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0.35</w:t>
            </w:r>
          </w:p>
        </w:tc>
        <w:tc>
          <w:tcPr>
            <w:tcW w:w="2137" w:type="dxa"/>
            <w:gridSpan w:val="2"/>
          </w:tcPr>
          <w:p w14:paraId="78794E98"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0.14</w:t>
            </w:r>
          </w:p>
        </w:tc>
        <w:tc>
          <w:tcPr>
            <w:tcW w:w="2137" w:type="dxa"/>
            <w:gridSpan w:val="2"/>
          </w:tcPr>
          <w:p w14:paraId="60C9218A"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0.51</w:t>
            </w:r>
          </w:p>
        </w:tc>
        <w:tc>
          <w:tcPr>
            <w:tcW w:w="2137" w:type="dxa"/>
            <w:gridSpan w:val="2"/>
          </w:tcPr>
          <w:p w14:paraId="1F18A2CC"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0.51</w:t>
            </w:r>
          </w:p>
        </w:tc>
      </w:tr>
      <w:tr w:rsidR="00F46B05" w:rsidRPr="00F46B05" w14:paraId="14D9B6CA" w14:textId="77777777" w:rsidTr="00F46B05">
        <w:trPr>
          <w:trHeight w:val="379"/>
        </w:trPr>
        <w:tc>
          <w:tcPr>
            <w:tcW w:w="1355" w:type="dxa"/>
          </w:tcPr>
          <w:p w14:paraId="5E8069DC" w14:textId="77777777" w:rsidR="00F46B05" w:rsidRPr="00F46B05" w:rsidRDefault="00F46B05" w:rsidP="000B582A">
            <w:pPr>
              <w:spacing w:line="480" w:lineRule="auto"/>
              <w:jc w:val="both"/>
              <w:rPr>
                <w:rFonts w:ascii="Times New Roman" w:eastAsia="Times New Roman" w:hAnsi="Times New Roman" w:cs="Times New Roman"/>
                <w:sz w:val="24"/>
                <w:szCs w:val="24"/>
              </w:rPr>
            </w:pPr>
            <w:r w:rsidRPr="00F46B05">
              <w:rPr>
                <w:rFonts w:ascii="Symbol" w:eastAsia="Times New Roman" w:hAnsi="Symbol" w:cs="Times New Roman"/>
                <w:sz w:val="24"/>
                <w:szCs w:val="24"/>
              </w:rPr>
              <w:lastRenderedPageBreak/>
              <w:t></w:t>
            </w:r>
            <w:r w:rsidRPr="00F46B05">
              <w:rPr>
                <w:rFonts w:ascii="Symbol" w:eastAsia="Times New Roman" w:hAnsi="Symbol" w:cs="Times New Roman"/>
                <w:sz w:val="24"/>
                <w:szCs w:val="24"/>
                <w:vertAlign w:val="superscript"/>
              </w:rPr>
              <w:t></w:t>
            </w:r>
          </w:p>
        </w:tc>
        <w:tc>
          <w:tcPr>
            <w:tcW w:w="2135" w:type="dxa"/>
            <w:gridSpan w:val="2"/>
          </w:tcPr>
          <w:p w14:paraId="7F6A0D29"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0.002</w:t>
            </w:r>
          </w:p>
        </w:tc>
        <w:tc>
          <w:tcPr>
            <w:tcW w:w="2136" w:type="dxa"/>
            <w:gridSpan w:val="2"/>
          </w:tcPr>
          <w:p w14:paraId="2287E1D8"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0.664</w:t>
            </w:r>
          </w:p>
        </w:tc>
        <w:tc>
          <w:tcPr>
            <w:tcW w:w="2137" w:type="dxa"/>
            <w:gridSpan w:val="2"/>
          </w:tcPr>
          <w:p w14:paraId="51EFF05D"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1.433</w:t>
            </w:r>
          </w:p>
        </w:tc>
        <w:tc>
          <w:tcPr>
            <w:tcW w:w="2137" w:type="dxa"/>
            <w:gridSpan w:val="2"/>
          </w:tcPr>
          <w:p w14:paraId="7CE4F1E7"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0.003</w:t>
            </w:r>
          </w:p>
        </w:tc>
        <w:tc>
          <w:tcPr>
            <w:tcW w:w="2137" w:type="dxa"/>
            <w:gridSpan w:val="2"/>
          </w:tcPr>
          <w:p w14:paraId="76212E1D"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27.433</w:t>
            </w:r>
          </w:p>
        </w:tc>
        <w:tc>
          <w:tcPr>
            <w:tcW w:w="2137" w:type="dxa"/>
            <w:gridSpan w:val="2"/>
          </w:tcPr>
          <w:p w14:paraId="71F310D5"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50.508</w:t>
            </w:r>
          </w:p>
        </w:tc>
      </w:tr>
      <w:tr w:rsidR="00F46B05" w:rsidRPr="00F46B05" w14:paraId="36E2AEFF" w14:textId="77777777" w:rsidTr="00F46B05">
        <w:trPr>
          <w:trHeight w:val="690"/>
        </w:trPr>
        <w:tc>
          <w:tcPr>
            <w:tcW w:w="1355" w:type="dxa"/>
          </w:tcPr>
          <w:p w14:paraId="7F461D26" w14:textId="77777777" w:rsidR="00F46B05" w:rsidRPr="00F46B05" w:rsidRDefault="00F46B05" w:rsidP="000B582A">
            <w:pPr>
              <w:spacing w:line="480" w:lineRule="auto"/>
              <w:jc w:val="both"/>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 xml:space="preserve">p (1 </w:t>
            </w:r>
            <w:proofErr w:type="spellStart"/>
            <w:r w:rsidRPr="00F46B05">
              <w:rPr>
                <w:rFonts w:ascii="Times New Roman" w:eastAsia="Times New Roman" w:hAnsi="Times New Roman" w:cs="Times New Roman"/>
                <w:sz w:val="24"/>
                <w:szCs w:val="24"/>
              </w:rPr>
              <w:t>degree</w:t>
            </w:r>
            <w:proofErr w:type="spellEnd"/>
            <w:r w:rsidRPr="00F46B05">
              <w:rPr>
                <w:rFonts w:ascii="Times New Roman" w:eastAsia="Times New Roman" w:hAnsi="Times New Roman" w:cs="Times New Roman"/>
                <w:sz w:val="24"/>
                <w:szCs w:val="24"/>
              </w:rPr>
              <w:t xml:space="preserve"> </w:t>
            </w:r>
            <w:proofErr w:type="spellStart"/>
            <w:r w:rsidRPr="00F46B05">
              <w:rPr>
                <w:rFonts w:ascii="Times New Roman" w:eastAsia="Times New Roman" w:hAnsi="Times New Roman" w:cs="Times New Roman"/>
                <w:sz w:val="24"/>
                <w:szCs w:val="24"/>
              </w:rPr>
              <w:t>of</w:t>
            </w:r>
            <w:proofErr w:type="spellEnd"/>
            <w:r w:rsidRPr="00F46B05">
              <w:rPr>
                <w:rFonts w:ascii="Times New Roman" w:eastAsia="Times New Roman" w:hAnsi="Times New Roman" w:cs="Times New Roman"/>
                <w:sz w:val="24"/>
                <w:szCs w:val="24"/>
              </w:rPr>
              <w:t xml:space="preserve"> </w:t>
            </w:r>
            <w:proofErr w:type="spellStart"/>
            <w:r w:rsidRPr="00F46B05">
              <w:rPr>
                <w:rFonts w:ascii="Times New Roman" w:eastAsia="Times New Roman" w:hAnsi="Times New Roman" w:cs="Times New Roman"/>
                <w:sz w:val="24"/>
                <w:szCs w:val="24"/>
              </w:rPr>
              <w:t>freedom</w:t>
            </w:r>
            <w:proofErr w:type="spellEnd"/>
            <w:r w:rsidRPr="00F46B05">
              <w:rPr>
                <w:rFonts w:ascii="Times New Roman" w:eastAsia="Times New Roman" w:hAnsi="Times New Roman" w:cs="Times New Roman"/>
                <w:sz w:val="24"/>
                <w:szCs w:val="24"/>
              </w:rPr>
              <w:t>)</w:t>
            </w:r>
          </w:p>
        </w:tc>
        <w:tc>
          <w:tcPr>
            <w:tcW w:w="2135" w:type="dxa"/>
            <w:gridSpan w:val="2"/>
          </w:tcPr>
          <w:p w14:paraId="3FD93CBB"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0.965</w:t>
            </w:r>
          </w:p>
        </w:tc>
        <w:tc>
          <w:tcPr>
            <w:tcW w:w="2136" w:type="dxa"/>
            <w:gridSpan w:val="2"/>
          </w:tcPr>
          <w:p w14:paraId="0BFBAA6D"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0.415</w:t>
            </w:r>
          </w:p>
        </w:tc>
        <w:tc>
          <w:tcPr>
            <w:tcW w:w="2137" w:type="dxa"/>
            <w:gridSpan w:val="2"/>
          </w:tcPr>
          <w:p w14:paraId="50C5DEEE"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0.231</w:t>
            </w:r>
          </w:p>
        </w:tc>
        <w:tc>
          <w:tcPr>
            <w:tcW w:w="2137" w:type="dxa"/>
            <w:gridSpan w:val="2"/>
          </w:tcPr>
          <w:p w14:paraId="5206274D"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0.956</w:t>
            </w:r>
          </w:p>
        </w:tc>
        <w:tc>
          <w:tcPr>
            <w:tcW w:w="2137" w:type="dxa"/>
            <w:gridSpan w:val="2"/>
          </w:tcPr>
          <w:p w14:paraId="511EA2D1"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0.000</w:t>
            </w:r>
          </w:p>
        </w:tc>
        <w:tc>
          <w:tcPr>
            <w:tcW w:w="2137" w:type="dxa"/>
            <w:gridSpan w:val="2"/>
          </w:tcPr>
          <w:p w14:paraId="1F5910B5"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0.000</w:t>
            </w:r>
          </w:p>
        </w:tc>
      </w:tr>
      <w:tr w:rsidR="00F46B05" w:rsidRPr="00F46B05" w14:paraId="01C922DE" w14:textId="77777777" w:rsidTr="00F46B05">
        <w:trPr>
          <w:trHeight w:val="363"/>
        </w:trPr>
        <w:tc>
          <w:tcPr>
            <w:tcW w:w="1355" w:type="dxa"/>
          </w:tcPr>
          <w:p w14:paraId="31602BCD" w14:textId="77777777" w:rsidR="00F46B05" w:rsidRPr="00F46B05" w:rsidRDefault="00F46B05" w:rsidP="000B582A">
            <w:pPr>
              <w:spacing w:line="480" w:lineRule="auto"/>
              <w:jc w:val="both"/>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Global MAF</w:t>
            </w:r>
          </w:p>
        </w:tc>
        <w:tc>
          <w:tcPr>
            <w:tcW w:w="2135" w:type="dxa"/>
            <w:gridSpan w:val="2"/>
          </w:tcPr>
          <w:p w14:paraId="517D3608"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0.396</w:t>
            </w:r>
          </w:p>
        </w:tc>
        <w:tc>
          <w:tcPr>
            <w:tcW w:w="2136" w:type="dxa"/>
            <w:gridSpan w:val="2"/>
          </w:tcPr>
          <w:p w14:paraId="4B8EB396"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0.384</w:t>
            </w:r>
          </w:p>
        </w:tc>
        <w:tc>
          <w:tcPr>
            <w:tcW w:w="2137" w:type="dxa"/>
            <w:gridSpan w:val="2"/>
          </w:tcPr>
          <w:p w14:paraId="3C8C63CC"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0.323</w:t>
            </w:r>
          </w:p>
        </w:tc>
        <w:tc>
          <w:tcPr>
            <w:tcW w:w="2137" w:type="dxa"/>
            <w:gridSpan w:val="2"/>
          </w:tcPr>
          <w:p w14:paraId="70DD6EEF"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0.086</w:t>
            </w:r>
          </w:p>
        </w:tc>
        <w:tc>
          <w:tcPr>
            <w:tcW w:w="2137" w:type="dxa"/>
            <w:gridSpan w:val="2"/>
          </w:tcPr>
          <w:p w14:paraId="79F5C141"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0.476</w:t>
            </w:r>
          </w:p>
        </w:tc>
        <w:tc>
          <w:tcPr>
            <w:tcW w:w="2137" w:type="dxa"/>
            <w:gridSpan w:val="2"/>
          </w:tcPr>
          <w:p w14:paraId="6403D32C"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0.456</w:t>
            </w:r>
          </w:p>
        </w:tc>
      </w:tr>
      <w:tr w:rsidR="00F46B05" w:rsidRPr="00F46B05" w14:paraId="7C12EE4E" w14:textId="77777777" w:rsidTr="00F46B05">
        <w:trPr>
          <w:trHeight w:val="363"/>
        </w:trPr>
        <w:tc>
          <w:tcPr>
            <w:tcW w:w="1355" w:type="dxa"/>
          </w:tcPr>
          <w:p w14:paraId="1C4B56FF" w14:textId="77777777" w:rsidR="00F46B05" w:rsidRPr="00F46B05" w:rsidRDefault="00F46B05" w:rsidP="000B582A">
            <w:pPr>
              <w:spacing w:line="480" w:lineRule="auto"/>
              <w:jc w:val="both"/>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CEU MAF</w:t>
            </w:r>
          </w:p>
        </w:tc>
        <w:tc>
          <w:tcPr>
            <w:tcW w:w="2135" w:type="dxa"/>
            <w:gridSpan w:val="2"/>
          </w:tcPr>
          <w:p w14:paraId="11553EE5"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0.442</w:t>
            </w:r>
          </w:p>
        </w:tc>
        <w:tc>
          <w:tcPr>
            <w:tcW w:w="2136" w:type="dxa"/>
            <w:gridSpan w:val="2"/>
          </w:tcPr>
          <w:p w14:paraId="0E5AA1E6"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0.456</w:t>
            </w:r>
          </w:p>
        </w:tc>
        <w:tc>
          <w:tcPr>
            <w:tcW w:w="2137" w:type="dxa"/>
            <w:gridSpan w:val="2"/>
          </w:tcPr>
          <w:p w14:paraId="4601ABB4"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0.282</w:t>
            </w:r>
          </w:p>
        </w:tc>
        <w:tc>
          <w:tcPr>
            <w:tcW w:w="2137" w:type="dxa"/>
            <w:gridSpan w:val="2"/>
          </w:tcPr>
          <w:p w14:paraId="4924E63E"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0.240</w:t>
            </w:r>
          </w:p>
        </w:tc>
        <w:tc>
          <w:tcPr>
            <w:tcW w:w="2137" w:type="dxa"/>
            <w:gridSpan w:val="2"/>
          </w:tcPr>
          <w:p w14:paraId="27A1A7CD"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0.358</w:t>
            </w:r>
          </w:p>
        </w:tc>
        <w:tc>
          <w:tcPr>
            <w:tcW w:w="2137" w:type="dxa"/>
            <w:gridSpan w:val="2"/>
          </w:tcPr>
          <w:p w14:paraId="7FAF1DB0" w14:textId="77777777" w:rsidR="00F46B05" w:rsidRPr="00F46B05" w:rsidRDefault="00F46B05" w:rsidP="000B582A">
            <w:pPr>
              <w:spacing w:line="480" w:lineRule="auto"/>
              <w:jc w:val="center"/>
              <w:rPr>
                <w:rFonts w:ascii="Times New Roman" w:eastAsia="Times New Roman" w:hAnsi="Times New Roman" w:cs="Times New Roman"/>
                <w:sz w:val="24"/>
                <w:szCs w:val="24"/>
              </w:rPr>
            </w:pPr>
            <w:r w:rsidRPr="00F46B05">
              <w:rPr>
                <w:rFonts w:ascii="Times New Roman" w:eastAsia="Times New Roman" w:hAnsi="Times New Roman" w:cs="Times New Roman"/>
                <w:sz w:val="24"/>
                <w:szCs w:val="24"/>
              </w:rPr>
              <w:t>0.381</w:t>
            </w:r>
          </w:p>
        </w:tc>
      </w:tr>
    </w:tbl>
    <w:p w14:paraId="16FD2C89" w14:textId="77777777" w:rsidR="00F46B05" w:rsidRPr="00F46B05" w:rsidRDefault="00F46B05" w:rsidP="000B582A">
      <w:pPr>
        <w:spacing w:line="480" w:lineRule="auto"/>
        <w:jc w:val="both"/>
        <w:rPr>
          <w:rFonts w:ascii="Times New Roman" w:hAnsi="Times New Roman" w:cs="Times New Roman"/>
          <w:sz w:val="24"/>
          <w:szCs w:val="24"/>
        </w:rPr>
        <w:sectPr w:rsidR="00F46B05" w:rsidRPr="00F46B05" w:rsidSect="00F46B05">
          <w:pgSz w:w="15840" w:h="12240" w:orient="landscape"/>
          <w:pgMar w:top="1440" w:right="1440" w:bottom="1440" w:left="1440" w:header="720" w:footer="720" w:gutter="0"/>
          <w:pgNumType w:start="1"/>
          <w:cols w:space="720"/>
        </w:sectPr>
      </w:pPr>
    </w:p>
    <w:p w14:paraId="51785BAA" w14:textId="7223C617" w:rsidR="00107DCD" w:rsidRDefault="00107DCD" w:rsidP="000B582A">
      <w:pPr>
        <w:pStyle w:val="Naslov2"/>
        <w:spacing w:line="480" w:lineRule="auto"/>
        <w:jc w:val="both"/>
      </w:pPr>
      <w:bookmarkStart w:id="13" w:name="_Toc64274769"/>
      <w:r>
        <w:lastRenderedPageBreak/>
        <w:t>Definition of response to treatment variables</w:t>
      </w:r>
      <w:bookmarkEnd w:id="13"/>
    </w:p>
    <w:p w14:paraId="5CDD6347" w14:textId="77777777" w:rsidR="00AB1F90" w:rsidRPr="00AB1F90" w:rsidRDefault="00AB1F90" w:rsidP="000B582A">
      <w:pPr>
        <w:spacing w:line="480" w:lineRule="auto"/>
      </w:pPr>
    </w:p>
    <w:p w14:paraId="5242519B" w14:textId="2DD919AE" w:rsidR="00107DCD" w:rsidRPr="003252EE" w:rsidRDefault="00B24C9A" w:rsidP="000B582A">
      <w:pPr>
        <w:spacing w:line="480" w:lineRule="auto"/>
        <w:rPr>
          <w:rFonts w:ascii="Times New Roman" w:hAnsi="Times New Roman" w:cs="Times New Roman"/>
          <w:sz w:val="24"/>
          <w:szCs w:val="24"/>
        </w:rPr>
      </w:pPr>
      <w:r>
        <w:rPr>
          <w:rFonts w:ascii="Times New Roman" w:hAnsi="Times New Roman" w:cs="Times New Roman"/>
          <w:sz w:val="24"/>
          <w:szCs w:val="24"/>
        </w:rPr>
        <w:t>Table S3</w:t>
      </w:r>
      <w:r w:rsidR="00107DCD" w:rsidRPr="003252EE">
        <w:rPr>
          <w:rFonts w:ascii="Times New Roman" w:hAnsi="Times New Roman" w:cs="Times New Roman"/>
          <w:sz w:val="24"/>
          <w:szCs w:val="24"/>
        </w:rPr>
        <w:t xml:space="preserve">. Detailed explanation of how each response to treatment variable was defined. </w:t>
      </w:r>
    </w:p>
    <w:p w14:paraId="6CB33612" w14:textId="77777777" w:rsidR="00107DCD" w:rsidRPr="00107DCD" w:rsidRDefault="00107DCD" w:rsidP="000B582A">
      <w:pPr>
        <w:spacing w:line="480" w:lineRule="auto"/>
        <w:jc w:val="both"/>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515"/>
      </w:tblGrid>
      <w:tr w:rsidR="00107DCD" w:rsidRPr="00107DCD" w14:paraId="08050CB3" w14:textId="77777777" w:rsidTr="00AB1F90">
        <w:tc>
          <w:tcPr>
            <w:tcW w:w="1515" w:type="dxa"/>
            <w:shd w:val="clear" w:color="auto" w:fill="D9D9D9" w:themeFill="background1" w:themeFillShade="D9"/>
            <w:tcMar>
              <w:top w:w="100" w:type="dxa"/>
              <w:left w:w="100" w:type="dxa"/>
              <w:bottom w:w="100" w:type="dxa"/>
              <w:right w:w="100" w:type="dxa"/>
            </w:tcMar>
          </w:tcPr>
          <w:p w14:paraId="623A520F" w14:textId="77777777" w:rsidR="00107DCD" w:rsidRPr="00AB1F90" w:rsidRDefault="00107DCD" w:rsidP="000B582A">
            <w:pPr>
              <w:spacing w:after="160" w:line="480" w:lineRule="auto"/>
              <w:jc w:val="both"/>
              <w:rPr>
                <w:rFonts w:ascii="Times New Roman" w:eastAsia="Times New Roman" w:hAnsi="Times New Roman" w:cs="Times New Roman"/>
                <w:sz w:val="24"/>
                <w:szCs w:val="24"/>
                <w:lang w:val="en-US"/>
              </w:rPr>
            </w:pPr>
            <w:r w:rsidRPr="00AB1F90">
              <w:rPr>
                <w:rFonts w:ascii="Times New Roman" w:eastAsia="Times New Roman" w:hAnsi="Times New Roman" w:cs="Times New Roman"/>
                <w:sz w:val="24"/>
                <w:szCs w:val="24"/>
                <w:lang w:val="en-US"/>
              </w:rPr>
              <w:t>Lung function</w:t>
            </w:r>
          </w:p>
        </w:tc>
        <w:tc>
          <w:tcPr>
            <w:tcW w:w="7515" w:type="dxa"/>
            <w:shd w:val="clear" w:color="auto" w:fill="auto"/>
            <w:tcMar>
              <w:top w:w="100" w:type="dxa"/>
              <w:left w:w="100" w:type="dxa"/>
              <w:bottom w:w="100" w:type="dxa"/>
              <w:right w:w="100" w:type="dxa"/>
            </w:tcMar>
          </w:tcPr>
          <w:p w14:paraId="726AE589" w14:textId="0515104E" w:rsidR="00107DCD" w:rsidRPr="00107DCD" w:rsidRDefault="002F3BA6" w:rsidP="000B582A">
            <w:pPr>
              <w:spacing w:after="160" w:line="480" w:lineRule="auto"/>
              <w:jc w:val="both"/>
              <w:rPr>
                <w:rFonts w:ascii="Times New Roman" w:eastAsia="Times New Roman" w:hAnsi="Times New Roman" w:cs="Times New Roman"/>
                <w:sz w:val="24"/>
                <w:szCs w:val="24"/>
                <w:lang w:val="en-US"/>
              </w:rPr>
            </w:pPr>
            <w:r w:rsidRPr="002F3BA6">
              <w:rPr>
                <w:rFonts w:ascii="Times New Roman" w:eastAsia="Times New Roman" w:hAnsi="Times New Roman" w:cs="Times New Roman"/>
                <w:b/>
                <w:sz w:val="24"/>
                <w:szCs w:val="24"/>
                <w:highlight w:val="yellow"/>
                <w:lang w:val="en-US"/>
              </w:rPr>
              <w:t>Poor</w:t>
            </w:r>
            <w:r w:rsidR="00107DCD" w:rsidRPr="00AB1F90">
              <w:rPr>
                <w:rFonts w:ascii="Times New Roman" w:eastAsia="Times New Roman" w:hAnsi="Times New Roman" w:cs="Times New Roman"/>
                <w:b/>
                <w:sz w:val="24"/>
                <w:szCs w:val="24"/>
                <w:lang w:val="en-US"/>
              </w:rPr>
              <w:t xml:space="preserve"> response</w:t>
            </w:r>
            <w:r w:rsidR="00107DCD" w:rsidRPr="00107DCD">
              <w:rPr>
                <w:rFonts w:ascii="Times New Roman" w:eastAsia="Times New Roman" w:hAnsi="Times New Roman" w:cs="Times New Roman"/>
                <w:sz w:val="24"/>
                <w:szCs w:val="24"/>
                <w:lang w:val="en-US"/>
              </w:rPr>
              <w:t xml:space="preserve"> to treatment according to changes in FEV</w:t>
            </w:r>
            <w:r w:rsidR="00107DCD" w:rsidRPr="00107DCD">
              <w:rPr>
                <w:rFonts w:ascii="Times New Roman" w:eastAsia="Times New Roman" w:hAnsi="Times New Roman" w:cs="Times New Roman"/>
                <w:sz w:val="24"/>
                <w:szCs w:val="24"/>
                <w:vertAlign w:val="subscript"/>
                <w:lang w:val="en-US"/>
              </w:rPr>
              <w:t>1</w:t>
            </w:r>
            <w:r w:rsidR="00107DCD" w:rsidRPr="00107DCD">
              <w:rPr>
                <w:rFonts w:ascii="Times New Roman" w:eastAsia="Times New Roman" w:hAnsi="Times New Roman" w:cs="Times New Roman"/>
                <w:sz w:val="24"/>
                <w:szCs w:val="24"/>
                <w:lang w:val="en-US"/>
              </w:rPr>
              <w:t xml:space="preserve"> was defined as a decrease in FEV</w:t>
            </w:r>
            <w:r w:rsidR="00107DCD" w:rsidRPr="00107DCD">
              <w:rPr>
                <w:rFonts w:ascii="Times New Roman" w:eastAsia="Times New Roman" w:hAnsi="Times New Roman" w:cs="Times New Roman"/>
                <w:sz w:val="24"/>
                <w:szCs w:val="24"/>
                <w:vertAlign w:val="subscript"/>
                <w:lang w:val="en-US"/>
              </w:rPr>
              <w:t>1</w:t>
            </w:r>
            <w:r w:rsidR="00107DCD" w:rsidRPr="00107DCD">
              <w:rPr>
                <w:rFonts w:ascii="Times New Roman" w:eastAsia="Gungsuh" w:hAnsi="Times New Roman" w:cs="Times New Roman"/>
                <w:sz w:val="24"/>
                <w:szCs w:val="24"/>
                <w:lang w:val="en-US"/>
              </w:rPr>
              <w:t xml:space="preserve"> predicted (for children of certain age, gender and posture) by </w:t>
            </w:r>
            <w:r w:rsidR="00107DCD" w:rsidRPr="002F3BA6">
              <w:rPr>
                <w:rFonts w:ascii="Times New Roman" w:eastAsia="Gungsuh" w:hAnsi="Times New Roman" w:cs="Times New Roman"/>
                <w:sz w:val="24"/>
                <w:szCs w:val="24"/>
                <w:lang w:val="en-US"/>
              </w:rPr>
              <w:t>1</w:t>
            </w:r>
            <w:r w:rsidRPr="002F3BA6">
              <w:rPr>
                <w:rFonts w:ascii="Times New Roman" w:eastAsia="Gungsuh" w:hAnsi="Times New Roman" w:cs="Times New Roman"/>
                <w:sz w:val="24"/>
                <w:szCs w:val="24"/>
                <w:lang w:val="en-US"/>
              </w:rPr>
              <w:t>0</w:t>
            </w:r>
            <w:r w:rsidR="00107DCD" w:rsidRPr="002F3BA6">
              <w:rPr>
                <w:rFonts w:ascii="Times New Roman" w:eastAsia="Gungsuh" w:hAnsi="Times New Roman" w:cs="Times New Roman"/>
                <w:sz w:val="24"/>
                <w:szCs w:val="24"/>
                <w:lang w:val="en-US"/>
              </w:rPr>
              <w:t>%</w:t>
            </w:r>
            <w:r w:rsidR="00107DCD" w:rsidRPr="00107DCD">
              <w:rPr>
                <w:rFonts w:ascii="Times New Roman" w:eastAsia="Gungsuh" w:hAnsi="Times New Roman" w:cs="Times New Roman"/>
                <w:sz w:val="24"/>
                <w:szCs w:val="24"/>
                <w:lang w:val="en-US"/>
              </w:rPr>
              <w:t xml:space="preserve"> or more between clinical visits/follow-ups (≤10%). </w:t>
            </w:r>
            <w:r w:rsidR="00107DCD" w:rsidRPr="00AB1F90">
              <w:rPr>
                <w:rFonts w:ascii="Times New Roman" w:eastAsia="Gungsuh" w:hAnsi="Times New Roman" w:cs="Times New Roman"/>
                <w:b/>
                <w:sz w:val="24"/>
                <w:szCs w:val="24"/>
                <w:lang w:val="en-US"/>
              </w:rPr>
              <w:t>Moderate response</w:t>
            </w:r>
            <w:r w:rsidR="00107DCD" w:rsidRPr="00107DCD">
              <w:rPr>
                <w:rFonts w:ascii="Times New Roman" w:eastAsia="Gungsuh" w:hAnsi="Times New Roman" w:cs="Times New Roman"/>
                <w:sz w:val="24"/>
                <w:szCs w:val="24"/>
                <w:lang w:val="en-US"/>
              </w:rPr>
              <w:t xml:space="preserve"> to treatment according to changes in FEV</w:t>
            </w:r>
            <w:r w:rsidR="00107DCD" w:rsidRPr="00107DCD">
              <w:rPr>
                <w:rFonts w:ascii="Times New Roman" w:eastAsia="Times New Roman" w:hAnsi="Times New Roman" w:cs="Times New Roman"/>
                <w:sz w:val="24"/>
                <w:szCs w:val="24"/>
                <w:vertAlign w:val="subscript"/>
                <w:lang w:val="en-US"/>
              </w:rPr>
              <w:t>1</w:t>
            </w:r>
            <w:r w:rsidR="00107DCD" w:rsidRPr="00107DCD">
              <w:rPr>
                <w:rFonts w:ascii="Times New Roman" w:eastAsia="Times New Roman" w:hAnsi="Times New Roman" w:cs="Times New Roman"/>
                <w:sz w:val="24"/>
                <w:szCs w:val="24"/>
                <w:lang w:val="en-US"/>
              </w:rPr>
              <w:t xml:space="preserve"> was defined as a relative change in FEV</w:t>
            </w:r>
            <w:r w:rsidR="00107DCD" w:rsidRPr="00107DCD">
              <w:rPr>
                <w:rFonts w:ascii="Times New Roman" w:eastAsia="Times New Roman" w:hAnsi="Times New Roman" w:cs="Times New Roman"/>
                <w:sz w:val="24"/>
                <w:szCs w:val="24"/>
                <w:vertAlign w:val="subscript"/>
                <w:lang w:val="en-US"/>
              </w:rPr>
              <w:t>1</w:t>
            </w:r>
            <w:r w:rsidR="00107DCD" w:rsidRPr="00107DCD">
              <w:rPr>
                <w:rFonts w:ascii="Times New Roman" w:eastAsia="Times New Roman" w:hAnsi="Times New Roman" w:cs="Times New Roman"/>
                <w:sz w:val="24"/>
                <w:szCs w:val="24"/>
                <w:lang w:val="en-US"/>
              </w:rPr>
              <w:t xml:space="preserve"> predicted </w:t>
            </w:r>
            <w:r w:rsidR="00107DCD" w:rsidRPr="002F3BA6">
              <w:rPr>
                <w:rFonts w:ascii="Times New Roman" w:eastAsia="Times New Roman" w:hAnsi="Times New Roman" w:cs="Times New Roman"/>
                <w:sz w:val="24"/>
                <w:szCs w:val="24"/>
                <w:highlight w:val="yellow"/>
                <w:lang w:val="en-US"/>
              </w:rPr>
              <w:t>by ±</w:t>
            </w:r>
            <w:r w:rsidRPr="002F3BA6">
              <w:rPr>
                <w:rFonts w:ascii="Times New Roman" w:eastAsia="Times New Roman" w:hAnsi="Times New Roman" w:cs="Times New Roman"/>
                <w:sz w:val="24"/>
                <w:szCs w:val="24"/>
                <w:highlight w:val="yellow"/>
                <w:lang w:val="en-US"/>
              </w:rPr>
              <w:t>9</w:t>
            </w:r>
            <w:r w:rsidR="00107DCD" w:rsidRPr="002F3BA6">
              <w:rPr>
                <w:rFonts w:ascii="Times New Roman" w:eastAsia="Times New Roman" w:hAnsi="Times New Roman" w:cs="Times New Roman"/>
                <w:sz w:val="24"/>
                <w:szCs w:val="24"/>
                <w:highlight w:val="yellow"/>
                <w:lang w:val="en-US"/>
              </w:rPr>
              <w:t>%</w:t>
            </w:r>
            <w:r w:rsidR="00107DCD" w:rsidRPr="00107DCD">
              <w:rPr>
                <w:rFonts w:ascii="Times New Roman" w:eastAsia="Times New Roman" w:hAnsi="Times New Roman" w:cs="Times New Roman"/>
                <w:sz w:val="24"/>
                <w:szCs w:val="24"/>
                <w:lang w:val="en-US"/>
              </w:rPr>
              <w:t xml:space="preserve"> and </w:t>
            </w:r>
            <w:r w:rsidR="00107DCD" w:rsidRPr="00AB1F90">
              <w:rPr>
                <w:rFonts w:ascii="Times New Roman" w:eastAsia="Times New Roman" w:hAnsi="Times New Roman" w:cs="Times New Roman"/>
                <w:b/>
                <w:sz w:val="24"/>
                <w:szCs w:val="24"/>
                <w:lang w:val="en-US"/>
              </w:rPr>
              <w:t>good response</w:t>
            </w:r>
            <w:r w:rsidR="00107DCD" w:rsidRPr="00107DCD">
              <w:rPr>
                <w:rFonts w:ascii="Times New Roman" w:eastAsia="Times New Roman" w:hAnsi="Times New Roman" w:cs="Times New Roman"/>
                <w:sz w:val="24"/>
                <w:szCs w:val="24"/>
                <w:lang w:val="en-US"/>
              </w:rPr>
              <w:t xml:space="preserve"> to treatment was defined as an increase in FEV</w:t>
            </w:r>
            <w:r w:rsidR="00107DCD" w:rsidRPr="00107DCD">
              <w:rPr>
                <w:rFonts w:ascii="Times New Roman" w:eastAsia="Times New Roman" w:hAnsi="Times New Roman" w:cs="Times New Roman"/>
                <w:sz w:val="24"/>
                <w:szCs w:val="24"/>
                <w:vertAlign w:val="subscript"/>
                <w:lang w:val="en-US"/>
              </w:rPr>
              <w:t>1</w:t>
            </w:r>
            <w:r w:rsidR="00107DCD" w:rsidRPr="00107DCD">
              <w:rPr>
                <w:rFonts w:ascii="Times New Roman" w:eastAsia="Gungsuh" w:hAnsi="Times New Roman" w:cs="Times New Roman"/>
                <w:sz w:val="24"/>
                <w:szCs w:val="24"/>
                <w:lang w:val="en-US"/>
              </w:rPr>
              <w:t xml:space="preserve"> predicted by </w:t>
            </w:r>
            <w:r w:rsidR="00107DCD" w:rsidRPr="002F3BA6">
              <w:rPr>
                <w:rFonts w:ascii="Times New Roman" w:eastAsia="Gungsuh" w:hAnsi="Times New Roman" w:cs="Times New Roman"/>
                <w:sz w:val="24"/>
                <w:szCs w:val="24"/>
                <w:lang w:val="en-US"/>
              </w:rPr>
              <w:t>1</w:t>
            </w:r>
            <w:r w:rsidRPr="002F3BA6">
              <w:rPr>
                <w:rFonts w:ascii="Times New Roman" w:eastAsia="Gungsuh" w:hAnsi="Times New Roman" w:cs="Times New Roman"/>
                <w:sz w:val="24"/>
                <w:szCs w:val="24"/>
                <w:lang w:val="en-US"/>
              </w:rPr>
              <w:t>0</w:t>
            </w:r>
            <w:r w:rsidR="00107DCD" w:rsidRPr="002F3BA6">
              <w:rPr>
                <w:rFonts w:ascii="Times New Roman" w:eastAsia="Gungsuh" w:hAnsi="Times New Roman" w:cs="Times New Roman"/>
                <w:sz w:val="24"/>
                <w:szCs w:val="24"/>
                <w:lang w:val="en-US"/>
              </w:rPr>
              <w:t>% or</w:t>
            </w:r>
            <w:r w:rsidR="00107DCD" w:rsidRPr="00107DCD">
              <w:rPr>
                <w:rFonts w:ascii="Times New Roman" w:eastAsia="Gungsuh" w:hAnsi="Times New Roman" w:cs="Times New Roman"/>
                <w:sz w:val="24"/>
                <w:szCs w:val="24"/>
                <w:lang w:val="en-US"/>
              </w:rPr>
              <w:t xml:space="preserve"> more (≥10%) between clinical assessments/follow-ups. </w:t>
            </w:r>
          </w:p>
          <w:p w14:paraId="09F49BAE" w14:textId="2329F7CB" w:rsidR="00107DCD" w:rsidRPr="00107DCD" w:rsidRDefault="002F3BA6" w:rsidP="000B582A">
            <w:pPr>
              <w:spacing w:after="16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Poor</w:t>
            </w:r>
            <w:r w:rsidR="00107DCD" w:rsidRPr="00AB1F90">
              <w:rPr>
                <w:rFonts w:ascii="Times New Roman" w:eastAsia="Times New Roman" w:hAnsi="Times New Roman" w:cs="Times New Roman"/>
                <w:b/>
                <w:sz w:val="24"/>
                <w:szCs w:val="24"/>
                <w:lang w:val="en-US"/>
              </w:rPr>
              <w:t xml:space="preserve"> response</w:t>
            </w:r>
            <w:r w:rsidR="00107DCD" w:rsidRPr="00107DCD">
              <w:rPr>
                <w:rFonts w:ascii="Times New Roman" w:eastAsia="Times New Roman" w:hAnsi="Times New Roman" w:cs="Times New Roman"/>
                <w:sz w:val="24"/>
                <w:szCs w:val="24"/>
                <w:lang w:val="en-US"/>
              </w:rPr>
              <w:t xml:space="preserve"> to treatment according to changes in MEF</w:t>
            </w:r>
            <w:r w:rsidR="00107DCD" w:rsidRPr="00107DCD">
              <w:rPr>
                <w:rFonts w:ascii="Times New Roman" w:eastAsia="Times New Roman" w:hAnsi="Times New Roman" w:cs="Times New Roman"/>
                <w:sz w:val="24"/>
                <w:szCs w:val="24"/>
                <w:vertAlign w:val="subscript"/>
                <w:lang w:val="en-US"/>
              </w:rPr>
              <w:t>50</w:t>
            </w:r>
            <w:r w:rsidR="00107DCD" w:rsidRPr="00107DCD">
              <w:rPr>
                <w:rFonts w:ascii="Times New Roman" w:eastAsia="Times New Roman" w:hAnsi="Times New Roman" w:cs="Times New Roman"/>
                <w:sz w:val="24"/>
                <w:szCs w:val="24"/>
                <w:lang w:val="en-US"/>
              </w:rPr>
              <w:t xml:space="preserve"> was defined as a decrease in MEF</w:t>
            </w:r>
            <w:r w:rsidR="00107DCD" w:rsidRPr="00107DCD">
              <w:rPr>
                <w:rFonts w:ascii="Times New Roman" w:eastAsia="Times New Roman" w:hAnsi="Times New Roman" w:cs="Times New Roman"/>
                <w:sz w:val="24"/>
                <w:szCs w:val="24"/>
                <w:vertAlign w:val="subscript"/>
                <w:lang w:val="en-US"/>
              </w:rPr>
              <w:t>50</w:t>
            </w:r>
            <w:r w:rsidR="00107DCD" w:rsidRPr="00107DCD">
              <w:rPr>
                <w:rFonts w:ascii="Times New Roman" w:eastAsia="Gungsuh" w:hAnsi="Times New Roman" w:cs="Times New Roman"/>
                <w:sz w:val="24"/>
                <w:szCs w:val="24"/>
                <w:lang w:val="en-US"/>
              </w:rPr>
              <w:t xml:space="preserve"> predicted by 15% or more (≤15%); </w:t>
            </w:r>
            <w:r w:rsidR="00107DCD" w:rsidRPr="00AB1F90">
              <w:rPr>
                <w:rFonts w:ascii="Times New Roman" w:eastAsia="Gungsuh" w:hAnsi="Times New Roman" w:cs="Times New Roman"/>
                <w:b/>
                <w:sz w:val="24"/>
                <w:szCs w:val="24"/>
                <w:lang w:val="en-US"/>
              </w:rPr>
              <w:t>moderate response</w:t>
            </w:r>
            <w:r w:rsidR="00107DCD" w:rsidRPr="00107DCD">
              <w:rPr>
                <w:rFonts w:ascii="Times New Roman" w:eastAsia="Gungsuh" w:hAnsi="Times New Roman" w:cs="Times New Roman"/>
                <w:sz w:val="24"/>
                <w:szCs w:val="24"/>
                <w:lang w:val="en-US"/>
              </w:rPr>
              <w:t xml:space="preserve"> was defined as a relative change in MEF</w:t>
            </w:r>
            <w:r w:rsidR="00107DCD" w:rsidRPr="00107DCD">
              <w:rPr>
                <w:rFonts w:ascii="Times New Roman" w:eastAsia="Times New Roman" w:hAnsi="Times New Roman" w:cs="Times New Roman"/>
                <w:sz w:val="24"/>
                <w:szCs w:val="24"/>
                <w:vertAlign w:val="subscript"/>
                <w:lang w:val="en-US"/>
              </w:rPr>
              <w:t>50</w:t>
            </w:r>
            <w:r w:rsidR="00107DCD" w:rsidRPr="00107DCD">
              <w:rPr>
                <w:rFonts w:ascii="Times New Roman" w:eastAsia="Times New Roman" w:hAnsi="Times New Roman" w:cs="Times New Roman"/>
                <w:sz w:val="24"/>
                <w:szCs w:val="24"/>
                <w:lang w:val="en-US"/>
              </w:rPr>
              <w:t xml:space="preserve"> predicted by </w:t>
            </w:r>
            <w:r w:rsidR="00107DCD" w:rsidRPr="002F3BA6">
              <w:rPr>
                <w:rFonts w:ascii="Times New Roman" w:eastAsia="Times New Roman" w:hAnsi="Times New Roman" w:cs="Times New Roman"/>
                <w:sz w:val="24"/>
                <w:szCs w:val="24"/>
                <w:highlight w:val="yellow"/>
                <w:lang w:val="en-US"/>
              </w:rPr>
              <w:t>±1</w:t>
            </w:r>
            <w:r w:rsidRPr="002F3BA6">
              <w:rPr>
                <w:rFonts w:ascii="Times New Roman" w:eastAsia="Times New Roman" w:hAnsi="Times New Roman" w:cs="Times New Roman"/>
                <w:sz w:val="24"/>
                <w:szCs w:val="24"/>
                <w:highlight w:val="yellow"/>
                <w:lang w:val="en-US"/>
              </w:rPr>
              <w:t>4</w:t>
            </w:r>
            <w:r w:rsidR="00107DCD" w:rsidRPr="002F3BA6">
              <w:rPr>
                <w:rFonts w:ascii="Times New Roman" w:eastAsia="Times New Roman" w:hAnsi="Times New Roman" w:cs="Times New Roman"/>
                <w:sz w:val="24"/>
                <w:szCs w:val="24"/>
                <w:highlight w:val="yellow"/>
                <w:lang w:val="en-US"/>
              </w:rPr>
              <w:t>%</w:t>
            </w:r>
            <w:r w:rsidR="00107DCD" w:rsidRPr="00107DCD">
              <w:rPr>
                <w:rFonts w:ascii="Times New Roman" w:eastAsia="Times New Roman" w:hAnsi="Times New Roman" w:cs="Times New Roman"/>
                <w:sz w:val="24"/>
                <w:szCs w:val="24"/>
                <w:lang w:val="en-US"/>
              </w:rPr>
              <w:t xml:space="preserve"> and </w:t>
            </w:r>
            <w:r w:rsidR="00107DCD" w:rsidRPr="00AB1F90">
              <w:rPr>
                <w:rFonts w:ascii="Times New Roman" w:eastAsia="Times New Roman" w:hAnsi="Times New Roman" w:cs="Times New Roman"/>
                <w:b/>
                <w:sz w:val="24"/>
                <w:szCs w:val="24"/>
                <w:lang w:val="en-US"/>
              </w:rPr>
              <w:t>good response</w:t>
            </w:r>
            <w:r w:rsidR="00107DCD" w:rsidRPr="00107DCD">
              <w:rPr>
                <w:rFonts w:ascii="Times New Roman" w:eastAsia="Times New Roman" w:hAnsi="Times New Roman" w:cs="Times New Roman"/>
                <w:sz w:val="24"/>
                <w:szCs w:val="24"/>
                <w:lang w:val="en-US"/>
              </w:rPr>
              <w:t xml:space="preserve"> to treatment was defined as an increase in MEF</w:t>
            </w:r>
            <w:r w:rsidR="00107DCD" w:rsidRPr="00107DCD">
              <w:rPr>
                <w:rFonts w:ascii="Times New Roman" w:eastAsia="Times New Roman" w:hAnsi="Times New Roman" w:cs="Times New Roman"/>
                <w:sz w:val="24"/>
                <w:szCs w:val="24"/>
                <w:vertAlign w:val="subscript"/>
                <w:lang w:val="en-US"/>
              </w:rPr>
              <w:t>50</w:t>
            </w:r>
            <w:r w:rsidR="00107DCD" w:rsidRPr="00107DCD">
              <w:rPr>
                <w:rFonts w:ascii="Times New Roman" w:eastAsia="Gungsuh" w:hAnsi="Times New Roman" w:cs="Times New Roman"/>
                <w:sz w:val="24"/>
                <w:szCs w:val="24"/>
                <w:lang w:val="en-US"/>
              </w:rPr>
              <w:t xml:space="preserve"> predicted by 15% or more (≥15%) between clinical visits/follow-ups.</w:t>
            </w:r>
            <w:r w:rsidR="00107DCD" w:rsidRPr="00107DCD">
              <w:rPr>
                <w:rFonts w:ascii="Times New Roman" w:eastAsia="Times New Roman" w:hAnsi="Times New Roman" w:cs="Times New Roman"/>
                <w:sz w:val="24"/>
                <w:szCs w:val="24"/>
                <w:lang w:val="en-US"/>
              </w:rPr>
              <w:t xml:space="preserve"> </w:t>
            </w:r>
          </w:p>
        </w:tc>
      </w:tr>
      <w:tr w:rsidR="00107DCD" w:rsidRPr="00107DCD" w14:paraId="0B828FB6" w14:textId="77777777" w:rsidTr="00AB1F90">
        <w:tc>
          <w:tcPr>
            <w:tcW w:w="1515" w:type="dxa"/>
            <w:shd w:val="clear" w:color="auto" w:fill="D9D9D9" w:themeFill="background1" w:themeFillShade="D9"/>
            <w:tcMar>
              <w:top w:w="100" w:type="dxa"/>
              <w:left w:w="100" w:type="dxa"/>
              <w:bottom w:w="100" w:type="dxa"/>
              <w:right w:w="100" w:type="dxa"/>
            </w:tcMar>
          </w:tcPr>
          <w:p w14:paraId="44C4E221" w14:textId="77777777" w:rsidR="00107DCD" w:rsidRPr="00AB1F90" w:rsidRDefault="00107DCD" w:rsidP="000B582A">
            <w:pPr>
              <w:spacing w:after="160" w:line="480" w:lineRule="auto"/>
              <w:jc w:val="both"/>
              <w:rPr>
                <w:rFonts w:ascii="Times New Roman" w:eastAsia="Times New Roman" w:hAnsi="Times New Roman" w:cs="Times New Roman"/>
                <w:sz w:val="24"/>
                <w:szCs w:val="24"/>
                <w:lang w:val="en-US"/>
              </w:rPr>
            </w:pPr>
            <w:r w:rsidRPr="00AB1F90">
              <w:rPr>
                <w:rFonts w:ascii="Times New Roman" w:eastAsia="Times New Roman" w:hAnsi="Times New Roman" w:cs="Times New Roman"/>
                <w:sz w:val="24"/>
                <w:szCs w:val="24"/>
                <w:lang w:val="en-US"/>
              </w:rPr>
              <w:t>Airway inflammation</w:t>
            </w:r>
          </w:p>
        </w:tc>
        <w:tc>
          <w:tcPr>
            <w:tcW w:w="7515" w:type="dxa"/>
            <w:shd w:val="clear" w:color="auto" w:fill="auto"/>
            <w:tcMar>
              <w:top w:w="100" w:type="dxa"/>
              <w:left w:w="100" w:type="dxa"/>
              <w:bottom w:w="100" w:type="dxa"/>
              <w:right w:w="100" w:type="dxa"/>
            </w:tcMar>
          </w:tcPr>
          <w:p w14:paraId="5023E12E" w14:textId="21DD19B4" w:rsidR="00107DCD" w:rsidRPr="00107DCD" w:rsidRDefault="00107DCD" w:rsidP="000B582A">
            <w:pPr>
              <w:spacing w:after="160" w:line="480" w:lineRule="auto"/>
              <w:jc w:val="both"/>
              <w:rPr>
                <w:rFonts w:ascii="Times New Roman" w:eastAsia="Times New Roman" w:hAnsi="Times New Roman" w:cs="Times New Roman"/>
                <w:sz w:val="24"/>
                <w:szCs w:val="24"/>
                <w:lang w:val="en-US"/>
              </w:rPr>
            </w:pPr>
            <w:r w:rsidRPr="00107DCD">
              <w:rPr>
                <w:rFonts w:ascii="Times New Roman" w:eastAsia="Gungsuh" w:hAnsi="Times New Roman" w:cs="Times New Roman"/>
                <w:sz w:val="24"/>
                <w:szCs w:val="24"/>
                <w:lang w:val="en-US"/>
              </w:rPr>
              <w:t xml:space="preserve">We used cut-off points rather than reference values when interpreting FENO levels. </w:t>
            </w:r>
            <w:r w:rsidR="002F3BA6" w:rsidRPr="002F3BA6">
              <w:rPr>
                <w:rFonts w:ascii="Times New Roman" w:eastAsia="Gungsuh" w:hAnsi="Times New Roman" w:cs="Times New Roman"/>
                <w:b/>
                <w:sz w:val="24"/>
                <w:szCs w:val="24"/>
                <w:highlight w:val="yellow"/>
                <w:lang w:val="en-US"/>
              </w:rPr>
              <w:t>Poor</w:t>
            </w:r>
            <w:r w:rsidRPr="00AB1F90">
              <w:rPr>
                <w:rFonts w:ascii="Times New Roman" w:eastAsia="Gungsuh" w:hAnsi="Times New Roman" w:cs="Times New Roman"/>
                <w:b/>
                <w:sz w:val="24"/>
                <w:szCs w:val="24"/>
                <w:lang w:val="en-US"/>
              </w:rPr>
              <w:t xml:space="preserve"> response</w:t>
            </w:r>
            <w:r w:rsidRPr="00107DCD">
              <w:rPr>
                <w:rFonts w:ascii="Times New Roman" w:eastAsia="Gungsuh" w:hAnsi="Times New Roman" w:cs="Times New Roman"/>
                <w:sz w:val="24"/>
                <w:szCs w:val="24"/>
                <w:lang w:val="en-US"/>
              </w:rPr>
              <w:t xml:space="preserve"> to treatment was defined as an increase in FENO greater than 20% for values over 35 (50 for patients older than 18 years) ppb or more than 10 ppb for values lower than 35 (50) ppb between clinical visits. A reduction of at least 20% in FENO for values over 35 (50) ppb or more </w:t>
            </w:r>
            <w:r w:rsidRPr="00107DCD">
              <w:rPr>
                <w:rFonts w:ascii="Times New Roman" w:eastAsia="Gungsuh" w:hAnsi="Times New Roman" w:cs="Times New Roman"/>
                <w:sz w:val="24"/>
                <w:szCs w:val="24"/>
                <w:lang w:val="en-US"/>
              </w:rPr>
              <w:lastRenderedPageBreak/>
              <w:t xml:space="preserve">than 10 ppb for values lower than 35 (50) ppb was defined as the cut-off point to indicate a </w:t>
            </w:r>
            <w:r w:rsidRPr="00AB1F90">
              <w:rPr>
                <w:rFonts w:ascii="Times New Roman" w:eastAsia="Gungsuh" w:hAnsi="Times New Roman" w:cs="Times New Roman"/>
                <w:b/>
                <w:sz w:val="24"/>
                <w:szCs w:val="24"/>
                <w:lang w:val="en-US"/>
              </w:rPr>
              <w:t>significant (good) response</w:t>
            </w:r>
            <w:r w:rsidRPr="00107DCD">
              <w:rPr>
                <w:rFonts w:ascii="Times New Roman" w:eastAsia="Gungsuh" w:hAnsi="Times New Roman" w:cs="Times New Roman"/>
                <w:sz w:val="24"/>
                <w:szCs w:val="24"/>
                <w:lang w:val="en-US"/>
              </w:rPr>
              <w:t xml:space="preserve"> to anti-inflammatory treatment. </w:t>
            </w:r>
            <w:r w:rsidRPr="00AB1F90">
              <w:rPr>
                <w:rFonts w:ascii="Times New Roman" w:eastAsia="Gungsuh" w:hAnsi="Times New Roman" w:cs="Times New Roman"/>
                <w:b/>
                <w:sz w:val="24"/>
                <w:szCs w:val="24"/>
                <w:lang w:val="en-US"/>
              </w:rPr>
              <w:t>Moderate response</w:t>
            </w:r>
            <w:r w:rsidRPr="00107DCD">
              <w:rPr>
                <w:rFonts w:ascii="Times New Roman" w:eastAsia="Gungsuh" w:hAnsi="Times New Roman" w:cs="Times New Roman"/>
                <w:sz w:val="24"/>
                <w:szCs w:val="24"/>
                <w:lang w:val="en-US"/>
              </w:rPr>
              <w:t xml:space="preserve"> to treatment was defined as changes in FENO values ranging from a reduction of ≤20% and increase ≤20% for FENO values over 35 (50) ppb and ±10 ppb for values lower than 35 (50) ppb from one visit to the next.</w:t>
            </w:r>
          </w:p>
        </w:tc>
      </w:tr>
      <w:tr w:rsidR="00107DCD" w:rsidRPr="00107DCD" w14:paraId="68A713E5" w14:textId="77777777" w:rsidTr="00AB1F90">
        <w:tc>
          <w:tcPr>
            <w:tcW w:w="1515" w:type="dxa"/>
            <w:shd w:val="clear" w:color="auto" w:fill="D9D9D9" w:themeFill="background1" w:themeFillShade="D9"/>
            <w:tcMar>
              <w:top w:w="100" w:type="dxa"/>
              <w:left w:w="100" w:type="dxa"/>
              <w:bottom w:w="100" w:type="dxa"/>
              <w:right w:w="100" w:type="dxa"/>
            </w:tcMar>
          </w:tcPr>
          <w:p w14:paraId="2ACFDF1C" w14:textId="77777777" w:rsidR="00107DCD" w:rsidRPr="00AB1F90" w:rsidRDefault="00107DCD" w:rsidP="000B582A">
            <w:pPr>
              <w:spacing w:after="160" w:line="480" w:lineRule="auto"/>
              <w:jc w:val="both"/>
              <w:rPr>
                <w:rFonts w:ascii="Times New Roman" w:eastAsia="Times New Roman" w:hAnsi="Times New Roman" w:cs="Times New Roman"/>
                <w:sz w:val="24"/>
                <w:szCs w:val="24"/>
                <w:lang w:val="en-US"/>
              </w:rPr>
            </w:pPr>
            <w:r w:rsidRPr="00AB1F90">
              <w:rPr>
                <w:rFonts w:ascii="Times New Roman" w:eastAsia="Times New Roman" w:hAnsi="Times New Roman" w:cs="Times New Roman"/>
                <w:sz w:val="24"/>
                <w:szCs w:val="24"/>
                <w:lang w:val="en-US"/>
              </w:rPr>
              <w:lastRenderedPageBreak/>
              <w:t>Asthma control</w:t>
            </w:r>
          </w:p>
        </w:tc>
        <w:tc>
          <w:tcPr>
            <w:tcW w:w="7515" w:type="dxa"/>
            <w:shd w:val="clear" w:color="auto" w:fill="auto"/>
            <w:tcMar>
              <w:top w:w="100" w:type="dxa"/>
              <w:left w:w="100" w:type="dxa"/>
              <w:bottom w:w="100" w:type="dxa"/>
              <w:right w:w="100" w:type="dxa"/>
            </w:tcMar>
          </w:tcPr>
          <w:p w14:paraId="03AEEC2C" w14:textId="61214D94" w:rsidR="00107DCD" w:rsidRPr="00107DCD" w:rsidRDefault="00107DCD" w:rsidP="000B582A">
            <w:pPr>
              <w:spacing w:after="160" w:line="480" w:lineRule="auto"/>
              <w:jc w:val="both"/>
              <w:rPr>
                <w:rFonts w:ascii="Times New Roman" w:eastAsia="Times New Roman" w:hAnsi="Times New Roman" w:cs="Times New Roman"/>
                <w:sz w:val="24"/>
                <w:szCs w:val="24"/>
                <w:lang w:val="en-US"/>
              </w:rPr>
            </w:pPr>
            <w:r w:rsidRPr="00107DCD">
              <w:rPr>
                <w:rFonts w:ascii="Times New Roman" w:eastAsia="Times New Roman" w:hAnsi="Times New Roman" w:cs="Times New Roman"/>
                <w:sz w:val="24"/>
                <w:szCs w:val="24"/>
                <w:lang w:val="en-US"/>
              </w:rPr>
              <w:t xml:space="preserve">The level of asthma control between clinical visits was assessed according to GINA guidelines: symptom occurrence (including nocturnal symptoms), need for reliever medications, number and severity of asthma exacerbations, lung function and Asthma Control Test (ACT), where applicable. The level of control was defined as either controlled, partly controlled or uncontrolled, whereas </w:t>
            </w:r>
            <w:r w:rsidR="002F3BA6" w:rsidRPr="002F3BA6">
              <w:rPr>
                <w:rFonts w:ascii="Times New Roman" w:eastAsia="Times New Roman" w:hAnsi="Times New Roman" w:cs="Times New Roman"/>
                <w:b/>
                <w:sz w:val="24"/>
                <w:szCs w:val="24"/>
                <w:highlight w:val="yellow"/>
                <w:lang w:val="en-US"/>
              </w:rPr>
              <w:t>poor</w:t>
            </w:r>
            <w:r w:rsidRPr="00AB1F90">
              <w:rPr>
                <w:rFonts w:ascii="Times New Roman" w:eastAsia="Times New Roman" w:hAnsi="Times New Roman" w:cs="Times New Roman"/>
                <w:b/>
                <w:sz w:val="24"/>
                <w:szCs w:val="24"/>
                <w:lang w:val="en-US"/>
              </w:rPr>
              <w:t xml:space="preserve"> response</w:t>
            </w:r>
            <w:r w:rsidRPr="00107DCD">
              <w:rPr>
                <w:rFonts w:ascii="Times New Roman" w:eastAsia="Times New Roman" w:hAnsi="Times New Roman" w:cs="Times New Roman"/>
                <w:sz w:val="24"/>
                <w:szCs w:val="24"/>
                <w:lang w:val="en-US"/>
              </w:rPr>
              <w:t xml:space="preserve"> to treatment was defined as deterioration in asthma control between visits, </w:t>
            </w:r>
            <w:r w:rsidRPr="00AB1F90">
              <w:rPr>
                <w:rFonts w:ascii="Times New Roman" w:eastAsia="Times New Roman" w:hAnsi="Times New Roman" w:cs="Times New Roman"/>
                <w:b/>
                <w:sz w:val="24"/>
                <w:szCs w:val="24"/>
                <w:lang w:val="en-US"/>
              </w:rPr>
              <w:t>good response</w:t>
            </w:r>
            <w:r w:rsidRPr="00107DCD">
              <w:rPr>
                <w:rFonts w:ascii="Times New Roman" w:eastAsia="Times New Roman" w:hAnsi="Times New Roman" w:cs="Times New Roman"/>
                <w:sz w:val="24"/>
                <w:szCs w:val="24"/>
                <w:lang w:val="en-US"/>
              </w:rPr>
              <w:t xml:space="preserve"> was defined as improvement in asthma control and </w:t>
            </w:r>
            <w:r w:rsidRPr="00AB1F90">
              <w:rPr>
                <w:rFonts w:ascii="Times New Roman" w:eastAsia="Times New Roman" w:hAnsi="Times New Roman" w:cs="Times New Roman"/>
                <w:b/>
                <w:sz w:val="24"/>
                <w:szCs w:val="24"/>
                <w:lang w:val="en-US"/>
              </w:rPr>
              <w:t>moderate response</w:t>
            </w:r>
            <w:r w:rsidRPr="00107DCD">
              <w:rPr>
                <w:rFonts w:ascii="Times New Roman" w:eastAsia="Times New Roman" w:hAnsi="Times New Roman" w:cs="Times New Roman"/>
                <w:sz w:val="24"/>
                <w:szCs w:val="24"/>
                <w:lang w:val="en-US"/>
              </w:rPr>
              <w:t xml:space="preserve"> was defined as no changes in partial asthma control between clinical visits, with the exception of the patient having uncontrolled asthma from visit to visit, which was considered a </w:t>
            </w:r>
            <w:r w:rsidR="002F3BA6" w:rsidRPr="002F3BA6">
              <w:rPr>
                <w:rFonts w:ascii="Times New Roman" w:eastAsia="Times New Roman" w:hAnsi="Times New Roman" w:cs="Times New Roman"/>
                <w:sz w:val="24"/>
                <w:szCs w:val="24"/>
                <w:highlight w:val="yellow"/>
                <w:lang w:val="en-US"/>
              </w:rPr>
              <w:t>poor</w:t>
            </w:r>
            <w:r w:rsidRPr="00107DCD">
              <w:rPr>
                <w:rFonts w:ascii="Times New Roman" w:eastAsia="Times New Roman" w:hAnsi="Times New Roman" w:cs="Times New Roman"/>
                <w:sz w:val="24"/>
                <w:szCs w:val="24"/>
                <w:lang w:val="en-US"/>
              </w:rPr>
              <w:t xml:space="preserve"> response or good response to treatment, when the patient had controlled asthma between visits.</w:t>
            </w:r>
          </w:p>
        </w:tc>
      </w:tr>
    </w:tbl>
    <w:p w14:paraId="783EBA81" w14:textId="77777777" w:rsidR="00662189" w:rsidRPr="0084419E" w:rsidRDefault="008257DD" w:rsidP="000B582A">
      <w:pPr>
        <w:pStyle w:val="Naslov1"/>
        <w:spacing w:line="480" w:lineRule="auto"/>
        <w:jc w:val="both"/>
        <w:rPr>
          <w:rFonts w:cs="Times New Roman"/>
        </w:rPr>
      </w:pPr>
      <w:bookmarkStart w:id="14" w:name="_mauk5b4crz2j" w:colFirst="0" w:colLast="0"/>
      <w:bookmarkStart w:id="15" w:name="_egom7rhe0shd" w:colFirst="0" w:colLast="0"/>
      <w:bookmarkStart w:id="16" w:name="_Toc64274770"/>
      <w:bookmarkEnd w:id="14"/>
      <w:bookmarkEnd w:id="15"/>
      <w:r w:rsidRPr="0084419E">
        <w:rPr>
          <w:rFonts w:cs="Times New Roman"/>
        </w:rPr>
        <w:lastRenderedPageBreak/>
        <w:t>Data preprocessing</w:t>
      </w:r>
      <w:bookmarkEnd w:id="16"/>
    </w:p>
    <w:p w14:paraId="425FD917" w14:textId="55FFD5C2" w:rsidR="00116A66" w:rsidRPr="0084419E" w:rsidRDefault="008257DD" w:rsidP="000B582A">
      <w:pPr>
        <w:spacing w:line="480" w:lineRule="auto"/>
        <w:jc w:val="both"/>
        <w:rPr>
          <w:rFonts w:ascii="Times New Roman" w:eastAsia="Times New Roman" w:hAnsi="Times New Roman" w:cs="Times New Roman"/>
          <w:sz w:val="24"/>
          <w:szCs w:val="24"/>
        </w:rPr>
      </w:pPr>
      <w:r w:rsidRPr="0084419E">
        <w:rPr>
          <w:rFonts w:ascii="Times New Roman" w:eastAsia="Times New Roman" w:hAnsi="Times New Roman" w:cs="Times New Roman"/>
          <w:sz w:val="24"/>
          <w:szCs w:val="24"/>
        </w:rPr>
        <w:t>All operations on data were performed either in R (</w:t>
      </w:r>
      <w:hyperlink r:id="rId6">
        <w:r w:rsidRPr="0084419E">
          <w:rPr>
            <w:rFonts w:ascii="Times New Roman" w:eastAsia="Times New Roman" w:hAnsi="Times New Roman" w:cs="Times New Roman"/>
            <w:color w:val="1155CC"/>
            <w:sz w:val="24"/>
            <w:szCs w:val="24"/>
            <w:u w:val="single"/>
          </w:rPr>
          <w:t>https://www.r-project.org/</w:t>
        </w:r>
      </w:hyperlink>
      <w:r w:rsidRPr="0084419E">
        <w:rPr>
          <w:rFonts w:ascii="Times New Roman" w:eastAsia="Times New Roman" w:hAnsi="Times New Roman" w:cs="Times New Roman"/>
          <w:sz w:val="24"/>
          <w:szCs w:val="24"/>
        </w:rPr>
        <w:t xml:space="preserve">) </w:t>
      </w:r>
      <w:r w:rsidR="001A2516">
        <w:rPr>
          <w:rFonts w:ascii="Times New Roman" w:eastAsia="Times New Roman" w:hAnsi="Times New Roman" w:cs="Times New Roman"/>
          <w:sz w:val="24"/>
          <w:szCs w:val="24"/>
        </w:rPr>
        <w:t>and</w:t>
      </w:r>
      <w:r w:rsidRPr="0084419E">
        <w:rPr>
          <w:rFonts w:ascii="Times New Roman" w:eastAsia="Times New Roman" w:hAnsi="Times New Roman" w:cs="Times New Roman"/>
          <w:sz w:val="24"/>
          <w:szCs w:val="24"/>
        </w:rPr>
        <w:t xml:space="preserve"> Python (</w:t>
      </w:r>
      <w:hyperlink r:id="rId7">
        <w:r w:rsidRPr="0084419E">
          <w:rPr>
            <w:rFonts w:ascii="Times New Roman" w:eastAsia="Times New Roman" w:hAnsi="Times New Roman" w:cs="Times New Roman"/>
            <w:color w:val="1155CC"/>
            <w:sz w:val="24"/>
            <w:szCs w:val="24"/>
            <w:u w:val="single"/>
          </w:rPr>
          <w:t>https://www.python.org/</w:t>
        </w:r>
      </w:hyperlink>
      <w:r w:rsidRPr="0084419E">
        <w:rPr>
          <w:rFonts w:ascii="Times New Roman" w:eastAsia="Times New Roman" w:hAnsi="Times New Roman" w:cs="Times New Roman"/>
          <w:sz w:val="24"/>
          <w:szCs w:val="24"/>
        </w:rPr>
        <w:t xml:space="preserve">). Preprocessing, explorative analysis, feature selection and predictive models were done with the Python libraries pandas </w:t>
      </w:r>
      <w:r w:rsidR="0084419E">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{"citationItems":[{"id":"ITEM-1","itemData":{"ISBN":"0440877763224","ISSN":"0440877763224","PMID":"1000224767","abstract":"In this paper we are concerned with the practical issues of working with data sets common to finance, statistics, and other related fields. pandas is a new library which aims to facilitate working with these data sets and to provide a set of fundamental building blocks for implementing statistical models. We will discuss specific design issues encountered in the course of developing pandas with relevant examples and some comparisons with the R language. We conclude by discussing possible future directions for statistical computing and data analysis using Python.","author":[{"dropping-particle":"","family":"McKinney","given":"Wes","non-dropping-particle":"","parse-names":false,"suffix":""}],"container-title":"Proceedings of the 9th Python in Science Conference","id":"ITEM-1","issue":"Scipy","issued":{"date-parts":[["2010"]]},"page":"51-56","title":"Data Structures for Statistical Computing in Python","type":"article-journal","volume":"1697900"},"uris":["http://www.mendeley.com/documents/?uuid=f7730b66-5ec2-4a26-9db1-8c6fa2e2a8c8","http://www.mendeley.com/documents/?uuid=38fe9d2f-f025-4971-8c2e-63ad79e4888e"]}],"mendeley":{"formattedCitation":"[7]","plainTextFormattedCitation":"[7]","previouslyFormattedCitation":"[7]"},"properties":{"noteIndex":0},"schema":"https://github.com/citation-style-language/schema/raw/master/csl-citation.json"}</w:instrText>
      </w:r>
      <w:r w:rsidR="0084419E">
        <w:rPr>
          <w:rFonts w:ascii="Times New Roman" w:eastAsia="Times New Roman" w:hAnsi="Times New Roman" w:cs="Times New Roman"/>
          <w:sz w:val="24"/>
          <w:szCs w:val="24"/>
        </w:rPr>
        <w:fldChar w:fldCharType="separate"/>
      </w:r>
      <w:r w:rsidR="00540D2A" w:rsidRPr="00540D2A">
        <w:rPr>
          <w:rFonts w:ascii="Times New Roman" w:eastAsia="Times New Roman" w:hAnsi="Times New Roman" w:cs="Times New Roman"/>
          <w:noProof/>
          <w:sz w:val="24"/>
          <w:szCs w:val="24"/>
        </w:rPr>
        <w:t>[7]</w:t>
      </w:r>
      <w:r w:rsidR="0084419E">
        <w:rPr>
          <w:rFonts w:ascii="Times New Roman" w:eastAsia="Times New Roman" w:hAnsi="Times New Roman" w:cs="Times New Roman"/>
          <w:sz w:val="24"/>
          <w:szCs w:val="24"/>
        </w:rPr>
        <w:fldChar w:fldCharType="end"/>
      </w:r>
      <w:r w:rsidRPr="0084419E">
        <w:rPr>
          <w:rFonts w:ascii="Times New Roman" w:eastAsia="Times New Roman" w:hAnsi="Times New Roman" w:cs="Times New Roman"/>
          <w:sz w:val="24"/>
          <w:szCs w:val="24"/>
        </w:rPr>
        <w:t xml:space="preserve"> , </w:t>
      </w:r>
      <w:proofErr w:type="spellStart"/>
      <w:r w:rsidRPr="0084419E">
        <w:rPr>
          <w:rFonts w:ascii="Times New Roman" w:eastAsia="Times New Roman" w:hAnsi="Times New Roman" w:cs="Times New Roman"/>
          <w:sz w:val="24"/>
          <w:szCs w:val="24"/>
        </w:rPr>
        <w:t>numpy</w:t>
      </w:r>
      <w:proofErr w:type="spellEnd"/>
      <w:r w:rsidRPr="0084419E">
        <w:rPr>
          <w:rFonts w:ascii="Times New Roman" w:eastAsia="Times New Roman" w:hAnsi="Times New Roman" w:cs="Times New Roman"/>
          <w:sz w:val="24"/>
          <w:szCs w:val="24"/>
        </w:rPr>
        <w:t xml:space="preserve"> </w:t>
      </w:r>
      <w:r w:rsidR="0084419E">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{"citationItems":[{"id":"ITEM-1","itemData":{"DOI":"10.1109/MCSE.2011.37","ISBN":"1521-9615 VO - 13","ISSN":"15219615","PMID":"1000224770","abstract":"In the Python world, NumPy arrays are the standard representation for numerical data. Here, we show how these arrays enable efficient implementation of numerical computations in a high-level language. Overall, three techniques are applied to improve performance: vectorizing calculations, avoiding copying data in memory, and minimizing operation counts. We first present the NumPy array structure, then show how to use it for efficient computation, and finally how to share array data with other libraries.","author":[{"dropping-particle":"","family":"Walt","given":"Stéfan","non-dropping-particle":"Van Der","parse-names":false,"suffix":""},{"dropping-particle":"","family":"Colbert","given":"S Chris","non-dropping-particle":"","parse-names":false,"suffix":""},{"dropping-particle":"","family":"Varoquaux","given":"Gaël","non-dropping-particle":"","parse-names":false,"suffix":""}],"container-title":"Computing in Science and Engineering","id":"ITEM-1","issue":"2","issued":{"date-parts":[["2011","3"]]},"page":"22-30","title":"The NumPy array: A structure for efficient numerical computation","type":"article-journal","volume":"13"},"uris":["http://www.mendeley.com/documents/?uuid=66d50f97-f451-34b2-aecb-ab69bbe02879","http://www.mendeley.com/documents/?uuid=3e9db9ac-5324-4f8d-8ac6-cc5bae237385"]}],"mendeley":{"formattedCitation":"[8]","plainTextFormattedCitation":"[8]","previouslyFormattedCitation":"[8]"},"properties":{"noteIndex":0},"schema":"https://github.com/citation-style-language/schema/raw/master/csl-citation.json"}</w:instrText>
      </w:r>
      <w:r w:rsidR="0084419E">
        <w:rPr>
          <w:rFonts w:ascii="Times New Roman" w:eastAsia="Times New Roman" w:hAnsi="Times New Roman" w:cs="Times New Roman"/>
          <w:sz w:val="24"/>
          <w:szCs w:val="24"/>
        </w:rPr>
        <w:fldChar w:fldCharType="separate"/>
      </w:r>
      <w:r w:rsidR="00540D2A" w:rsidRPr="00540D2A">
        <w:rPr>
          <w:rFonts w:ascii="Times New Roman" w:eastAsia="Times New Roman" w:hAnsi="Times New Roman" w:cs="Times New Roman"/>
          <w:noProof/>
          <w:sz w:val="24"/>
          <w:szCs w:val="24"/>
        </w:rPr>
        <w:t>[8]</w:t>
      </w:r>
      <w:r w:rsidR="0084419E">
        <w:rPr>
          <w:rFonts w:ascii="Times New Roman" w:eastAsia="Times New Roman" w:hAnsi="Times New Roman" w:cs="Times New Roman"/>
          <w:sz w:val="24"/>
          <w:szCs w:val="24"/>
        </w:rPr>
        <w:fldChar w:fldCharType="end"/>
      </w:r>
      <w:r w:rsidR="0084419E">
        <w:rPr>
          <w:rFonts w:ascii="Times New Roman" w:eastAsia="Times New Roman" w:hAnsi="Times New Roman" w:cs="Times New Roman"/>
          <w:sz w:val="24"/>
          <w:szCs w:val="24"/>
        </w:rPr>
        <w:t xml:space="preserve"> and</w:t>
      </w:r>
      <w:r w:rsidRPr="0084419E">
        <w:rPr>
          <w:rFonts w:ascii="Times New Roman" w:eastAsia="Times New Roman" w:hAnsi="Times New Roman" w:cs="Times New Roman"/>
          <w:sz w:val="24"/>
          <w:szCs w:val="24"/>
        </w:rPr>
        <w:t xml:space="preserve"> scikit-learn </w:t>
      </w:r>
      <w:r w:rsidR="0084419E">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DOI":"10.1007/s13398-014-0173-7.2","ISBN":"1532-4435","ISSN":"15324435","PMID":"1000044560","author":[{"dropping-particle":"","family":"Pedregosa","given":"Fabian","non-dropping-particle":"","parse-names":false,"suffix":""},{"dropping-particle":"","family":"Varoquaux","given":"Gaël","non-dropping-particle":"","parse-names":false,"suffix":""},{"dropping-particle":"","family":"Gramfort","given":"Alexandre","non-dropping-particle":"","parse-names":false,"suffix":""},{"dropping-particle":"","family":"Michel","given":"Vincent","non-dropping-particle":"","parse-names":false,"suffix":""},{"dropping-particle":"","family":"Thirion","given":"Bertrand","non-dropping-particle":"","parse-names":false,"suffix":""},{"dropping-particle":"","family":"Grisel","given":"Olivier","non-dropping-particle":"","parse-names":false,"suffix":""},{"dropping-particle":"","family":"Blondel","given":"Mathieu","non-dropping-particle":"","parse-names":false,"suffix":""},{"dropping-particle":"","family":"Prettenhofer","given":"Peter","non-dropping-particle":"","parse-names":false,"suffix":""},{"dropping-particle":"","family":"Weiss","given":"Ron","non-dropping-particle":"","parse-names":false,"suffix":""},{"dropping-particle":"","family":"Dubourg","given":"Vincent","non-dropping-particle":"","parse-names":false,"suffix":""},{"dropping-particle":"","family":"Vanderplas","given":"Jake","non-dropping-particle":"","parse-names":false,"suffix":""},{"dropping-particle":"","family":"Passos","given":"Alexandre","non-dropping-particle":"","parse-names":false,"suffix":""},{"dropping-particle":"","family":"Cournapeau","given":"David","non-dropping-particle":"","parse-names":false,"suffix":""},{"dropping-particle":"","family":"Brucher","given":"Matthieu","non-dropping-particle":"","parse-names":false,"suffix":""},{"dropping-particle":"","family":"Perrot","given":"Matthieu","non-dropping-particle":"","parse-names":false,"suffix":""},{"dropping-particle":"","family":"Duchesnay","given":"Édouard","non-dropping-particle":"","parse-names":false,"suffix":""},{"dropping-particle":"","family":"Pedregosa FABIANPEDREGOSA","given":"Fabian","non-dropping-particle":"","parse-names":false,"suffix":""},{"dropping-particle":"","family":"Alexandre Gramfort","given":"Normalesuporg","non-dropping-particle":"","parse-names":false,"suffix":""},{"dropping-particle":"","family":"Michel","given":"Vincent","non-dropping-particle":"","parse-names":false,"suffix":""},{"dropping-particle":"","family":"Thirion BERTRANDTHIRION","given":"Bertrand","non-dropping-particle":"","parse-names":false,"suffix":""},{"dropping-particle":"","family":"Grisel","given":"Olivier","non-dropping-particle":"","parse-names":false,"suffix":""},{"dropping-particle":"","family":"Blondel","given":"Mathieu","non-dropping-particle":"","parse-names":false,"suffix":""},{"dropping-particle":"","family":"Prettenhofer PETERPRETTENHOFER","given":"Peter","non-dropping-particle":"","parse-names":false,"suffix":""},{"dropping-particle":"","family":"Weiss","given":"Ron","non-dropping-particle":"","parse-names":false,"suffix":""},{"dropping-particle":"","family":"Dubourg","given":"Vincent","non-dropping-particle":"","parse-names":false,"suffix":""},{"dropping-particle":"","family":"Vanderplas VANDERPLAS","given":"Jake","non-dropping-particle":"","parse-names":false,"suffix":""},{"dropping-particle":"","family":"Passos","given":"Alexandre","non-dropping-particle":"","parse-names":false,"suffix":""},{"dropping-particle":"","family":"Cournapeau","given":"David","non-dropping-particle":"","parse-names":false,"suffix":""},{"dropping-particle":"","family":"Pedregosa","given":"Fabian","non-dropping-particle":"","parse-names":false,"suffix":""},{"dropping-particle":"","family":"Varoquaux","given":"Gaël","non-dropping-particle":"","parse-names":false,"suffix":""},{"dropping-particle":"","family":"Gramfort","given":"Alexandre","non-dropping-particle":"","parse-names":false,"suffix":""},{"dropping-particle":"","family":"Thirion","given":"Bertrand","non-dropping-particle":"","parse-names":false,"suffix":""},{"dropping-particle":"","family":"Prettenhofer","given":"Peter","non-dropping-particle":"","parse-names":false,"suffix":""},{"dropping-particle":"","family":"Vanderplas","given":"Jake","non-dropping-particle":"","parse-names":false,"suffix":""},{"dropping-particle":"","family":"Brucher","given":"Matthieu","non-dropping-particle":"","parse-names":false,"suffix":""},{"dropping-particle":"","family":"Perrot an Edouard Duchesnay PEDREGOSA","given":"Matthieu","non-dropping-particle":"","parse-names":false,"suffix":""},{"dropping-particle":"","family":"Matthieu Brucher MATTHIEUBRUCHER","given":"Al","non-dropping-particle":"","parse-names":false,"suffix":""},{"dropping-particle":"","family":"Perrot MATTHIEUPERROT","given":"Matthieu","non-dropping-particle":"","parse-names":false,"suffix":""},{"dropping-particle":"","family":"Edouard Duchesnay EDOUARDDUCHESNAY","given":"Cea F","non-dropping-particle":"","parse-names":false,"suffix":""}],"container-title":"Journal of Machine Learning Research","id":"ITEM-1","issued":{"date-parts":[["2011"]]},"page":"2825-2830","title":"Scikit-learn: Machine Learning in Python","type":"article-journal","volume":"12"},"uris":["http://www.mendeley.com/documents/?uuid=548a9dd2-1b60-4bb7-89bd-01785304b89b","http://www.mendeley.com/documents/?uuid=10e2b893-c94a-4b12-a2c0-1a790522da60"]}],"mendeley":{"formattedCitation":"[9]","plainTextFormattedCitation":"[9]","previouslyFormattedCitation":"[9]"},"properties":{"noteIndex":0},"schema":"https://github.com/citation-style-language/schema/raw/master/csl-citation.json"}</w:instrText>
      </w:r>
      <w:r w:rsidR="0084419E">
        <w:rPr>
          <w:rFonts w:ascii="Times New Roman" w:eastAsia="Times New Roman" w:hAnsi="Times New Roman" w:cs="Times New Roman"/>
          <w:sz w:val="24"/>
          <w:szCs w:val="24"/>
        </w:rPr>
        <w:fldChar w:fldCharType="separate"/>
      </w:r>
      <w:r w:rsidR="00540D2A" w:rsidRPr="00540D2A">
        <w:rPr>
          <w:rFonts w:ascii="Times New Roman" w:eastAsia="Times New Roman" w:hAnsi="Times New Roman" w:cs="Times New Roman"/>
          <w:noProof/>
          <w:sz w:val="24"/>
          <w:szCs w:val="24"/>
        </w:rPr>
        <w:t>[9]</w:t>
      </w:r>
      <w:r w:rsidR="0084419E">
        <w:rPr>
          <w:rFonts w:ascii="Times New Roman" w:eastAsia="Times New Roman" w:hAnsi="Times New Roman" w:cs="Times New Roman"/>
          <w:sz w:val="24"/>
          <w:szCs w:val="24"/>
        </w:rPr>
        <w:fldChar w:fldCharType="end"/>
      </w:r>
      <w:r w:rsidRPr="0084419E">
        <w:rPr>
          <w:rFonts w:ascii="Times New Roman" w:eastAsia="Times New Roman" w:hAnsi="Times New Roman" w:cs="Times New Roman"/>
          <w:sz w:val="24"/>
          <w:szCs w:val="24"/>
        </w:rPr>
        <w:t xml:space="preserve">. Plotting was done using the libraries seaborn </w:t>
      </w:r>
      <w:r w:rsidR="0084419E">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DOI":"10.5281/zenodo.883859","author":[{"dropping-particle":"","family":"Waskom","given":"Michael","non-dropping-particle":"","parse-names":false,"suffix":""},{"dropping-particle":"","family":"Botvinnik","given":"Olga","non-dropping-particle":"","parse-names":false,"suffix":""},{"dropping-particle":"","family":"O'Kane","given":"Drew","non-dropping-particle":"","parse-names":false,"suffix":""},{"dropping-particle":"","family":"Hobson","given":"Paul","non-dropping-particle":"","parse-names":false,"suffix":""},{"dropping-particle":"","family":"Lukauskas","given":"Saulius","non-dropping-particle":"","parse-names":false,"suffix":""},{"dropping-particle":"","family":"Gemperline","given":"David C","non-dropping-particle":"","parse-names":false,"suffix":""},{"dropping-particle":"","family":"Augspurger","given":"Tom","non-dropping-particle":"","parse-names":false,"suffix":""},{"dropping-particle":"","family":"Halchenko","given":"Yaroslav","non-dropping-particle":"","parse-names":false,"suffix":""},{"dropping-particle":"","family":"Cole","given":"John B.","non-dropping-particle":"","parse-names":false,"suffix":""},{"dropping-particle":"","family":"Warmenhoven","given":"Jordi","non-dropping-particle":"","parse-names":false,"suffix":""},{"dropping-particle":"de","family":"Ruiter","given":"Julian","non-dropping-particle":"","parse-names":false,"suffix":""},{"dropping-particle":"","family":"Pye","given":"Cameron","non-dropping-particle":"","parse-names":false,"suffix":""},{"dropping-particle":"","family":"Hoyer","given":"Stephan","non-dropping-particle":"","parse-names":false,"suffix":""},{"dropping-particle":"","family":"Vanderplas","given":"Jake","non-dropping-particle":"","parse-names":false,"suffix":""},{"dropping-particle":"","family":"Villalba","given":"Santi","non-dropping-particle":"","parse-names":false,"suffix":""},{"dropping-particle":"","family":"Kunter","given":"Gero","non-dropping-particle":"","parse-names":false,"suffix":""},{"dropping-particle":"","family":"Quintero","given":"Eric","non-dropping-particle":"","parse-names":false,"suffix":""},{"dropping-particle":"","family":"Bachant","given":"Pete","non-dropping-particle":"","parse-names":false,"suffix":""},{"dropping-particle":"","family":"Martin","given":"Marcel","non-dropping-particle":"","parse-names":false,"suffix":""},{"dropping-particle":"","family":"Meyer","given":"Kyle","non-dropping-particle":"","parse-names":false,"suffix":""},{"dropping-particle":"","family":"Miles","given":"Alistair","non-dropping-particle":"","parse-names":false,"suffix":""},{"dropping-particle":"","family":"Ram","given":"Yoav","non-dropping-particle":"","parse-names":false,"suffix":""},{"dropping-particle":"","family":"Yarkoni","given":"Tal","non-dropping-particle":"","parse-names":false,"suffix":""},{"dropping-particle":"","family":"Williams","given":"Mike Lee","non-dropping-particle":"","parse-names":false,"suffix":""},{"dropping-particle":"","family":"Evans","given":"Constantine","non-dropping-particle":"","parse-names":false,"suffix":""},{"dropping-particle":"","family":"Fitzgerald","given":"Clark","non-dropping-particle":"","parse-names":false,"suffix":""},{"dropping-particle":"","family":"Brian","given":"","non-dropping-particle":"","parse-names":false,"suffix":""},{"dropping-particle":"","family":"Fonnesbeck","given":"Chris","non-dropping-particle":"","parse-names":false,"suffix":""},{"dropping-particle":"","family":"Lee","given":"Antony","non-dropping-particle":"","parse-names":false,"suffix":""},{"dropping-particle":"","family":"Qalieh","given":"Adel","non-dropping-particle":"","parse-names":false,"suffix":""}],"container-title":"doi.org","id":"ITEM-1","issued":{"date-parts":[["2017","9"]]},"title":"Mwaskom/Seaborn: V0.8.1 (September 2017)","type":"article-journal"},"uris":["http://www.mendeley.com/documents/?uuid=68ac2110-10be-36d1-9438-e4e44554d65f","http://www.mendeley.com/documents/?uuid=988cbdfa-2af6-42f3-b66f-56dcf3b28cd3"]}],"mendeley":{"formattedCitation":"[10]","plainTextFormattedCitation":"[10]","previouslyFormattedCitation":"[10]"},"properties":{"noteIndex":0},"schema":"https://github.com/citation-style-language/schema/raw/master/csl-citation.json"}</w:instrText>
      </w:r>
      <w:r w:rsidR="0084419E">
        <w:rPr>
          <w:rFonts w:ascii="Times New Roman" w:eastAsia="Times New Roman" w:hAnsi="Times New Roman" w:cs="Times New Roman"/>
          <w:sz w:val="24"/>
          <w:szCs w:val="24"/>
        </w:rPr>
        <w:fldChar w:fldCharType="separate"/>
      </w:r>
      <w:r w:rsidR="00540D2A" w:rsidRPr="00540D2A">
        <w:rPr>
          <w:rFonts w:ascii="Times New Roman" w:eastAsia="Times New Roman" w:hAnsi="Times New Roman" w:cs="Times New Roman"/>
          <w:noProof/>
          <w:sz w:val="24"/>
          <w:szCs w:val="24"/>
        </w:rPr>
        <w:t>[10]</w:t>
      </w:r>
      <w:r w:rsidR="0084419E">
        <w:rPr>
          <w:rFonts w:ascii="Times New Roman" w:eastAsia="Times New Roman" w:hAnsi="Times New Roman" w:cs="Times New Roman"/>
          <w:sz w:val="24"/>
          <w:szCs w:val="24"/>
        </w:rPr>
        <w:fldChar w:fldCharType="end"/>
      </w:r>
      <w:r w:rsidRPr="0084419E">
        <w:rPr>
          <w:rFonts w:ascii="Times New Roman" w:eastAsia="Times New Roman" w:hAnsi="Times New Roman" w:cs="Times New Roman"/>
          <w:sz w:val="24"/>
          <w:szCs w:val="24"/>
        </w:rPr>
        <w:t xml:space="preserve"> and matplotlib </w:t>
      </w:r>
      <w:r w:rsidR="0084419E">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{"citationItems":[{"id":"ITEM-1","itemData":{"DOI":"10.1109/MCSE.2007.55","ISSN":"1521-9615","author":[{"dropping-particle":"","family":"Hunter","given":"John D.","non-dropping-particle":"","parse-names":false,"suffix":""}],"container-title":"Computing in Science &amp; Engineering","id":"ITEM-1","issue":"3","issued":{"date-parts":[["2007"]]},"page":"90-95","title":"Matplotlib: A 2D Graphics Environment","type":"article-journal","volume":"9"},"uris":["http://www.mendeley.com/documents/?uuid=7bceddd3-be76-4be6-b918-5aacfec2427e","http://www.mendeley.com/documents/?uuid=61cfbaae-516d-4622-a5d1-fdb4f6da01a6"]}],"mendeley":{"formattedCitation":"[11]","plainTextFormattedCitation":"[11]","previouslyFormattedCitation":"[11]"},"properties":{"noteIndex":0},"schema":"https://github.com/citation-style-language/schema/raw/master/csl-citation.json"}</w:instrText>
      </w:r>
      <w:r w:rsidR="0084419E">
        <w:rPr>
          <w:rFonts w:ascii="Times New Roman" w:eastAsia="Times New Roman" w:hAnsi="Times New Roman" w:cs="Times New Roman"/>
          <w:sz w:val="24"/>
          <w:szCs w:val="24"/>
        </w:rPr>
        <w:fldChar w:fldCharType="separate"/>
      </w:r>
      <w:r w:rsidR="00540D2A" w:rsidRPr="00540D2A">
        <w:rPr>
          <w:rFonts w:ascii="Times New Roman" w:eastAsia="Times New Roman" w:hAnsi="Times New Roman" w:cs="Times New Roman"/>
          <w:noProof/>
          <w:sz w:val="24"/>
          <w:szCs w:val="24"/>
        </w:rPr>
        <w:t>[11]</w:t>
      </w:r>
      <w:r w:rsidR="0084419E">
        <w:rPr>
          <w:rFonts w:ascii="Times New Roman" w:eastAsia="Times New Roman" w:hAnsi="Times New Roman" w:cs="Times New Roman"/>
          <w:sz w:val="24"/>
          <w:szCs w:val="24"/>
        </w:rPr>
        <w:fldChar w:fldCharType="end"/>
      </w:r>
      <w:r w:rsidRPr="0084419E">
        <w:rPr>
          <w:rFonts w:ascii="Times New Roman" w:eastAsia="Times New Roman" w:hAnsi="Times New Roman" w:cs="Times New Roman"/>
          <w:sz w:val="24"/>
          <w:szCs w:val="24"/>
        </w:rPr>
        <w:t>.</w:t>
      </w:r>
      <w:r w:rsidR="0084419E">
        <w:rPr>
          <w:rFonts w:ascii="Times New Roman" w:eastAsia="Times New Roman" w:hAnsi="Times New Roman" w:cs="Times New Roman"/>
          <w:sz w:val="24"/>
          <w:szCs w:val="24"/>
        </w:rPr>
        <w:t xml:space="preserve"> </w:t>
      </w:r>
      <w:r w:rsidRPr="0084419E">
        <w:rPr>
          <w:rFonts w:ascii="Times New Roman" w:eastAsia="Times New Roman" w:hAnsi="Times New Roman" w:cs="Times New Roman"/>
          <w:sz w:val="24"/>
          <w:szCs w:val="24"/>
        </w:rPr>
        <w:t>At the 4th control visit, a significant proportion of the dataset had missing values due to the fact that not all patients were followed up to the 4th control visit (ca. 2 years after recruitment) or dropped out of the study. Some features had missing values due to patients` lack of cooperation (</w:t>
      </w:r>
      <w:proofErr w:type="gramStart"/>
      <w:r w:rsidRPr="0084419E">
        <w:rPr>
          <w:rFonts w:ascii="Times New Roman" w:eastAsia="Times New Roman" w:hAnsi="Times New Roman" w:cs="Times New Roman"/>
          <w:sz w:val="24"/>
          <w:szCs w:val="24"/>
        </w:rPr>
        <w:t>e.g.</w:t>
      </w:r>
      <w:proofErr w:type="gramEnd"/>
      <w:r w:rsidRPr="0084419E">
        <w:rPr>
          <w:rFonts w:ascii="Times New Roman" w:eastAsia="Times New Roman" w:hAnsi="Times New Roman" w:cs="Times New Roman"/>
          <w:sz w:val="24"/>
          <w:szCs w:val="24"/>
        </w:rPr>
        <w:t xml:space="preserve"> patient was too young to cooperate for lung function or FENO measurement) or</w:t>
      </w:r>
      <w:r w:rsidR="00A5190C">
        <w:rPr>
          <w:rFonts w:ascii="Times New Roman" w:eastAsia="Times New Roman" w:hAnsi="Times New Roman" w:cs="Times New Roman"/>
          <w:sz w:val="24"/>
          <w:szCs w:val="24"/>
        </w:rPr>
        <w:t xml:space="preserve"> </w:t>
      </w:r>
      <w:r w:rsidRPr="0084419E">
        <w:rPr>
          <w:rFonts w:ascii="Times New Roman" w:eastAsia="Times New Roman" w:hAnsi="Times New Roman" w:cs="Times New Roman"/>
          <w:sz w:val="24"/>
          <w:szCs w:val="24"/>
        </w:rPr>
        <w:t xml:space="preserve">there was insufficient blood/serum sample to perform certain biochemical tests. </w:t>
      </w:r>
      <w:r w:rsidR="001A2516">
        <w:rPr>
          <w:rFonts w:ascii="Times New Roman" w:eastAsia="Times New Roman" w:hAnsi="Times New Roman" w:cs="Times New Roman"/>
          <w:sz w:val="24"/>
          <w:szCs w:val="24"/>
        </w:rPr>
        <w:t>Rare</w:t>
      </w:r>
      <w:r w:rsidRPr="0084419E">
        <w:rPr>
          <w:rFonts w:ascii="Times New Roman" w:eastAsia="Times New Roman" w:hAnsi="Times New Roman" w:cs="Times New Roman"/>
          <w:sz w:val="24"/>
          <w:szCs w:val="24"/>
        </w:rPr>
        <w:t xml:space="preserve"> which had missing values up to the 3rd control visit were imputed by their respective median for continuous features or mode for discrete features. The data was divided into treatment periods, </w:t>
      </w:r>
      <w:proofErr w:type="gramStart"/>
      <w:r w:rsidRPr="0084419E">
        <w:rPr>
          <w:rFonts w:ascii="Times New Roman" w:eastAsia="Times New Roman" w:hAnsi="Times New Roman" w:cs="Times New Roman"/>
          <w:sz w:val="24"/>
          <w:szCs w:val="24"/>
        </w:rPr>
        <w:t>i.e.</w:t>
      </w:r>
      <w:proofErr w:type="gramEnd"/>
      <w:r w:rsidRPr="0084419E">
        <w:rPr>
          <w:rFonts w:ascii="Times New Roman" w:eastAsia="Times New Roman" w:hAnsi="Times New Roman" w:cs="Times New Roman"/>
          <w:sz w:val="24"/>
          <w:szCs w:val="24"/>
        </w:rPr>
        <w:t xml:space="preserve"> </w:t>
      </w:r>
      <w:r w:rsidR="00A5190C">
        <w:rPr>
          <w:rFonts w:ascii="Times New Roman" w:eastAsia="Times New Roman" w:hAnsi="Times New Roman" w:cs="Times New Roman"/>
          <w:sz w:val="24"/>
          <w:szCs w:val="24"/>
        </w:rPr>
        <w:t>baseline</w:t>
      </w:r>
      <w:r w:rsidRPr="0084419E">
        <w:rPr>
          <w:rFonts w:ascii="Times New Roman" w:eastAsia="Times New Roman" w:hAnsi="Times New Roman" w:cs="Times New Roman"/>
          <w:sz w:val="24"/>
          <w:szCs w:val="24"/>
        </w:rPr>
        <w:t>, first</w:t>
      </w:r>
      <w:r w:rsidR="00A5190C">
        <w:rPr>
          <w:rFonts w:ascii="Times New Roman" w:eastAsia="Times New Roman" w:hAnsi="Times New Roman" w:cs="Times New Roman"/>
          <w:sz w:val="24"/>
          <w:szCs w:val="24"/>
        </w:rPr>
        <w:t>,</w:t>
      </w:r>
      <w:r w:rsidRPr="0084419E">
        <w:rPr>
          <w:rFonts w:ascii="Times New Roman" w:eastAsia="Times New Roman" w:hAnsi="Times New Roman" w:cs="Times New Roman"/>
          <w:sz w:val="24"/>
          <w:szCs w:val="24"/>
        </w:rPr>
        <w:t xml:space="preserve"> second and third control </w:t>
      </w:r>
      <w:r w:rsidR="00A5190C" w:rsidRPr="0084419E">
        <w:rPr>
          <w:rFonts w:ascii="Times New Roman" w:eastAsia="Times New Roman" w:hAnsi="Times New Roman" w:cs="Times New Roman"/>
          <w:sz w:val="24"/>
          <w:szCs w:val="24"/>
        </w:rPr>
        <w:t>visit.</w:t>
      </w:r>
      <w:r w:rsidRPr="0084419E">
        <w:rPr>
          <w:rFonts w:ascii="Times New Roman" w:eastAsia="Times New Roman" w:hAnsi="Times New Roman" w:cs="Times New Roman"/>
          <w:sz w:val="24"/>
          <w:szCs w:val="24"/>
        </w:rPr>
        <w:t xml:space="preserve"> Features containing string notations (</w:t>
      </w:r>
      <w:proofErr w:type="gramStart"/>
      <w:r w:rsidRPr="0084419E">
        <w:rPr>
          <w:rFonts w:ascii="Times New Roman" w:eastAsia="Times New Roman" w:hAnsi="Times New Roman" w:cs="Times New Roman"/>
          <w:sz w:val="24"/>
          <w:szCs w:val="24"/>
        </w:rPr>
        <w:t>e.g.</w:t>
      </w:r>
      <w:proofErr w:type="gramEnd"/>
      <w:r w:rsidRPr="0084419E">
        <w:rPr>
          <w:rFonts w:ascii="Times New Roman" w:eastAsia="Times New Roman" w:hAnsi="Times New Roman" w:cs="Times New Roman"/>
          <w:sz w:val="24"/>
          <w:szCs w:val="24"/>
        </w:rPr>
        <w:t xml:space="preserve"> drug prescribed or genetic data) where numerically encoded and subsequently one-hot encoded. Features describing allergic sensitization were converted to binary or ordinal features, and the binary values were summed into in 4 clinically relevant categories: seasonal allergens (</w:t>
      </w:r>
      <w:proofErr w:type="gramStart"/>
      <w:r w:rsidRPr="0084419E">
        <w:rPr>
          <w:rFonts w:ascii="Times New Roman" w:eastAsia="Times New Roman" w:hAnsi="Times New Roman" w:cs="Times New Roman"/>
          <w:sz w:val="24"/>
          <w:szCs w:val="24"/>
        </w:rPr>
        <w:t>i.e.</w:t>
      </w:r>
      <w:proofErr w:type="gramEnd"/>
      <w:r w:rsidRPr="0084419E">
        <w:rPr>
          <w:rFonts w:ascii="Times New Roman" w:eastAsia="Times New Roman" w:hAnsi="Times New Roman" w:cs="Times New Roman"/>
          <w:sz w:val="24"/>
          <w:szCs w:val="24"/>
        </w:rPr>
        <w:t xml:space="preserve"> grass, weed and tree pollen), perennial allergens (house dust mite and molds), insect venom (bee, wasp or hornet) and food allergens. Both SPT results and specific </w:t>
      </w:r>
      <w:proofErr w:type="spellStart"/>
      <w:r w:rsidRPr="0084419E">
        <w:rPr>
          <w:rFonts w:ascii="Times New Roman" w:eastAsia="Times New Roman" w:hAnsi="Times New Roman" w:cs="Times New Roman"/>
          <w:sz w:val="24"/>
          <w:szCs w:val="24"/>
        </w:rPr>
        <w:t>IgE</w:t>
      </w:r>
      <w:proofErr w:type="spellEnd"/>
      <w:r w:rsidRPr="0084419E">
        <w:rPr>
          <w:rFonts w:ascii="Times New Roman" w:eastAsia="Times New Roman" w:hAnsi="Times New Roman" w:cs="Times New Roman"/>
          <w:sz w:val="24"/>
          <w:szCs w:val="24"/>
        </w:rPr>
        <w:t xml:space="preserve"> results were taken into account for each respective sensitization category. Additionally, certain sensitization features were assigned separate variables, due to their possible clinical relevance- strong sensitization to house dust mite- HDM (</w:t>
      </w:r>
      <w:r w:rsidRPr="0084419E">
        <w:rPr>
          <w:rFonts w:ascii="Times New Roman" w:eastAsia="Times New Roman" w:hAnsi="Times New Roman" w:cs="Times New Roman"/>
          <w:i/>
          <w:sz w:val="24"/>
          <w:szCs w:val="24"/>
        </w:rPr>
        <w:t xml:space="preserve">D. </w:t>
      </w:r>
      <w:proofErr w:type="spellStart"/>
      <w:r w:rsidRPr="0084419E">
        <w:rPr>
          <w:rFonts w:ascii="Times New Roman" w:eastAsia="Times New Roman" w:hAnsi="Times New Roman" w:cs="Times New Roman"/>
          <w:i/>
          <w:sz w:val="24"/>
          <w:szCs w:val="24"/>
        </w:rPr>
        <w:t>pteronyssinus</w:t>
      </w:r>
      <w:proofErr w:type="spellEnd"/>
      <w:r w:rsidRPr="0084419E">
        <w:rPr>
          <w:rFonts w:ascii="Times New Roman" w:eastAsia="Times New Roman" w:hAnsi="Times New Roman" w:cs="Times New Roman"/>
          <w:i/>
          <w:sz w:val="24"/>
          <w:szCs w:val="24"/>
        </w:rPr>
        <w:t xml:space="preserve">, D. </w:t>
      </w:r>
      <w:proofErr w:type="spellStart"/>
      <w:r w:rsidRPr="0084419E">
        <w:rPr>
          <w:rFonts w:ascii="Times New Roman" w:eastAsia="Times New Roman" w:hAnsi="Times New Roman" w:cs="Times New Roman"/>
          <w:i/>
          <w:sz w:val="24"/>
          <w:szCs w:val="24"/>
        </w:rPr>
        <w:t>farinae</w:t>
      </w:r>
      <w:proofErr w:type="spellEnd"/>
      <w:r w:rsidRPr="0084419E">
        <w:rPr>
          <w:rFonts w:ascii="Times New Roman" w:eastAsia="Times New Roman" w:hAnsi="Times New Roman" w:cs="Times New Roman"/>
          <w:sz w:val="24"/>
          <w:szCs w:val="24"/>
        </w:rPr>
        <w:t>), cat dander and ragweed (</w:t>
      </w:r>
      <w:r w:rsidRPr="0084419E">
        <w:rPr>
          <w:rFonts w:ascii="Times New Roman" w:eastAsia="Times New Roman" w:hAnsi="Times New Roman" w:cs="Times New Roman"/>
          <w:i/>
          <w:sz w:val="24"/>
          <w:szCs w:val="24"/>
        </w:rPr>
        <w:t>Ambrosia</w:t>
      </w:r>
      <w:r w:rsidRPr="0084419E">
        <w:rPr>
          <w:rFonts w:ascii="Times New Roman" w:eastAsia="Times New Roman" w:hAnsi="Times New Roman" w:cs="Times New Roman"/>
          <w:sz w:val="24"/>
          <w:szCs w:val="24"/>
        </w:rPr>
        <w:t>). These sensitizations have previously been associated with disease severity and more severe outcomes</w:t>
      </w:r>
      <w:r w:rsidR="00455017">
        <w:rPr>
          <w:rFonts w:ascii="Times New Roman" w:eastAsia="Times New Roman" w:hAnsi="Times New Roman" w:cs="Times New Roman"/>
          <w:sz w:val="24"/>
          <w:szCs w:val="24"/>
        </w:rPr>
        <w:t>.</w:t>
      </w:r>
      <w:r w:rsidRPr="0084419E">
        <w:rPr>
          <w:rFonts w:ascii="Times New Roman" w:eastAsia="Times New Roman" w:hAnsi="Times New Roman" w:cs="Times New Roman"/>
          <w:sz w:val="24"/>
          <w:szCs w:val="24"/>
        </w:rPr>
        <w:t xml:space="preserve"> </w:t>
      </w:r>
      <w:r w:rsidR="0084419E">
        <w:rPr>
          <w:rFonts w:ascii="Times New Roman" w:eastAsia="Times New Roman" w:hAnsi="Times New Roman" w:cs="Times New Roman"/>
          <w:sz w:val="24"/>
          <w:szCs w:val="24"/>
        </w:rPr>
        <w:fldChar w:fldCharType="begin" w:fldLock="1"/>
      </w:r>
      <w:r w:rsidR="00AB1F90">
        <w:rPr>
          <w:rFonts w:ascii="Times New Roman" w:eastAsia="Times New Roman" w:hAnsi="Times New Roman" w:cs="Times New Roman"/>
          <w:sz w:val="24"/>
          <w:szCs w:val="24"/>
        </w:rPr>
        <w:instrText>ADDIN CSL_CITATION {"citationItems":[{"id":"ITEM-1","itemData":{"DOI":"10.1097/MOP.0000000000000421","ISSN":"1531698X","abstract":"Purpose of review The aim of the present review is to discuss updates on research regarding the relationship between indoor allergen exposure and childhood asthma with a focus on clinical effects, locations of exposure, and novel treatments. Recent findings Recent data continue to demonstrate that early life sensitization to indoor allergens is a predictor of asthma development later in life. Furthermore, avoidance of exposure to these allergens continues to be important especially given that the vast majority of children with asthma are sensitized to at least one indoor allergen. New research suggests that mouse allergen, more so than cockroach allergen, may be the most relevant urban allergen. Recent evidence reminds us that children are exposed to clinically important levels of indoor allergens in locations away from their home, such as schools and daycare centers. Exposure to increased levels of indoor mold in childhood has been associated with asthma development and exacerbation of current asthma; however, emerging evidence suggests that early exposure to higher fungal diversity may actually be protective for asthma development. Novel treatments have been developed that target TH2 pathways thus decreasing asthmatic responses to allergens. These therapies show promise for the treatment of severe allergic asthma refractory to avoidance strategies and standard therapies. Summary Understanding the relationship between indoor allergens and asthma outcomes is a constantly evolving study of timing, location, and amount of exposure.","author":[{"dropping-particle":"","family":"Sheehan","given":"William J.","non-dropping-particle":"","parse-names":false,"suffix":""},{"dropping-particle":"","family":"Phipatanakul","given":"Wanda","non-dropping-particle":"","parse-names":false,"suffix":""}],"container-title":"Current Opinion in Pediatrics","id":"ITEM-1","issue":"6","issued":{"date-parts":[["2016","11"]]},"page":"772-777","publisher":"Lippincott Williams and Wilkins","title":"Indoor allergen exposure and asthma outcomes","type":"article","volume":"28"},"uris":["http://www.mendeley.com/documents/?uuid=a6124edf-4557-413d-b352-aafbc19e7077"]},{"id":"ITEM-2","itemData":{"DOI":"10.1111/cea.12157","ISSN":"09547894","PMID":"24074335","abstract":"BACKGROUND Little is known about time trend of prevalence of asthma and the association between the changing prevalence and allergen sensitization in Chinese children. OBJECTIVE To determine the changes in prevalence of asthma and allergen sensitization in schoolchildren over a period of 15 years. METHODS A total of 6928 schoolchildren aged 13-14 years in 2009 were recruited for the study using the Phase III Protocol of the International Study of Asthma and Allergic disease in Childhood (ISAAC) and 2531 of them underwent skin prick test for seven common aeroallergens. The results were compared with those obtained in the Phase I (1994/95) and III (2001/02) ISAAC studies. RESULTS The prevalence of asthma ever and current wheeze increased from 3.9% and 3.4% in 1994, to 4.6% and 4.8% in 2001 (P&lt;0.001), and to 6.9% and 6.1% in 2009 (P ≤ 0.008). The prevalence of higher degree of skin response to house dust mites (HDMs) and cat, and atopic index increased significantly in all children in 2010 when compared with those in 2002 (P&lt;0.001). Prevalence of wheeze remained unchanged in subjects without sensitization to any tested allergen including HDMs (P &gt; 0.05). Sensitization to HDMs, especially Dermatophagoides Pteronyssinus was associated with increase in prevalence of wheeze. CONCLUSION The prevalence of wheeze and sensitization to common aeroallergens in secondary schoolchildren in Guangzhou China has increased significantly since 1994. Sensitization to HDMs is an important risk factor associated with the increase in prevalence of wheeze in this group of population in Guangzhou city.","author":[{"dropping-particle":"","family":"Li","given":"Jing","non-dropping-particle":"","parse-names":false,"suffix":""},{"dropping-particle":"","family":"Wang","given":"Hongyu","non-dropping-particle":"","parse-names":false,"suffix":""},{"dropping-particle":"","family":"Chen","given":"Yan","non-dropping-particle":"","parse-names":false,"suffix":""},{"dropping-particle":"","family":"Zheng","given":"Jingping","non-dropping-particle":"","parse-names":false,"suffix":""},{"dropping-particle":"","family":"Wong","given":"Gary WK","non-dropping-particle":"","parse-names":false,"suffix":""},{"dropping-particle":"","family":"Zhong","given":"Nanshan","non-dropping-particle":"","parse-names":false,"suffix":""}],"container-title":"Clinical &amp; Experimental Allergy","id":"ITEM-2","issue":"10","issued":{"date-parts":[["2013","6"]]},"page":"n/a-n/a","title":"House dust mite sensitization is the main risk factor for the increase in prevalence of wheeze in 13-14 year old schoolchildren in Guangzhou city, China","type":"article-journal","volume":"43"},"uris":["http://www.mendeley.com/documents/?uuid=069e1a2c-61e1-3985-9f03-ddbd515ebb8b","http://www.mendeley.com/documents/?uuid=14b4b613-02b4-4aef-8d2b-41b08ff21840"]},{"id":"ITEM-3","itemData":{"DOI":"10.1186/s40413-016-0138-8","ISSN":"19394551","abstract":"Severe asthma is a major health concern. The allergic (IgE-mediated) form of asthma is well known from a pathogenic viewpoint. We searched the available literature to identify which allergens are most frequently associated with severe, refractory or life threatening asthma. According to the results, molds, pet dander, cockroach and ragweed were more frequently responsible for severe asthma. Thunderstorm asthma, in addition, represents a special association between allergic sensitization and an external climatic factor. A detailed knowledge of the most harmful allergens is mandatory for an appropriate diagnostic and preventive approach.","author":[{"dropping-particle":"","family":"Lombardi","given":"Carlo","non-dropping-particle":"","parse-names":false,"suffix":""},{"dropping-particle":"","family":"Savi","given":"Eleonora","non-dropping-particle":"","parse-names":false,"suffix":""},{"dropping-particle":"","family":"Ridolo","given":"Erminia","non-dropping-particle":"","parse-names":false,"suffix":""},{"dropping-particle":"","family":"Passalacqua","given":"Giovanni","non-dropping-particle":"","parse-names":false,"suffix":""},{"dropping-particle":"","family":"Canonica","given":"Giorgio Walter","non-dropping-particle":"","parse-names":false,"suffix":""}],"container-title":"World Allergy Organization Journal","id":"ITEM-3","issue":"1","issued":{"date-parts":[["2017","1"]]},"publisher":"BioMed Central Ltd.","title":"Is allergic sensitization relevant in severe asthma? Which allergens may be culprit?","type":"article","volume":"10"},"uris":["http://www.mendeley.com/documents/?uuid=51029b38-3e21-4451-b74a-6e01d97ec23a"]}],"mendeley":{"formattedCitation":"[12–14]","plainTextFormattedCitation":"[12–14]","previouslyFormattedCitation":"[12–14]"},"properties":{"noteIndex":0},"schema":"https://github.com/citation-style-language/schema/raw/master/csl-citation.json"}</w:instrText>
      </w:r>
      <w:r w:rsidR="0084419E">
        <w:rPr>
          <w:rFonts w:ascii="Times New Roman" w:eastAsia="Times New Roman" w:hAnsi="Times New Roman" w:cs="Times New Roman"/>
          <w:sz w:val="24"/>
          <w:szCs w:val="24"/>
        </w:rPr>
        <w:fldChar w:fldCharType="separate"/>
      </w:r>
      <w:r w:rsidR="00540D2A" w:rsidRPr="00540D2A">
        <w:rPr>
          <w:rFonts w:ascii="Times New Roman" w:eastAsia="Times New Roman" w:hAnsi="Times New Roman" w:cs="Times New Roman"/>
          <w:noProof/>
          <w:sz w:val="24"/>
          <w:szCs w:val="24"/>
        </w:rPr>
        <w:t>[12–14]</w:t>
      </w:r>
      <w:r w:rsidR="0084419E">
        <w:rPr>
          <w:rFonts w:ascii="Times New Roman" w:eastAsia="Times New Roman" w:hAnsi="Times New Roman" w:cs="Times New Roman"/>
          <w:sz w:val="24"/>
          <w:szCs w:val="24"/>
        </w:rPr>
        <w:fldChar w:fldCharType="end"/>
      </w:r>
      <w:r w:rsidRPr="0084419E">
        <w:rPr>
          <w:rFonts w:ascii="Times New Roman" w:eastAsia="Times New Roman" w:hAnsi="Times New Roman" w:cs="Times New Roman"/>
          <w:sz w:val="24"/>
          <w:szCs w:val="24"/>
        </w:rPr>
        <w:t xml:space="preserve"> Strong sensitization was defined as </w:t>
      </w:r>
      <w:proofErr w:type="spellStart"/>
      <w:r w:rsidRPr="0084419E">
        <w:rPr>
          <w:rFonts w:ascii="Times New Roman" w:eastAsia="Times New Roman" w:hAnsi="Times New Roman" w:cs="Times New Roman"/>
          <w:sz w:val="24"/>
          <w:szCs w:val="24"/>
        </w:rPr>
        <w:t>sIgE</w:t>
      </w:r>
      <w:proofErr w:type="spellEnd"/>
      <w:r w:rsidRPr="0084419E">
        <w:rPr>
          <w:rFonts w:ascii="Times New Roman" w:eastAsia="Times New Roman" w:hAnsi="Times New Roman" w:cs="Times New Roman"/>
          <w:sz w:val="24"/>
          <w:szCs w:val="24"/>
        </w:rPr>
        <w:t xml:space="preserve"> class R4-R6 to the respective allergen (</w:t>
      </w:r>
      <w:proofErr w:type="spellStart"/>
      <w:r w:rsidRPr="0084419E">
        <w:rPr>
          <w:rFonts w:ascii="Times New Roman" w:eastAsia="Times New Roman" w:hAnsi="Times New Roman" w:cs="Times New Roman"/>
          <w:sz w:val="24"/>
          <w:szCs w:val="24"/>
        </w:rPr>
        <w:t>sIgE</w:t>
      </w:r>
      <w:proofErr w:type="spellEnd"/>
      <w:r w:rsidRPr="0084419E">
        <w:rPr>
          <w:rFonts w:ascii="Times New Roman" w:eastAsia="Times New Roman" w:hAnsi="Times New Roman" w:cs="Times New Roman"/>
          <w:sz w:val="24"/>
          <w:szCs w:val="24"/>
        </w:rPr>
        <w:t xml:space="preserve"> to the respective allergen &gt; 17.50 </w:t>
      </w:r>
      <w:proofErr w:type="spellStart"/>
      <w:r w:rsidRPr="0084419E">
        <w:rPr>
          <w:rFonts w:ascii="Times New Roman" w:eastAsia="Times New Roman" w:hAnsi="Times New Roman" w:cs="Times New Roman"/>
          <w:sz w:val="24"/>
          <w:szCs w:val="24"/>
        </w:rPr>
        <w:t>kU</w:t>
      </w:r>
      <w:proofErr w:type="spellEnd"/>
      <w:r w:rsidRPr="0084419E">
        <w:rPr>
          <w:rFonts w:ascii="Times New Roman" w:eastAsia="Times New Roman" w:hAnsi="Times New Roman" w:cs="Times New Roman"/>
          <w:sz w:val="24"/>
          <w:szCs w:val="24"/>
        </w:rPr>
        <w:t xml:space="preserve">/L). Atopic dermatitis was one-hot </w:t>
      </w:r>
      <w:r w:rsidRPr="0084419E">
        <w:rPr>
          <w:rFonts w:ascii="Times New Roman" w:eastAsia="Times New Roman" w:hAnsi="Times New Roman" w:cs="Times New Roman"/>
          <w:sz w:val="24"/>
          <w:szCs w:val="24"/>
        </w:rPr>
        <w:lastRenderedPageBreak/>
        <w:t>encoded, where values from -1 to .5 were assigned the value 0 and values above .5 were assigned a value of 1. Patients with missing response data (18 patients) were removed from the analysis. Feature selection for clustering was conducted through filtering based on the variance threshold, which was set to 5%.</w:t>
      </w:r>
    </w:p>
    <w:p w14:paraId="238A63A8" w14:textId="4ACB1AF1" w:rsidR="00424987" w:rsidRPr="00107DCD" w:rsidRDefault="007E21B3" w:rsidP="000B582A">
      <w:pPr>
        <w:pStyle w:val="Naslov1"/>
        <w:spacing w:line="480" w:lineRule="auto"/>
        <w:jc w:val="both"/>
        <w:rPr>
          <w:rFonts w:cs="Times New Roman"/>
        </w:rPr>
      </w:pPr>
      <w:bookmarkStart w:id="17" w:name="_Toc64274771"/>
      <w:r>
        <w:rPr>
          <w:rFonts w:cs="Times New Roman"/>
        </w:rPr>
        <w:t>Table</w:t>
      </w:r>
      <w:bookmarkEnd w:id="17"/>
    </w:p>
    <w:p w14:paraId="356DB6A2" w14:textId="13A30D24" w:rsidR="003252EE" w:rsidRPr="003252EE" w:rsidRDefault="00424987" w:rsidP="000B582A">
      <w:pPr>
        <w:spacing w:line="480" w:lineRule="auto"/>
        <w:rPr>
          <w:rFonts w:ascii="Times New Roman" w:hAnsi="Times New Roman" w:cs="Times New Roman"/>
          <w:sz w:val="24"/>
          <w:szCs w:val="24"/>
        </w:rPr>
      </w:pPr>
      <w:r w:rsidRPr="003252EE">
        <w:rPr>
          <w:rFonts w:ascii="Times New Roman" w:hAnsi="Times New Roman" w:cs="Times New Roman"/>
          <w:sz w:val="24"/>
          <w:szCs w:val="24"/>
        </w:rPr>
        <w:t xml:space="preserve">Table </w:t>
      </w:r>
      <w:r w:rsidR="00B24C9A">
        <w:rPr>
          <w:rFonts w:ascii="Times New Roman" w:hAnsi="Times New Roman" w:cs="Times New Roman"/>
          <w:sz w:val="24"/>
          <w:szCs w:val="24"/>
        </w:rPr>
        <w:t>S4</w:t>
      </w:r>
      <w:r w:rsidRPr="003252EE">
        <w:rPr>
          <w:rFonts w:ascii="Times New Roman" w:hAnsi="Times New Roman" w:cs="Times New Roman"/>
          <w:sz w:val="24"/>
          <w:szCs w:val="24"/>
        </w:rPr>
        <w:t>. Short and long names for the variables included in the study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07"/>
        <w:gridCol w:w="6747"/>
      </w:tblGrid>
      <w:tr w:rsidR="007E21B3" w:rsidRPr="00107DCD" w14:paraId="2B830877" w14:textId="77777777" w:rsidTr="00540D2A">
        <w:trPr>
          <w:trHeight w:val="285"/>
        </w:trPr>
        <w:tc>
          <w:tcPr>
            <w:tcW w:w="2607" w:type="dxa"/>
            <w:shd w:val="clear" w:color="auto" w:fill="auto"/>
            <w:noWrap/>
            <w:vAlign w:val="bottom"/>
            <w:hideMark/>
          </w:tcPr>
          <w:p w14:paraId="2F84AB9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alrg_atopy</w:t>
            </w:r>
            <w:proofErr w:type="spellEnd"/>
          </w:p>
        </w:tc>
        <w:tc>
          <w:tcPr>
            <w:tcW w:w="6747" w:type="dxa"/>
            <w:shd w:val="clear" w:color="auto" w:fill="auto"/>
            <w:noWrap/>
            <w:vAlign w:val="bottom"/>
            <w:hideMark/>
          </w:tcPr>
          <w:p w14:paraId="0FB846DB" w14:textId="5D0E2C88" w:rsidR="007E21B3" w:rsidRPr="00107DCD" w:rsidRDefault="00AA5A47"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Atopy status</w:t>
            </w:r>
          </w:p>
        </w:tc>
      </w:tr>
      <w:tr w:rsidR="007E21B3" w:rsidRPr="00107DCD" w14:paraId="69479CC4" w14:textId="77777777" w:rsidTr="00540D2A">
        <w:trPr>
          <w:trHeight w:val="285"/>
        </w:trPr>
        <w:tc>
          <w:tcPr>
            <w:tcW w:w="2607" w:type="dxa"/>
            <w:shd w:val="clear" w:color="auto" w:fill="auto"/>
            <w:noWrap/>
            <w:vAlign w:val="bottom"/>
            <w:hideMark/>
          </w:tcPr>
          <w:p w14:paraId="5CE88CF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alrg_d1_perennial_ige</w:t>
            </w:r>
          </w:p>
        </w:tc>
        <w:tc>
          <w:tcPr>
            <w:tcW w:w="6747" w:type="dxa"/>
            <w:shd w:val="clear" w:color="auto" w:fill="auto"/>
            <w:noWrap/>
            <w:vAlign w:val="bottom"/>
            <w:hideMark/>
          </w:tcPr>
          <w:p w14:paraId="607450AB" w14:textId="5E28CFCD"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 </w:t>
            </w:r>
            <w:proofErr w:type="spellStart"/>
            <w:proofErr w:type="gramStart"/>
            <w:r w:rsidR="00B92C3E" w:rsidRPr="00107DCD">
              <w:rPr>
                <w:rFonts w:ascii="Times New Roman" w:eastAsia="Times New Roman" w:hAnsi="Times New Roman" w:cs="Times New Roman"/>
                <w:color w:val="000000"/>
                <w:sz w:val="20"/>
                <w:lang w:val="en-US"/>
              </w:rPr>
              <w:t>Dermatophagoides</w:t>
            </w:r>
            <w:proofErr w:type="spellEnd"/>
            <w:r w:rsidR="00B92C3E" w:rsidRPr="00107DCD">
              <w:rPr>
                <w:rFonts w:ascii="Times New Roman" w:eastAsia="Times New Roman" w:hAnsi="Times New Roman" w:cs="Times New Roman"/>
                <w:color w:val="000000"/>
                <w:sz w:val="20"/>
                <w:lang w:val="en-US"/>
              </w:rPr>
              <w:t xml:space="preserve"> </w:t>
            </w:r>
            <w:r w:rsidRPr="00107DCD">
              <w:rPr>
                <w:rFonts w:ascii="Times New Roman" w:eastAsia="Times New Roman" w:hAnsi="Times New Roman" w:cs="Times New Roman"/>
                <w:color w:val="000000"/>
                <w:sz w:val="20"/>
                <w:lang w:val="en-US"/>
              </w:rPr>
              <w:t xml:space="preserve"> </w:t>
            </w:r>
            <w:proofErr w:type="spellStart"/>
            <w:r w:rsidRPr="00107DCD">
              <w:rPr>
                <w:rFonts w:ascii="Times New Roman" w:eastAsia="Times New Roman" w:hAnsi="Times New Roman" w:cs="Times New Roman"/>
                <w:color w:val="000000"/>
                <w:sz w:val="20"/>
                <w:lang w:val="en-US"/>
              </w:rPr>
              <w:t>pteronyssinus</w:t>
            </w:r>
            <w:proofErr w:type="spellEnd"/>
            <w:proofErr w:type="gramEnd"/>
            <w:r w:rsidRPr="00107DCD">
              <w:rPr>
                <w:rFonts w:ascii="Times New Roman" w:eastAsia="Times New Roman" w:hAnsi="Times New Roman" w:cs="Times New Roman"/>
                <w:color w:val="000000"/>
                <w:sz w:val="20"/>
                <w:lang w:val="en-US"/>
              </w:rPr>
              <w:t xml:space="preserve"> (d1)</w:t>
            </w:r>
          </w:p>
        </w:tc>
      </w:tr>
      <w:tr w:rsidR="007E21B3" w:rsidRPr="00107DCD" w14:paraId="41EFC04D" w14:textId="77777777" w:rsidTr="00540D2A">
        <w:trPr>
          <w:trHeight w:val="285"/>
        </w:trPr>
        <w:tc>
          <w:tcPr>
            <w:tcW w:w="2607" w:type="dxa"/>
            <w:shd w:val="clear" w:color="auto" w:fill="auto"/>
            <w:noWrap/>
            <w:vAlign w:val="bottom"/>
            <w:hideMark/>
          </w:tcPr>
          <w:p w14:paraId="7B55F39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alrg_d2_perrenial_ige</w:t>
            </w:r>
          </w:p>
        </w:tc>
        <w:tc>
          <w:tcPr>
            <w:tcW w:w="6747" w:type="dxa"/>
            <w:shd w:val="clear" w:color="auto" w:fill="auto"/>
            <w:noWrap/>
            <w:vAlign w:val="bottom"/>
            <w:hideMark/>
          </w:tcPr>
          <w:p w14:paraId="2B6E4F95" w14:textId="73233E81"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 </w:t>
            </w:r>
            <w:proofErr w:type="spellStart"/>
            <w:proofErr w:type="gramStart"/>
            <w:r w:rsidR="00B92C3E" w:rsidRPr="00107DCD">
              <w:rPr>
                <w:rFonts w:ascii="Times New Roman" w:eastAsia="Times New Roman" w:hAnsi="Times New Roman" w:cs="Times New Roman"/>
                <w:color w:val="000000"/>
                <w:sz w:val="20"/>
                <w:lang w:val="en-US"/>
              </w:rPr>
              <w:t>Dermatophagoides</w:t>
            </w:r>
            <w:proofErr w:type="spellEnd"/>
            <w:r w:rsidR="00B92C3E" w:rsidRPr="00107DCD">
              <w:rPr>
                <w:rFonts w:ascii="Times New Roman" w:eastAsia="Times New Roman" w:hAnsi="Times New Roman" w:cs="Times New Roman"/>
                <w:color w:val="000000"/>
                <w:sz w:val="20"/>
                <w:lang w:val="en-US"/>
              </w:rPr>
              <w:t xml:space="preserve"> </w:t>
            </w:r>
            <w:r w:rsidRPr="00107DCD">
              <w:rPr>
                <w:rFonts w:ascii="Times New Roman" w:eastAsia="Times New Roman" w:hAnsi="Times New Roman" w:cs="Times New Roman"/>
                <w:color w:val="000000"/>
                <w:sz w:val="20"/>
                <w:lang w:val="en-US"/>
              </w:rPr>
              <w:t xml:space="preserve"> </w:t>
            </w:r>
            <w:proofErr w:type="spellStart"/>
            <w:r w:rsidRPr="00107DCD">
              <w:rPr>
                <w:rFonts w:ascii="Times New Roman" w:eastAsia="Times New Roman" w:hAnsi="Times New Roman" w:cs="Times New Roman"/>
                <w:color w:val="000000"/>
                <w:sz w:val="20"/>
                <w:lang w:val="en-US"/>
              </w:rPr>
              <w:t>farinae</w:t>
            </w:r>
            <w:proofErr w:type="spellEnd"/>
            <w:proofErr w:type="gramEnd"/>
            <w:r w:rsidRPr="00107DCD">
              <w:rPr>
                <w:rFonts w:ascii="Times New Roman" w:eastAsia="Times New Roman" w:hAnsi="Times New Roman" w:cs="Times New Roman"/>
                <w:color w:val="000000"/>
                <w:sz w:val="20"/>
                <w:lang w:val="en-US"/>
              </w:rPr>
              <w:t xml:space="preserve"> (d2)</w:t>
            </w:r>
          </w:p>
        </w:tc>
      </w:tr>
      <w:tr w:rsidR="007E21B3" w:rsidRPr="00107DCD" w14:paraId="760DC809" w14:textId="77777777" w:rsidTr="00540D2A">
        <w:trPr>
          <w:trHeight w:val="285"/>
        </w:trPr>
        <w:tc>
          <w:tcPr>
            <w:tcW w:w="2607" w:type="dxa"/>
            <w:shd w:val="clear" w:color="auto" w:fill="auto"/>
            <w:noWrap/>
            <w:vAlign w:val="bottom"/>
            <w:hideMark/>
          </w:tcPr>
          <w:p w14:paraId="25B1142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alrg_e1_perennial_ige</w:t>
            </w:r>
          </w:p>
        </w:tc>
        <w:tc>
          <w:tcPr>
            <w:tcW w:w="6747" w:type="dxa"/>
            <w:shd w:val="clear" w:color="auto" w:fill="auto"/>
            <w:noWrap/>
            <w:vAlign w:val="bottom"/>
            <w:hideMark/>
          </w:tcPr>
          <w:p w14:paraId="155EEF4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 cat dander</w:t>
            </w:r>
          </w:p>
        </w:tc>
      </w:tr>
      <w:tr w:rsidR="007E21B3" w:rsidRPr="00107DCD" w14:paraId="648D1CFD" w14:textId="77777777" w:rsidTr="00540D2A">
        <w:trPr>
          <w:trHeight w:val="285"/>
        </w:trPr>
        <w:tc>
          <w:tcPr>
            <w:tcW w:w="2607" w:type="dxa"/>
            <w:shd w:val="clear" w:color="auto" w:fill="auto"/>
            <w:noWrap/>
            <w:vAlign w:val="bottom"/>
            <w:hideMark/>
          </w:tcPr>
          <w:p w14:paraId="09BFF44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alrg_food_ige</w:t>
            </w:r>
            <w:proofErr w:type="spellEnd"/>
          </w:p>
        </w:tc>
        <w:tc>
          <w:tcPr>
            <w:tcW w:w="6747" w:type="dxa"/>
            <w:shd w:val="clear" w:color="auto" w:fill="auto"/>
            <w:noWrap/>
            <w:vAlign w:val="bottom"/>
            <w:hideMark/>
          </w:tcPr>
          <w:p w14:paraId="240B677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proofErr w:type="gram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w:t>
            </w:r>
            <w:proofErr w:type="gramEnd"/>
            <w:r w:rsidRPr="00107DCD">
              <w:rPr>
                <w:rFonts w:ascii="Times New Roman" w:eastAsia="Times New Roman" w:hAnsi="Times New Roman" w:cs="Times New Roman"/>
                <w:color w:val="000000"/>
                <w:sz w:val="20"/>
                <w:lang w:val="en-US"/>
              </w:rPr>
              <w:t xml:space="preserve"> any food allergen</w:t>
            </w:r>
          </w:p>
        </w:tc>
      </w:tr>
      <w:tr w:rsidR="007E21B3" w:rsidRPr="00107DCD" w14:paraId="5EC305DC" w14:textId="77777777" w:rsidTr="00540D2A">
        <w:trPr>
          <w:trHeight w:val="285"/>
        </w:trPr>
        <w:tc>
          <w:tcPr>
            <w:tcW w:w="2607" w:type="dxa"/>
            <w:shd w:val="clear" w:color="auto" w:fill="auto"/>
            <w:noWrap/>
            <w:vAlign w:val="bottom"/>
            <w:hideMark/>
          </w:tcPr>
          <w:p w14:paraId="149E112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alrg_food_spt</w:t>
            </w:r>
            <w:proofErr w:type="spellEnd"/>
          </w:p>
        </w:tc>
        <w:tc>
          <w:tcPr>
            <w:tcW w:w="6747" w:type="dxa"/>
            <w:shd w:val="clear" w:color="auto" w:fill="auto"/>
            <w:noWrap/>
            <w:vAlign w:val="bottom"/>
            <w:hideMark/>
          </w:tcPr>
          <w:p w14:paraId="0F0570B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SPT results to food allergens</w:t>
            </w:r>
          </w:p>
        </w:tc>
      </w:tr>
      <w:tr w:rsidR="007E21B3" w:rsidRPr="00107DCD" w14:paraId="464C7A1A" w14:textId="77777777" w:rsidTr="00540D2A">
        <w:trPr>
          <w:trHeight w:val="285"/>
        </w:trPr>
        <w:tc>
          <w:tcPr>
            <w:tcW w:w="2607" w:type="dxa"/>
            <w:shd w:val="clear" w:color="auto" w:fill="auto"/>
            <w:noWrap/>
            <w:vAlign w:val="bottom"/>
            <w:hideMark/>
          </w:tcPr>
          <w:p w14:paraId="7AC4A4C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alrg_perennial_ige</w:t>
            </w:r>
            <w:proofErr w:type="spellEnd"/>
          </w:p>
        </w:tc>
        <w:tc>
          <w:tcPr>
            <w:tcW w:w="6747" w:type="dxa"/>
            <w:shd w:val="clear" w:color="auto" w:fill="auto"/>
            <w:noWrap/>
            <w:vAlign w:val="bottom"/>
            <w:hideMark/>
          </w:tcPr>
          <w:p w14:paraId="64F2810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 any perennial inhaled allergen</w:t>
            </w:r>
          </w:p>
        </w:tc>
      </w:tr>
      <w:tr w:rsidR="007E21B3" w:rsidRPr="00107DCD" w14:paraId="368D3649" w14:textId="77777777" w:rsidTr="00540D2A">
        <w:trPr>
          <w:trHeight w:val="285"/>
        </w:trPr>
        <w:tc>
          <w:tcPr>
            <w:tcW w:w="2607" w:type="dxa"/>
            <w:shd w:val="clear" w:color="auto" w:fill="auto"/>
            <w:noWrap/>
            <w:vAlign w:val="bottom"/>
            <w:hideMark/>
          </w:tcPr>
          <w:p w14:paraId="7EF516C0"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alrg_perennial_spt</w:t>
            </w:r>
            <w:proofErr w:type="spellEnd"/>
          </w:p>
        </w:tc>
        <w:tc>
          <w:tcPr>
            <w:tcW w:w="6747" w:type="dxa"/>
            <w:shd w:val="clear" w:color="auto" w:fill="auto"/>
            <w:noWrap/>
            <w:vAlign w:val="bottom"/>
            <w:hideMark/>
          </w:tcPr>
          <w:p w14:paraId="1B76C5C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SPT results to any perennial inhaled allergen</w:t>
            </w:r>
          </w:p>
        </w:tc>
      </w:tr>
      <w:tr w:rsidR="007E21B3" w:rsidRPr="00107DCD" w14:paraId="5001F5F5" w14:textId="77777777" w:rsidTr="00540D2A">
        <w:trPr>
          <w:trHeight w:val="285"/>
        </w:trPr>
        <w:tc>
          <w:tcPr>
            <w:tcW w:w="2607" w:type="dxa"/>
            <w:shd w:val="clear" w:color="auto" w:fill="auto"/>
            <w:noWrap/>
            <w:vAlign w:val="bottom"/>
            <w:hideMark/>
          </w:tcPr>
          <w:p w14:paraId="626858B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alrg_season_ige</w:t>
            </w:r>
            <w:proofErr w:type="spellEnd"/>
          </w:p>
        </w:tc>
        <w:tc>
          <w:tcPr>
            <w:tcW w:w="6747" w:type="dxa"/>
            <w:shd w:val="clear" w:color="auto" w:fill="auto"/>
            <w:noWrap/>
            <w:vAlign w:val="bottom"/>
            <w:hideMark/>
          </w:tcPr>
          <w:p w14:paraId="581F9E1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 any seasonal inhaled allergen</w:t>
            </w:r>
          </w:p>
        </w:tc>
      </w:tr>
      <w:tr w:rsidR="007E21B3" w:rsidRPr="00107DCD" w14:paraId="53B382E1" w14:textId="77777777" w:rsidTr="00540D2A">
        <w:trPr>
          <w:trHeight w:val="285"/>
        </w:trPr>
        <w:tc>
          <w:tcPr>
            <w:tcW w:w="2607" w:type="dxa"/>
            <w:shd w:val="clear" w:color="auto" w:fill="auto"/>
            <w:noWrap/>
            <w:vAlign w:val="bottom"/>
            <w:hideMark/>
          </w:tcPr>
          <w:p w14:paraId="7645AB0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alrg_season_spt</w:t>
            </w:r>
            <w:proofErr w:type="spellEnd"/>
          </w:p>
        </w:tc>
        <w:tc>
          <w:tcPr>
            <w:tcW w:w="6747" w:type="dxa"/>
            <w:shd w:val="clear" w:color="auto" w:fill="auto"/>
            <w:noWrap/>
            <w:vAlign w:val="bottom"/>
            <w:hideMark/>
          </w:tcPr>
          <w:p w14:paraId="69BEB1A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 xml:space="preserve">SPT results to any </w:t>
            </w:r>
            <w:proofErr w:type="spellStart"/>
            <w:r w:rsidRPr="00107DCD">
              <w:rPr>
                <w:rFonts w:ascii="Times New Roman" w:eastAsia="Times New Roman" w:hAnsi="Times New Roman" w:cs="Times New Roman"/>
                <w:color w:val="000000"/>
                <w:sz w:val="20"/>
                <w:lang w:val="en-US"/>
              </w:rPr>
              <w:t>seasoonal</w:t>
            </w:r>
            <w:proofErr w:type="spellEnd"/>
            <w:r w:rsidRPr="00107DCD">
              <w:rPr>
                <w:rFonts w:ascii="Times New Roman" w:eastAsia="Times New Roman" w:hAnsi="Times New Roman" w:cs="Times New Roman"/>
                <w:color w:val="000000"/>
                <w:sz w:val="20"/>
                <w:lang w:val="en-US"/>
              </w:rPr>
              <w:t xml:space="preserve"> inhaled allergen</w:t>
            </w:r>
          </w:p>
        </w:tc>
      </w:tr>
      <w:tr w:rsidR="007E21B3" w:rsidRPr="00107DCD" w14:paraId="787F0AF1" w14:textId="77777777" w:rsidTr="00540D2A">
        <w:trPr>
          <w:trHeight w:val="285"/>
        </w:trPr>
        <w:tc>
          <w:tcPr>
            <w:tcW w:w="2607" w:type="dxa"/>
            <w:shd w:val="clear" w:color="auto" w:fill="auto"/>
            <w:noWrap/>
            <w:vAlign w:val="bottom"/>
            <w:hideMark/>
          </w:tcPr>
          <w:p w14:paraId="28B0D8B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alrg_venom_ige</w:t>
            </w:r>
            <w:proofErr w:type="spellEnd"/>
          </w:p>
        </w:tc>
        <w:tc>
          <w:tcPr>
            <w:tcW w:w="6747" w:type="dxa"/>
            <w:shd w:val="clear" w:color="auto" w:fill="auto"/>
            <w:noWrap/>
            <w:vAlign w:val="bottom"/>
            <w:hideMark/>
          </w:tcPr>
          <w:p w14:paraId="2375C7C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 Hymenoptera venom</w:t>
            </w:r>
          </w:p>
        </w:tc>
      </w:tr>
      <w:tr w:rsidR="007E21B3" w:rsidRPr="00107DCD" w14:paraId="4F0BB984" w14:textId="77777777" w:rsidTr="00540D2A">
        <w:trPr>
          <w:trHeight w:val="285"/>
        </w:trPr>
        <w:tc>
          <w:tcPr>
            <w:tcW w:w="2607" w:type="dxa"/>
            <w:shd w:val="clear" w:color="auto" w:fill="auto"/>
            <w:noWrap/>
            <w:vAlign w:val="bottom"/>
            <w:hideMark/>
          </w:tcPr>
          <w:p w14:paraId="3CD3A8F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alrg_w1_seasonal_ige</w:t>
            </w:r>
          </w:p>
        </w:tc>
        <w:tc>
          <w:tcPr>
            <w:tcW w:w="6747" w:type="dxa"/>
            <w:shd w:val="clear" w:color="auto" w:fill="auto"/>
            <w:noWrap/>
            <w:vAlign w:val="bottom"/>
            <w:hideMark/>
          </w:tcPr>
          <w:p w14:paraId="1F06482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sIgE</w:t>
            </w:r>
            <w:proofErr w:type="spellEnd"/>
            <w:r w:rsidRPr="00107DCD">
              <w:rPr>
                <w:rFonts w:ascii="Times New Roman" w:eastAsia="Times New Roman" w:hAnsi="Times New Roman" w:cs="Times New Roman"/>
                <w:color w:val="000000"/>
                <w:sz w:val="20"/>
                <w:lang w:val="en-US"/>
              </w:rPr>
              <w:t xml:space="preserve"> to Ambrosia </w:t>
            </w:r>
            <w:proofErr w:type="spellStart"/>
            <w:r w:rsidRPr="00107DCD">
              <w:rPr>
                <w:rFonts w:ascii="Times New Roman" w:eastAsia="Times New Roman" w:hAnsi="Times New Roman" w:cs="Times New Roman"/>
                <w:color w:val="000000"/>
                <w:sz w:val="20"/>
                <w:lang w:val="en-US"/>
              </w:rPr>
              <w:t>artemisiifolia</w:t>
            </w:r>
            <w:proofErr w:type="spellEnd"/>
          </w:p>
        </w:tc>
      </w:tr>
      <w:tr w:rsidR="007E21B3" w:rsidRPr="00107DCD" w14:paraId="11959A7F" w14:textId="77777777" w:rsidTr="00540D2A">
        <w:trPr>
          <w:trHeight w:val="285"/>
        </w:trPr>
        <w:tc>
          <w:tcPr>
            <w:tcW w:w="2607" w:type="dxa"/>
            <w:shd w:val="clear" w:color="auto" w:fill="auto"/>
            <w:noWrap/>
            <w:vAlign w:val="bottom"/>
            <w:hideMark/>
          </w:tcPr>
          <w:p w14:paraId="0FD8EE9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ass_asthma_ctrl_baseline</w:t>
            </w:r>
            <w:proofErr w:type="spellEnd"/>
          </w:p>
        </w:tc>
        <w:tc>
          <w:tcPr>
            <w:tcW w:w="6747" w:type="dxa"/>
            <w:shd w:val="clear" w:color="auto" w:fill="auto"/>
            <w:noWrap/>
            <w:vAlign w:val="bottom"/>
            <w:hideMark/>
          </w:tcPr>
          <w:p w14:paraId="1047124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Level of Asthma Control (controlled= 1, partly controlled= 2, uncontrolled= 3)</w:t>
            </w:r>
          </w:p>
        </w:tc>
      </w:tr>
      <w:tr w:rsidR="007E21B3" w:rsidRPr="00107DCD" w14:paraId="3ED8FF30" w14:textId="77777777" w:rsidTr="00540D2A">
        <w:trPr>
          <w:trHeight w:val="285"/>
        </w:trPr>
        <w:tc>
          <w:tcPr>
            <w:tcW w:w="2607" w:type="dxa"/>
            <w:shd w:val="clear" w:color="auto" w:fill="auto"/>
            <w:noWrap/>
            <w:vAlign w:val="bottom"/>
            <w:hideMark/>
          </w:tcPr>
          <w:p w14:paraId="3354A60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ass_asthma_sev_baseline</w:t>
            </w:r>
            <w:proofErr w:type="spellEnd"/>
          </w:p>
        </w:tc>
        <w:tc>
          <w:tcPr>
            <w:tcW w:w="6747" w:type="dxa"/>
            <w:shd w:val="clear" w:color="auto" w:fill="auto"/>
            <w:noWrap/>
            <w:vAlign w:val="bottom"/>
            <w:hideMark/>
          </w:tcPr>
          <w:p w14:paraId="5172DEC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Asthma severity at baseline</w:t>
            </w:r>
          </w:p>
        </w:tc>
      </w:tr>
      <w:tr w:rsidR="007E21B3" w:rsidRPr="00107DCD" w14:paraId="5F9D95CD" w14:textId="77777777" w:rsidTr="00540D2A">
        <w:trPr>
          <w:trHeight w:val="285"/>
        </w:trPr>
        <w:tc>
          <w:tcPr>
            <w:tcW w:w="2607" w:type="dxa"/>
            <w:shd w:val="clear" w:color="auto" w:fill="auto"/>
            <w:noWrap/>
            <w:vAlign w:val="bottom"/>
            <w:hideMark/>
          </w:tcPr>
          <w:p w14:paraId="25C2A330"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cmb_ahi</w:t>
            </w:r>
            <w:proofErr w:type="spellEnd"/>
          </w:p>
        </w:tc>
        <w:tc>
          <w:tcPr>
            <w:tcW w:w="6747" w:type="dxa"/>
            <w:shd w:val="clear" w:color="auto" w:fill="auto"/>
            <w:noWrap/>
            <w:vAlign w:val="bottom"/>
            <w:hideMark/>
          </w:tcPr>
          <w:p w14:paraId="36FB3E9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AHI</w:t>
            </w:r>
          </w:p>
        </w:tc>
      </w:tr>
      <w:tr w:rsidR="007E21B3" w:rsidRPr="00107DCD" w14:paraId="6AB6C294" w14:textId="77777777" w:rsidTr="00540D2A">
        <w:trPr>
          <w:trHeight w:val="285"/>
        </w:trPr>
        <w:tc>
          <w:tcPr>
            <w:tcW w:w="2607" w:type="dxa"/>
            <w:shd w:val="clear" w:color="auto" w:fill="auto"/>
            <w:noWrap/>
            <w:vAlign w:val="bottom"/>
            <w:hideMark/>
          </w:tcPr>
          <w:p w14:paraId="3B88BCF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cmb_allergic_rh1stis</w:t>
            </w:r>
          </w:p>
        </w:tc>
        <w:tc>
          <w:tcPr>
            <w:tcW w:w="6747" w:type="dxa"/>
            <w:shd w:val="clear" w:color="auto" w:fill="auto"/>
            <w:noWrap/>
            <w:vAlign w:val="bottom"/>
            <w:hideMark/>
          </w:tcPr>
          <w:p w14:paraId="07C6A50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Allergic rhinitis (yes=1, no=0)</w:t>
            </w:r>
          </w:p>
        </w:tc>
      </w:tr>
      <w:tr w:rsidR="007E21B3" w:rsidRPr="00107DCD" w14:paraId="0A806D01" w14:textId="77777777" w:rsidTr="00540D2A">
        <w:trPr>
          <w:trHeight w:val="285"/>
        </w:trPr>
        <w:tc>
          <w:tcPr>
            <w:tcW w:w="2607" w:type="dxa"/>
            <w:shd w:val="clear" w:color="auto" w:fill="auto"/>
            <w:noWrap/>
            <w:vAlign w:val="bottom"/>
            <w:hideMark/>
          </w:tcPr>
          <w:p w14:paraId="0053A65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cmb_atopic_dermatitis</w:t>
            </w:r>
            <w:proofErr w:type="spellEnd"/>
          </w:p>
        </w:tc>
        <w:tc>
          <w:tcPr>
            <w:tcW w:w="6747" w:type="dxa"/>
            <w:shd w:val="clear" w:color="auto" w:fill="auto"/>
            <w:noWrap/>
            <w:vAlign w:val="bottom"/>
            <w:hideMark/>
          </w:tcPr>
          <w:p w14:paraId="2420699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 xml:space="preserve">Atopic </w:t>
            </w:r>
            <w:proofErr w:type="spellStart"/>
            <w:r w:rsidRPr="00107DCD">
              <w:rPr>
                <w:rFonts w:ascii="Times New Roman" w:eastAsia="Times New Roman" w:hAnsi="Times New Roman" w:cs="Times New Roman"/>
                <w:color w:val="000000"/>
                <w:sz w:val="20"/>
                <w:lang w:val="en-US"/>
              </w:rPr>
              <w:t>dermatits</w:t>
            </w:r>
            <w:proofErr w:type="spellEnd"/>
            <w:r w:rsidRPr="00107DCD">
              <w:rPr>
                <w:rFonts w:ascii="Times New Roman" w:eastAsia="Times New Roman" w:hAnsi="Times New Roman" w:cs="Times New Roman"/>
                <w:color w:val="000000"/>
                <w:sz w:val="20"/>
                <w:lang w:val="en-US"/>
              </w:rPr>
              <w:t xml:space="preserve"> (yes=1, no=0)</w:t>
            </w:r>
          </w:p>
        </w:tc>
      </w:tr>
      <w:tr w:rsidR="007E21B3" w:rsidRPr="00107DCD" w14:paraId="38BE40BD" w14:textId="77777777" w:rsidTr="00540D2A">
        <w:trPr>
          <w:trHeight w:val="285"/>
        </w:trPr>
        <w:tc>
          <w:tcPr>
            <w:tcW w:w="2607" w:type="dxa"/>
            <w:shd w:val="clear" w:color="auto" w:fill="auto"/>
            <w:noWrap/>
            <w:vAlign w:val="bottom"/>
            <w:hideMark/>
          </w:tcPr>
          <w:p w14:paraId="7BE26D5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cmb_gerb_bin</w:t>
            </w:r>
            <w:proofErr w:type="spellEnd"/>
          </w:p>
        </w:tc>
        <w:tc>
          <w:tcPr>
            <w:tcW w:w="6747" w:type="dxa"/>
            <w:shd w:val="clear" w:color="auto" w:fill="auto"/>
            <w:noWrap/>
            <w:vAlign w:val="bottom"/>
            <w:hideMark/>
          </w:tcPr>
          <w:p w14:paraId="388A9D3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GERB (1=positive, 0=negative)</w:t>
            </w:r>
          </w:p>
        </w:tc>
      </w:tr>
      <w:tr w:rsidR="007E21B3" w:rsidRPr="00107DCD" w14:paraId="5D9B6627" w14:textId="77777777" w:rsidTr="00540D2A">
        <w:trPr>
          <w:trHeight w:val="285"/>
        </w:trPr>
        <w:tc>
          <w:tcPr>
            <w:tcW w:w="2607" w:type="dxa"/>
            <w:shd w:val="clear" w:color="auto" w:fill="auto"/>
            <w:noWrap/>
            <w:vAlign w:val="bottom"/>
            <w:hideMark/>
          </w:tcPr>
          <w:p w14:paraId="75C672D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lastRenderedPageBreak/>
              <w:t>cmb_ri_score</w:t>
            </w:r>
            <w:proofErr w:type="spellEnd"/>
          </w:p>
        </w:tc>
        <w:tc>
          <w:tcPr>
            <w:tcW w:w="6747" w:type="dxa"/>
            <w:shd w:val="clear" w:color="auto" w:fill="auto"/>
            <w:noWrap/>
            <w:vAlign w:val="bottom"/>
            <w:hideMark/>
          </w:tcPr>
          <w:p w14:paraId="5931912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RI score (%)</w:t>
            </w:r>
          </w:p>
        </w:tc>
      </w:tr>
      <w:tr w:rsidR="007E21B3" w:rsidRPr="00107DCD" w14:paraId="69FCEEC1" w14:textId="77777777" w:rsidTr="00540D2A">
        <w:trPr>
          <w:trHeight w:val="285"/>
        </w:trPr>
        <w:tc>
          <w:tcPr>
            <w:tcW w:w="2607" w:type="dxa"/>
            <w:shd w:val="clear" w:color="auto" w:fill="auto"/>
            <w:noWrap/>
            <w:vAlign w:val="bottom"/>
            <w:hideMark/>
          </w:tcPr>
          <w:p w14:paraId="2DAADB3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gen_rs1042713</w:t>
            </w:r>
          </w:p>
        </w:tc>
        <w:tc>
          <w:tcPr>
            <w:tcW w:w="6747" w:type="dxa"/>
            <w:shd w:val="clear" w:color="auto" w:fill="auto"/>
            <w:noWrap/>
            <w:vAlign w:val="bottom"/>
            <w:hideMark/>
          </w:tcPr>
          <w:p w14:paraId="0EA84F7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rs1042713 (ADRB2)</w:t>
            </w:r>
          </w:p>
        </w:tc>
      </w:tr>
      <w:tr w:rsidR="007E21B3" w:rsidRPr="00107DCD" w14:paraId="35CE0DE5" w14:textId="77777777" w:rsidTr="00540D2A">
        <w:trPr>
          <w:trHeight w:val="285"/>
        </w:trPr>
        <w:tc>
          <w:tcPr>
            <w:tcW w:w="2607" w:type="dxa"/>
            <w:shd w:val="clear" w:color="auto" w:fill="auto"/>
            <w:noWrap/>
            <w:vAlign w:val="bottom"/>
            <w:hideMark/>
          </w:tcPr>
          <w:p w14:paraId="2760453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gen_rs17576</w:t>
            </w:r>
          </w:p>
        </w:tc>
        <w:tc>
          <w:tcPr>
            <w:tcW w:w="6747" w:type="dxa"/>
            <w:shd w:val="clear" w:color="auto" w:fill="auto"/>
            <w:noWrap/>
            <w:vAlign w:val="bottom"/>
            <w:hideMark/>
          </w:tcPr>
          <w:p w14:paraId="334D414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rs17576 (MMP9)</w:t>
            </w:r>
          </w:p>
        </w:tc>
      </w:tr>
      <w:tr w:rsidR="007E21B3" w:rsidRPr="00107DCD" w14:paraId="42DB0E4B" w14:textId="77777777" w:rsidTr="00540D2A">
        <w:trPr>
          <w:trHeight w:val="285"/>
        </w:trPr>
        <w:tc>
          <w:tcPr>
            <w:tcW w:w="2607" w:type="dxa"/>
            <w:shd w:val="clear" w:color="auto" w:fill="auto"/>
            <w:noWrap/>
            <w:vAlign w:val="bottom"/>
            <w:hideMark/>
          </w:tcPr>
          <w:p w14:paraId="3CF7E08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gen_rs1876828</w:t>
            </w:r>
          </w:p>
        </w:tc>
        <w:tc>
          <w:tcPr>
            <w:tcW w:w="6747" w:type="dxa"/>
            <w:shd w:val="clear" w:color="auto" w:fill="auto"/>
            <w:noWrap/>
            <w:vAlign w:val="bottom"/>
            <w:hideMark/>
          </w:tcPr>
          <w:p w14:paraId="0C6CBEA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rs1876828 (CRHR1)</w:t>
            </w:r>
          </w:p>
        </w:tc>
      </w:tr>
      <w:tr w:rsidR="007E21B3" w:rsidRPr="00107DCD" w14:paraId="14F9A7D0" w14:textId="77777777" w:rsidTr="00540D2A">
        <w:trPr>
          <w:trHeight w:val="285"/>
        </w:trPr>
        <w:tc>
          <w:tcPr>
            <w:tcW w:w="2607" w:type="dxa"/>
            <w:shd w:val="clear" w:color="auto" w:fill="auto"/>
            <w:noWrap/>
            <w:vAlign w:val="bottom"/>
            <w:hideMark/>
          </w:tcPr>
          <w:p w14:paraId="68C0363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gen_rs242941</w:t>
            </w:r>
          </w:p>
        </w:tc>
        <w:tc>
          <w:tcPr>
            <w:tcW w:w="6747" w:type="dxa"/>
            <w:shd w:val="clear" w:color="auto" w:fill="auto"/>
            <w:noWrap/>
            <w:vAlign w:val="bottom"/>
            <w:hideMark/>
          </w:tcPr>
          <w:p w14:paraId="30ED26E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rs242941 (CRHR1)</w:t>
            </w:r>
          </w:p>
        </w:tc>
      </w:tr>
      <w:tr w:rsidR="007E21B3" w:rsidRPr="00107DCD" w14:paraId="3411BCF5" w14:textId="77777777" w:rsidTr="00540D2A">
        <w:trPr>
          <w:trHeight w:val="285"/>
        </w:trPr>
        <w:tc>
          <w:tcPr>
            <w:tcW w:w="2607" w:type="dxa"/>
            <w:shd w:val="clear" w:color="auto" w:fill="auto"/>
            <w:noWrap/>
            <w:vAlign w:val="bottom"/>
            <w:hideMark/>
          </w:tcPr>
          <w:p w14:paraId="48A785C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gen_rs37973</w:t>
            </w:r>
          </w:p>
        </w:tc>
        <w:tc>
          <w:tcPr>
            <w:tcW w:w="6747" w:type="dxa"/>
            <w:shd w:val="clear" w:color="auto" w:fill="auto"/>
            <w:noWrap/>
            <w:vAlign w:val="bottom"/>
            <w:hideMark/>
          </w:tcPr>
          <w:p w14:paraId="5DC39AA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rs37973 (GLCCI1)</w:t>
            </w:r>
          </w:p>
        </w:tc>
      </w:tr>
      <w:tr w:rsidR="007E21B3" w:rsidRPr="00107DCD" w14:paraId="67DD3298" w14:textId="77777777" w:rsidTr="00540D2A">
        <w:trPr>
          <w:trHeight w:val="285"/>
        </w:trPr>
        <w:tc>
          <w:tcPr>
            <w:tcW w:w="2607" w:type="dxa"/>
            <w:shd w:val="clear" w:color="auto" w:fill="auto"/>
            <w:noWrap/>
            <w:vAlign w:val="bottom"/>
            <w:hideMark/>
          </w:tcPr>
          <w:p w14:paraId="278AE23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gen_rs9910408</w:t>
            </w:r>
          </w:p>
        </w:tc>
        <w:tc>
          <w:tcPr>
            <w:tcW w:w="6747" w:type="dxa"/>
            <w:shd w:val="clear" w:color="auto" w:fill="auto"/>
            <w:noWrap/>
            <w:vAlign w:val="bottom"/>
            <w:hideMark/>
          </w:tcPr>
          <w:p w14:paraId="161612D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rs9910408 (TBX21)</w:t>
            </w:r>
          </w:p>
        </w:tc>
      </w:tr>
      <w:tr w:rsidR="007E21B3" w:rsidRPr="00107DCD" w14:paraId="42ABDA3D" w14:textId="77777777" w:rsidTr="00540D2A">
        <w:trPr>
          <w:trHeight w:val="285"/>
        </w:trPr>
        <w:tc>
          <w:tcPr>
            <w:tcW w:w="2607" w:type="dxa"/>
            <w:shd w:val="clear" w:color="auto" w:fill="auto"/>
            <w:noWrap/>
            <w:vAlign w:val="bottom"/>
            <w:hideMark/>
          </w:tcPr>
          <w:p w14:paraId="2BEADA6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meas_fen0_baseline</w:t>
            </w:r>
          </w:p>
        </w:tc>
        <w:tc>
          <w:tcPr>
            <w:tcW w:w="6747" w:type="dxa"/>
            <w:shd w:val="clear" w:color="auto" w:fill="auto"/>
            <w:noWrap/>
            <w:vAlign w:val="bottom"/>
            <w:hideMark/>
          </w:tcPr>
          <w:p w14:paraId="6BCA159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FENO (ppb)</w:t>
            </w:r>
          </w:p>
        </w:tc>
      </w:tr>
      <w:tr w:rsidR="007E21B3" w:rsidRPr="00107DCD" w14:paraId="1C7B5D7F" w14:textId="77777777" w:rsidTr="00540D2A">
        <w:trPr>
          <w:trHeight w:val="285"/>
        </w:trPr>
        <w:tc>
          <w:tcPr>
            <w:tcW w:w="2607" w:type="dxa"/>
            <w:shd w:val="clear" w:color="auto" w:fill="auto"/>
            <w:noWrap/>
            <w:vAlign w:val="bottom"/>
            <w:hideMark/>
          </w:tcPr>
          <w:p w14:paraId="55E0249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meas_fev1_baseline</w:t>
            </w:r>
          </w:p>
        </w:tc>
        <w:tc>
          <w:tcPr>
            <w:tcW w:w="6747" w:type="dxa"/>
            <w:shd w:val="clear" w:color="auto" w:fill="auto"/>
            <w:noWrap/>
            <w:vAlign w:val="bottom"/>
            <w:hideMark/>
          </w:tcPr>
          <w:p w14:paraId="12E9555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FEV1 (% of predicted)</w:t>
            </w:r>
          </w:p>
        </w:tc>
      </w:tr>
      <w:tr w:rsidR="007E21B3" w:rsidRPr="00107DCD" w14:paraId="2470AB3A" w14:textId="77777777" w:rsidTr="00540D2A">
        <w:trPr>
          <w:trHeight w:val="285"/>
        </w:trPr>
        <w:tc>
          <w:tcPr>
            <w:tcW w:w="2607" w:type="dxa"/>
            <w:shd w:val="clear" w:color="auto" w:fill="auto"/>
            <w:noWrap/>
            <w:vAlign w:val="bottom"/>
            <w:hideMark/>
          </w:tcPr>
          <w:p w14:paraId="43BE8CC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meas_mef50_baseline</w:t>
            </w:r>
          </w:p>
        </w:tc>
        <w:tc>
          <w:tcPr>
            <w:tcW w:w="6747" w:type="dxa"/>
            <w:shd w:val="clear" w:color="auto" w:fill="auto"/>
            <w:noWrap/>
            <w:vAlign w:val="bottom"/>
            <w:hideMark/>
          </w:tcPr>
          <w:p w14:paraId="002B9E9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MEF50 (% of predicted)</w:t>
            </w:r>
          </w:p>
        </w:tc>
      </w:tr>
      <w:tr w:rsidR="007E21B3" w:rsidRPr="00107DCD" w14:paraId="53886A53" w14:textId="77777777" w:rsidTr="00540D2A">
        <w:trPr>
          <w:trHeight w:val="285"/>
        </w:trPr>
        <w:tc>
          <w:tcPr>
            <w:tcW w:w="2607" w:type="dxa"/>
            <w:shd w:val="clear" w:color="auto" w:fill="auto"/>
            <w:noWrap/>
            <w:vAlign w:val="bottom"/>
            <w:hideMark/>
          </w:tcPr>
          <w:p w14:paraId="1165A0C6"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phys_age</w:t>
            </w:r>
            <w:proofErr w:type="spellEnd"/>
          </w:p>
        </w:tc>
        <w:tc>
          <w:tcPr>
            <w:tcW w:w="6747" w:type="dxa"/>
            <w:shd w:val="clear" w:color="auto" w:fill="auto"/>
            <w:noWrap/>
            <w:vAlign w:val="bottom"/>
            <w:hideMark/>
          </w:tcPr>
          <w:p w14:paraId="02D57F7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Age [y]</w:t>
            </w:r>
          </w:p>
        </w:tc>
      </w:tr>
      <w:tr w:rsidR="007E21B3" w:rsidRPr="00107DCD" w14:paraId="41F77A45" w14:textId="77777777" w:rsidTr="00540D2A">
        <w:trPr>
          <w:trHeight w:val="285"/>
        </w:trPr>
        <w:tc>
          <w:tcPr>
            <w:tcW w:w="2607" w:type="dxa"/>
            <w:shd w:val="clear" w:color="auto" w:fill="auto"/>
            <w:noWrap/>
            <w:vAlign w:val="bottom"/>
            <w:hideMark/>
          </w:tcPr>
          <w:p w14:paraId="3363C76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phys_age_baseline</w:t>
            </w:r>
            <w:proofErr w:type="spellEnd"/>
          </w:p>
        </w:tc>
        <w:tc>
          <w:tcPr>
            <w:tcW w:w="6747" w:type="dxa"/>
            <w:shd w:val="clear" w:color="auto" w:fill="auto"/>
            <w:noWrap/>
            <w:vAlign w:val="bottom"/>
            <w:hideMark/>
          </w:tcPr>
          <w:p w14:paraId="15E65FD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Age at onset asthma [y]</w:t>
            </w:r>
          </w:p>
        </w:tc>
      </w:tr>
      <w:tr w:rsidR="007E21B3" w:rsidRPr="00107DCD" w14:paraId="11B6AC25" w14:textId="77777777" w:rsidTr="00540D2A">
        <w:trPr>
          <w:trHeight w:val="285"/>
        </w:trPr>
        <w:tc>
          <w:tcPr>
            <w:tcW w:w="2607" w:type="dxa"/>
            <w:shd w:val="clear" w:color="auto" w:fill="auto"/>
            <w:noWrap/>
            <w:vAlign w:val="bottom"/>
            <w:hideMark/>
          </w:tcPr>
          <w:p w14:paraId="4E1A87A0"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phys_basophils</w:t>
            </w:r>
            <w:proofErr w:type="spellEnd"/>
          </w:p>
        </w:tc>
        <w:tc>
          <w:tcPr>
            <w:tcW w:w="6747" w:type="dxa"/>
            <w:shd w:val="clear" w:color="auto" w:fill="auto"/>
            <w:noWrap/>
            <w:vAlign w:val="bottom"/>
            <w:hideMark/>
          </w:tcPr>
          <w:p w14:paraId="6AD1E7C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Basophils (%, relative blood count)</w:t>
            </w:r>
          </w:p>
        </w:tc>
      </w:tr>
      <w:tr w:rsidR="007E21B3" w:rsidRPr="00107DCD" w14:paraId="56E3FCE4" w14:textId="77777777" w:rsidTr="00540D2A">
        <w:trPr>
          <w:trHeight w:val="285"/>
        </w:trPr>
        <w:tc>
          <w:tcPr>
            <w:tcW w:w="2607" w:type="dxa"/>
            <w:shd w:val="clear" w:color="auto" w:fill="auto"/>
            <w:noWrap/>
            <w:vAlign w:val="bottom"/>
            <w:hideMark/>
          </w:tcPr>
          <w:p w14:paraId="27F6C6E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phys_bmi_perc</w:t>
            </w:r>
            <w:proofErr w:type="spellEnd"/>
          </w:p>
        </w:tc>
        <w:tc>
          <w:tcPr>
            <w:tcW w:w="6747" w:type="dxa"/>
            <w:shd w:val="clear" w:color="auto" w:fill="auto"/>
            <w:noWrap/>
            <w:vAlign w:val="bottom"/>
            <w:hideMark/>
          </w:tcPr>
          <w:p w14:paraId="4139865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BMI percentiles</w:t>
            </w:r>
          </w:p>
        </w:tc>
      </w:tr>
      <w:tr w:rsidR="007E21B3" w:rsidRPr="00107DCD" w14:paraId="04AF6599" w14:textId="77777777" w:rsidTr="00540D2A">
        <w:trPr>
          <w:trHeight w:val="285"/>
        </w:trPr>
        <w:tc>
          <w:tcPr>
            <w:tcW w:w="2607" w:type="dxa"/>
            <w:shd w:val="clear" w:color="auto" w:fill="auto"/>
            <w:noWrap/>
            <w:vAlign w:val="bottom"/>
            <w:hideMark/>
          </w:tcPr>
          <w:p w14:paraId="03699AA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phys_disease_duration</w:t>
            </w:r>
            <w:proofErr w:type="spellEnd"/>
          </w:p>
        </w:tc>
        <w:tc>
          <w:tcPr>
            <w:tcW w:w="6747" w:type="dxa"/>
            <w:shd w:val="clear" w:color="auto" w:fill="auto"/>
            <w:noWrap/>
            <w:vAlign w:val="bottom"/>
            <w:hideMark/>
          </w:tcPr>
          <w:p w14:paraId="055E109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 xml:space="preserve">Duration of </w:t>
            </w:r>
            <w:proofErr w:type="gramStart"/>
            <w:r w:rsidRPr="00107DCD">
              <w:rPr>
                <w:rFonts w:ascii="Times New Roman" w:eastAsia="Times New Roman" w:hAnsi="Times New Roman" w:cs="Times New Roman"/>
                <w:color w:val="000000"/>
                <w:sz w:val="20"/>
                <w:lang w:val="en-US"/>
              </w:rPr>
              <w:t>disease  [</w:t>
            </w:r>
            <w:proofErr w:type="gramEnd"/>
            <w:r w:rsidRPr="00107DCD">
              <w:rPr>
                <w:rFonts w:ascii="Times New Roman" w:eastAsia="Times New Roman" w:hAnsi="Times New Roman" w:cs="Times New Roman"/>
                <w:color w:val="000000"/>
                <w:sz w:val="20"/>
                <w:lang w:val="en-US"/>
              </w:rPr>
              <w:t>y]</w:t>
            </w:r>
          </w:p>
        </w:tc>
      </w:tr>
      <w:tr w:rsidR="007E21B3" w:rsidRPr="00107DCD" w14:paraId="68AF39DE" w14:textId="77777777" w:rsidTr="00540D2A">
        <w:trPr>
          <w:trHeight w:val="285"/>
        </w:trPr>
        <w:tc>
          <w:tcPr>
            <w:tcW w:w="2607" w:type="dxa"/>
            <w:shd w:val="clear" w:color="auto" w:fill="auto"/>
            <w:noWrap/>
            <w:vAlign w:val="bottom"/>
            <w:hideMark/>
          </w:tcPr>
          <w:p w14:paraId="57D951E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phys_eosinophils_blood</w:t>
            </w:r>
            <w:proofErr w:type="spellEnd"/>
          </w:p>
        </w:tc>
        <w:tc>
          <w:tcPr>
            <w:tcW w:w="6747" w:type="dxa"/>
            <w:shd w:val="clear" w:color="auto" w:fill="auto"/>
            <w:noWrap/>
            <w:vAlign w:val="bottom"/>
            <w:hideMark/>
          </w:tcPr>
          <w:p w14:paraId="47281B6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Eosinophil count in blood (%)</w:t>
            </w:r>
          </w:p>
        </w:tc>
      </w:tr>
      <w:tr w:rsidR="007E21B3" w:rsidRPr="00107DCD" w14:paraId="4E356B14" w14:textId="77777777" w:rsidTr="00540D2A">
        <w:trPr>
          <w:trHeight w:val="285"/>
        </w:trPr>
        <w:tc>
          <w:tcPr>
            <w:tcW w:w="2607" w:type="dxa"/>
            <w:shd w:val="clear" w:color="auto" w:fill="auto"/>
            <w:noWrap/>
            <w:vAlign w:val="bottom"/>
            <w:hideMark/>
          </w:tcPr>
          <w:p w14:paraId="254BED7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phys_eosinophils_dunger</w:t>
            </w:r>
            <w:proofErr w:type="spellEnd"/>
          </w:p>
        </w:tc>
        <w:tc>
          <w:tcPr>
            <w:tcW w:w="6747" w:type="dxa"/>
            <w:shd w:val="clear" w:color="auto" w:fill="auto"/>
            <w:noWrap/>
            <w:vAlign w:val="bottom"/>
            <w:hideMark/>
          </w:tcPr>
          <w:p w14:paraId="6CE2A73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Eosinophils (absolute count)</w:t>
            </w:r>
          </w:p>
        </w:tc>
      </w:tr>
      <w:tr w:rsidR="007E21B3" w:rsidRPr="00107DCD" w14:paraId="32713C6A" w14:textId="77777777" w:rsidTr="00540D2A">
        <w:trPr>
          <w:trHeight w:val="285"/>
        </w:trPr>
        <w:tc>
          <w:tcPr>
            <w:tcW w:w="2607" w:type="dxa"/>
            <w:shd w:val="clear" w:color="auto" w:fill="auto"/>
            <w:noWrap/>
            <w:vAlign w:val="bottom"/>
            <w:hideMark/>
          </w:tcPr>
          <w:p w14:paraId="7259BB66"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phys_gender</w:t>
            </w:r>
            <w:proofErr w:type="spellEnd"/>
          </w:p>
        </w:tc>
        <w:tc>
          <w:tcPr>
            <w:tcW w:w="6747" w:type="dxa"/>
            <w:shd w:val="clear" w:color="auto" w:fill="auto"/>
            <w:noWrap/>
            <w:vAlign w:val="bottom"/>
            <w:hideMark/>
          </w:tcPr>
          <w:p w14:paraId="77772FC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Gender</w:t>
            </w:r>
          </w:p>
        </w:tc>
      </w:tr>
      <w:tr w:rsidR="007E21B3" w:rsidRPr="00107DCD" w14:paraId="016BC42F" w14:textId="77777777" w:rsidTr="00540D2A">
        <w:trPr>
          <w:trHeight w:val="285"/>
        </w:trPr>
        <w:tc>
          <w:tcPr>
            <w:tcW w:w="2607" w:type="dxa"/>
            <w:shd w:val="clear" w:color="auto" w:fill="auto"/>
            <w:noWrap/>
            <w:vAlign w:val="bottom"/>
            <w:hideMark/>
          </w:tcPr>
          <w:p w14:paraId="3D2774D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phys_height</w:t>
            </w:r>
            <w:proofErr w:type="spellEnd"/>
          </w:p>
        </w:tc>
        <w:tc>
          <w:tcPr>
            <w:tcW w:w="6747" w:type="dxa"/>
            <w:shd w:val="clear" w:color="auto" w:fill="auto"/>
            <w:noWrap/>
            <w:vAlign w:val="bottom"/>
            <w:hideMark/>
          </w:tcPr>
          <w:p w14:paraId="2DBB31A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Height [cm]</w:t>
            </w:r>
          </w:p>
        </w:tc>
      </w:tr>
      <w:tr w:rsidR="007E21B3" w:rsidRPr="00107DCD" w14:paraId="40B8A33A" w14:textId="77777777" w:rsidTr="00540D2A">
        <w:trPr>
          <w:trHeight w:val="285"/>
        </w:trPr>
        <w:tc>
          <w:tcPr>
            <w:tcW w:w="2607" w:type="dxa"/>
            <w:shd w:val="clear" w:color="auto" w:fill="auto"/>
            <w:noWrap/>
            <w:vAlign w:val="bottom"/>
            <w:hideMark/>
          </w:tcPr>
          <w:p w14:paraId="1E51F89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phys_hscrp</w:t>
            </w:r>
            <w:proofErr w:type="spellEnd"/>
          </w:p>
        </w:tc>
        <w:tc>
          <w:tcPr>
            <w:tcW w:w="6747" w:type="dxa"/>
            <w:shd w:val="clear" w:color="auto" w:fill="auto"/>
            <w:noWrap/>
            <w:vAlign w:val="bottom"/>
            <w:hideMark/>
          </w:tcPr>
          <w:p w14:paraId="49BBB26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hsCRP</w:t>
            </w:r>
            <w:proofErr w:type="spellEnd"/>
            <w:r w:rsidRPr="00107DCD">
              <w:rPr>
                <w:rFonts w:ascii="Times New Roman" w:eastAsia="Times New Roman" w:hAnsi="Times New Roman" w:cs="Times New Roman"/>
                <w:color w:val="000000"/>
                <w:sz w:val="20"/>
                <w:lang w:val="en-US"/>
              </w:rPr>
              <w:t xml:space="preserve"> (mg/ L)</w:t>
            </w:r>
          </w:p>
        </w:tc>
      </w:tr>
      <w:tr w:rsidR="007E21B3" w:rsidRPr="00107DCD" w14:paraId="31A91B24" w14:textId="77777777" w:rsidTr="00540D2A">
        <w:trPr>
          <w:trHeight w:val="285"/>
        </w:trPr>
        <w:tc>
          <w:tcPr>
            <w:tcW w:w="2607" w:type="dxa"/>
            <w:shd w:val="clear" w:color="auto" w:fill="auto"/>
            <w:noWrap/>
            <w:vAlign w:val="bottom"/>
            <w:hideMark/>
          </w:tcPr>
          <w:p w14:paraId="065ABCE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phys_iga</w:t>
            </w:r>
            <w:proofErr w:type="spellEnd"/>
          </w:p>
        </w:tc>
        <w:tc>
          <w:tcPr>
            <w:tcW w:w="6747" w:type="dxa"/>
            <w:shd w:val="clear" w:color="auto" w:fill="auto"/>
            <w:noWrap/>
            <w:vAlign w:val="bottom"/>
            <w:hideMark/>
          </w:tcPr>
          <w:p w14:paraId="620D41F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IgA [g/L]</w:t>
            </w:r>
          </w:p>
        </w:tc>
      </w:tr>
      <w:tr w:rsidR="007E21B3" w:rsidRPr="00107DCD" w14:paraId="686312FA" w14:textId="77777777" w:rsidTr="00540D2A">
        <w:trPr>
          <w:trHeight w:val="285"/>
        </w:trPr>
        <w:tc>
          <w:tcPr>
            <w:tcW w:w="2607" w:type="dxa"/>
            <w:shd w:val="clear" w:color="auto" w:fill="auto"/>
            <w:noWrap/>
            <w:vAlign w:val="bottom"/>
            <w:hideMark/>
          </w:tcPr>
          <w:p w14:paraId="3F830F9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phys_ige_total</w:t>
            </w:r>
            <w:proofErr w:type="spellEnd"/>
          </w:p>
        </w:tc>
        <w:tc>
          <w:tcPr>
            <w:tcW w:w="6747" w:type="dxa"/>
            <w:shd w:val="clear" w:color="auto" w:fill="auto"/>
            <w:noWrap/>
            <w:vAlign w:val="bottom"/>
            <w:hideMark/>
          </w:tcPr>
          <w:p w14:paraId="21F8FF3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 xml:space="preserve">Total </w:t>
            </w:r>
            <w:proofErr w:type="spellStart"/>
            <w:r w:rsidRPr="00107DCD">
              <w:rPr>
                <w:rFonts w:ascii="Times New Roman" w:eastAsia="Times New Roman" w:hAnsi="Times New Roman" w:cs="Times New Roman"/>
                <w:color w:val="000000"/>
                <w:sz w:val="20"/>
                <w:lang w:val="en-US"/>
              </w:rPr>
              <w:t>IgE</w:t>
            </w:r>
            <w:proofErr w:type="spellEnd"/>
            <w:r w:rsidRPr="00107DCD">
              <w:rPr>
                <w:rFonts w:ascii="Times New Roman" w:eastAsia="Times New Roman" w:hAnsi="Times New Roman" w:cs="Times New Roman"/>
                <w:color w:val="000000"/>
                <w:sz w:val="20"/>
                <w:lang w:val="en-US"/>
              </w:rPr>
              <w:t xml:space="preserve"> (</w:t>
            </w:r>
            <w:proofErr w:type="spellStart"/>
            <w:r w:rsidRPr="00107DCD">
              <w:rPr>
                <w:rFonts w:ascii="Times New Roman" w:eastAsia="Times New Roman" w:hAnsi="Times New Roman" w:cs="Times New Roman"/>
                <w:color w:val="000000"/>
                <w:sz w:val="20"/>
                <w:lang w:val="en-US"/>
              </w:rPr>
              <w:t>kIU</w:t>
            </w:r>
            <w:proofErr w:type="spellEnd"/>
            <w:r w:rsidRPr="00107DCD">
              <w:rPr>
                <w:rFonts w:ascii="Times New Roman" w:eastAsia="Times New Roman" w:hAnsi="Times New Roman" w:cs="Times New Roman"/>
                <w:color w:val="000000"/>
                <w:sz w:val="20"/>
                <w:lang w:val="en-US"/>
              </w:rPr>
              <w:t>/I)</w:t>
            </w:r>
          </w:p>
        </w:tc>
      </w:tr>
      <w:tr w:rsidR="007E21B3" w:rsidRPr="00107DCD" w14:paraId="416C2B81" w14:textId="77777777" w:rsidTr="00540D2A">
        <w:trPr>
          <w:trHeight w:val="285"/>
        </w:trPr>
        <w:tc>
          <w:tcPr>
            <w:tcW w:w="2607" w:type="dxa"/>
            <w:shd w:val="clear" w:color="auto" w:fill="auto"/>
            <w:noWrap/>
            <w:vAlign w:val="bottom"/>
            <w:hideMark/>
          </w:tcPr>
          <w:p w14:paraId="3BDBFDA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phys_igg</w:t>
            </w:r>
            <w:proofErr w:type="spellEnd"/>
          </w:p>
        </w:tc>
        <w:tc>
          <w:tcPr>
            <w:tcW w:w="6747" w:type="dxa"/>
            <w:shd w:val="clear" w:color="auto" w:fill="auto"/>
            <w:noWrap/>
            <w:vAlign w:val="bottom"/>
            <w:hideMark/>
          </w:tcPr>
          <w:p w14:paraId="019EBAA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IgG [g/L]</w:t>
            </w:r>
          </w:p>
        </w:tc>
      </w:tr>
      <w:tr w:rsidR="007E21B3" w:rsidRPr="00107DCD" w14:paraId="589B590E" w14:textId="77777777" w:rsidTr="00540D2A">
        <w:trPr>
          <w:trHeight w:val="285"/>
        </w:trPr>
        <w:tc>
          <w:tcPr>
            <w:tcW w:w="2607" w:type="dxa"/>
            <w:shd w:val="clear" w:color="auto" w:fill="auto"/>
            <w:noWrap/>
            <w:vAlign w:val="bottom"/>
            <w:hideMark/>
          </w:tcPr>
          <w:p w14:paraId="6DCDD79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phys_igm</w:t>
            </w:r>
            <w:proofErr w:type="spellEnd"/>
          </w:p>
        </w:tc>
        <w:tc>
          <w:tcPr>
            <w:tcW w:w="6747" w:type="dxa"/>
            <w:shd w:val="clear" w:color="auto" w:fill="auto"/>
            <w:noWrap/>
            <w:vAlign w:val="bottom"/>
            <w:hideMark/>
          </w:tcPr>
          <w:p w14:paraId="0CD4BE7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IgM [g/L]</w:t>
            </w:r>
          </w:p>
        </w:tc>
      </w:tr>
      <w:tr w:rsidR="007E21B3" w:rsidRPr="00107DCD" w14:paraId="7A731BF4" w14:textId="77777777" w:rsidTr="00540D2A">
        <w:trPr>
          <w:trHeight w:val="285"/>
        </w:trPr>
        <w:tc>
          <w:tcPr>
            <w:tcW w:w="2607" w:type="dxa"/>
            <w:shd w:val="clear" w:color="auto" w:fill="auto"/>
            <w:noWrap/>
            <w:vAlign w:val="bottom"/>
            <w:hideMark/>
          </w:tcPr>
          <w:p w14:paraId="5AB46406"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phys_monocytes</w:t>
            </w:r>
            <w:proofErr w:type="spellEnd"/>
          </w:p>
        </w:tc>
        <w:tc>
          <w:tcPr>
            <w:tcW w:w="6747" w:type="dxa"/>
            <w:shd w:val="clear" w:color="auto" w:fill="auto"/>
            <w:noWrap/>
            <w:vAlign w:val="bottom"/>
            <w:hideMark/>
          </w:tcPr>
          <w:p w14:paraId="556E104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Monocytes (relative blood count, %)</w:t>
            </w:r>
          </w:p>
        </w:tc>
      </w:tr>
      <w:tr w:rsidR="007E21B3" w:rsidRPr="00107DCD" w14:paraId="58F97933" w14:textId="77777777" w:rsidTr="00540D2A">
        <w:trPr>
          <w:trHeight w:val="285"/>
        </w:trPr>
        <w:tc>
          <w:tcPr>
            <w:tcW w:w="2607" w:type="dxa"/>
            <w:shd w:val="clear" w:color="auto" w:fill="auto"/>
            <w:noWrap/>
            <w:vAlign w:val="bottom"/>
            <w:hideMark/>
          </w:tcPr>
          <w:p w14:paraId="2D04474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phys_neutrophils_blood</w:t>
            </w:r>
            <w:proofErr w:type="spellEnd"/>
          </w:p>
        </w:tc>
        <w:tc>
          <w:tcPr>
            <w:tcW w:w="6747" w:type="dxa"/>
            <w:shd w:val="clear" w:color="auto" w:fill="auto"/>
            <w:noWrap/>
            <w:vAlign w:val="bottom"/>
            <w:hideMark/>
          </w:tcPr>
          <w:p w14:paraId="182EDDA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Neutrophil count in blood (%)</w:t>
            </w:r>
          </w:p>
        </w:tc>
      </w:tr>
      <w:tr w:rsidR="007E21B3" w:rsidRPr="00107DCD" w14:paraId="01366E09" w14:textId="77777777" w:rsidTr="00540D2A">
        <w:trPr>
          <w:trHeight w:val="285"/>
        </w:trPr>
        <w:tc>
          <w:tcPr>
            <w:tcW w:w="2607" w:type="dxa"/>
            <w:shd w:val="clear" w:color="auto" w:fill="auto"/>
            <w:noWrap/>
            <w:vAlign w:val="bottom"/>
            <w:hideMark/>
          </w:tcPr>
          <w:p w14:paraId="75AB823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t>phys_platelets</w:t>
            </w:r>
            <w:proofErr w:type="spellEnd"/>
          </w:p>
        </w:tc>
        <w:tc>
          <w:tcPr>
            <w:tcW w:w="6747" w:type="dxa"/>
            <w:shd w:val="clear" w:color="auto" w:fill="auto"/>
            <w:noWrap/>
            <w:vAlign w:val="bottom"/>
            <w:hideMark/>
          </w:tcPr>
          <w:p w14:paraId="4FAED53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Platelets (x 10^9/L)</w:t>
            </w:r>
          </w:p>
        </w:tc>
      </w:tr>
      <w:tr w:rsidR="007E21B3" w:rsidRPr="00107DCD" w14:paraId="7CCA9600" w14:textId="77777777" w:rsidTr="00540D2A">
        <w:trPr>
          <w:trHeight w:val="285"/>
        </w:trPr>
        <w:tc>
          <w:tcPr>
            <w:tcW w:w="2607" w:type="dxa"/>
            <w:shd w:val="clear" w:color="auto" w:fill="auto"/>
            <w:noWrap/>
            <w:vAlign w:val="bottom"/>
            <w:hideMark/>
          </w:tcPr>
          <w:p w14:paraId="2027F496"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proofErr w:type="spellStart"/>
            <w:r w:rsidRPr="00107DCD">
              <w:rPr>
                <w:rFonts w:ascii="Times New Roman" w:eastAsia="Times New Roman" w:hAnsi="Times New Roman" w:cs="Times New Roman"/>
                <w:color w:val="000000"/>
                <w:sz w:val="20"/>
                <w:lang w:val="en-US"/>
              </w:rPr>
              <w:lastRenderedPageBreak/>
              <w:t>phys_weight</w:t>
            </w:r>
            <w:proofErr w:type="spellEnd"/>
          </w:p>
        </w:tc>
        <w:tc>
          <w:tcPr>
            <w:tcW w:w="6747" w:type="dxa"/>
            <w:shd w:val="clear" w:color="auto" w:fill="auto"/>
            <w:noWrap/>
            <w:vAlign w:val="bottom"/>
            <w:hideMark/>
          </w:tcPr>
          <w:p w14:paraId="37DEE38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Weight [kg]</w:t>
            </w:r>
          </w:p>
        </w:tc>
      </w:tr>
      <w:tr w:rsidR="007E21B3" w:rsidRPr="00107DCD" w14:paraId="70E2006F" w14:textId="77777777" w:rsidTr="00540D2A">
        <w:trPr>
          <w:trHeight w:val="285"/>
        </w:trPr>
        <w:tc>
          <w:tcPr>
            <w:tcW w:w="2607" w:type="dxa"/>
            <w:shd w:val="clear" w:color="auto" w:fill="auto"/>
            <w:noWrap/>
            <w:vAlign w:val="bottom"/>
            <w:hideMark/>
          </w:tcPr>
          <w:p w14:paraId="02E9871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resp_asthmalev_disc_1st-2nd</w:t>
            </w:r>
          </w:p>
        </w:tc>
        <w:tc>
          <w:tcPr>
            <w:tcW w:w="6747" w:type="dxa"/>
            <w:shd w:val="clear" w:color="auto" w:fill="auto"/>
            <w:noWrap/>
            <w:vAlign w:val="bottom"/>
            <w:hideMark/>
          </w:tcPr>
          <w:p w14:paraId="53F17352" w14:textId="22050B54"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level of asthma control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76C7C02E" w14:textId="77777777" w:rsidTr="00540D2A">
        <w:trPr>
          <w:trHeight w:val="285"/>
        </w:trPr>
        <w:tc>
          <w:tcPr>
            <w:tcW w:w="2607" w:type="dxa"/>
            <w:shd w:val="clear" w:color="auto" w:fill="auto"/>
            <w:noWrap/>
            <w:vAlign w:val="bottom"/>
            <w:hideMark/>
          </w:tcPr>
          <w:p w14:paraId="2937858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resp_asthmalev_disc_2nd-3rd</w:t>
            </w:r>
          </w:p>
        </w:tc>
        <w:tc>
          <w:tcPr>
            <w:tcW w:w="6747" w:type="dxa"/>
            <w:shd w:val="clear" w:color="auto" w:fill="auto"/>
            <w:noWrap/>
            <w:vAlign w:val="bottom"/>
            <w:hideMark/>
          </w:tcPr>
          <w:p w14:paraId="520A78C3" w14:textId="2AC447F9"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level of asthma control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2D664B11" w14:textId="77777777" w:rsidTr="00540D2A">
        <w:trPr>
          <w:trHeight w:val="285"/>
        </w:trPr>
        <w:tc>
          <w:tcPr>
            <w:tcW w:w="2607" w:type="dxa"/>
            <w:shd w:val="clear" w:color="auto" w:fill="auto"/>
            <w:noWrap/>
            <w:vAlign w:val="bottom"/>
            <w:hideMark/>
          </w:tcPr>
          <w:p w14:paraId="6824A1C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resp_asthmalev_disc_baseline-1st</w:t>
            </w:r>
          </w:p>
        </w:tc>
        <w:tc>
          <w:tcPr>
            <w:tcW w:w="6747" w:type="dxa"/>
            <w:shd w:val="clear" w:color="auto" w:fill="auto"/>
            <w:noWrap/>
            <w:vAlign w:val="bottom"/>
            <w:hideMark/>
          </w:tcPr>
          <w:p w14:paraId="605EBC2F" w14:textId="61B5B191"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level of asthma control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574A56EF" w14:textId="77777777" w:rsidTr="00540D2A">
        <w:trPr>
          <w:trHeight w:val="285"/>
        </w:trPr>
        <w:tc>
          <w:tcPr>
            <w:tcW w:w="2607" w:type="dxa"/>
            <w:shd w:val="clear" w:color="auto" w:fill="auto"/>
            <w:noWrap/>
            <w:vAlign w:val="bottom"/>
            <w:hideMark/>
          </w:tcPr>
          <w:p w14:paraId="485A858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resp_asthmalev_disc_baseline-2nd</w:t>
            </w:r>
          </w:p>
        </w:tc>
        <w:tc>
          <w:tcPr>
            <w:tcW w:w="6747" w:type="dxa"/>
            <w:shd w:val="clear" w:color="auto" w:fill="auto"/>
            <w:noWrap/>
            <w:vAlign w:val="bottom"/>
            <w:hideMark/>
          </w:tcPr>
          <w:p w14:paraId="53C21271" w14:textId="06C04B4E"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level of asthma control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4F67E501" w14:textId="77777777" w:rsidTr="00540D2A">
        <w:trPr>
          <w:trHeight w:val="285"/>
        </w:trPr>
        <w:tc>
          <w:tcPr>
            <w:tcW w:w="2607" w:type="dxa"/>
            <w:shd w:val="clear" w:color="auto" w:fill="auto"/>
            <w:noWrap/>
            <w:vAlign w:val="bottom"/>
            <w:hideMark/>
          </w:tcPr>
          <w:p w14:paraId="59F5FF8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resp_asthmalev_disc_baseline-3rd</w:t>
            </w:r>
          </w:p>
        </w:tc>
        <w:tc>
          <w:tcPr>
            <w:tcW w:w="6747" w:type="dxa"/>
            <w:shd w:val="clear" w:color="auto" w:fill="auto"/>
            <w:noWrap/>
            <w:vAlign w:val="bottom"/>
            <w:hideMark/>
          </w:tcPr>
          <w:p w14:paraId="4D584BFC" w14:textId="4B16B71B"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level of asthma control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4C42E8DA" w14:textId="77777777" w:rsidTr="00540D2A">
        <w:trPr>
          <w:trHeight w:val="285"/>
        </w:trPr>
        <w:tc>
          <w:tcPr>
            <w:tcW w:w="2607" w:type="dxa"/>
            <w:shd w:val="clear" w:color="auto" w:fill="auto"/>
            <w:noWrap/>
            <w:vAlign w:val="bottom"/>
            <w:hideMark/>
          </w:tcPr>
          <w:p w14:paraId="5FC924C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resp_fen0_disc_1st-2nd</w:t>
            </w:r>
          </w:p>
        </w:tc>
        <w:tc>
          <w:tcPr>
            <w:tcW w:w="6747" w:type="dxa"/>
            <w:shd w:val="clear" w:color="auto" w:fill="auto"/>
            <w:noWrap/>
            <w:vAlign w:val="bottom"/>
            <w:hideMark/>
          </w:tcPr>
          <w:p w14:paraId="42943F08" w14:textId="348839DE"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FENO score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7DC94FAC" w14:textId="77777777" w:rsidTr="00540D2A">
        <w:trPr>
          <w:trHeight w:val="285"/>
        </w:trPr>
        <w:tc>
          <w:tcPr>
            <w:tcW w:w="2607" w:type="dxa"/>
            <w:shd w:val="clear" w:color="auto" w:fill="auto"/>
            <w:noWrap/>
            <w:vAlign w:val="bottom"/>
            <w:hideMark/>
          </w:tcPr>
          <w:p w14:paraId="3DEBCFF5" w14:textId="77777777" w:rsidR="007E21B3" w:rsidRPr="00107DCD" w:rsidRDefault="007E21B3" w:rsidP="000B582A">
            <w:pPr>
              <w:spacing w:line="480" w:lineRule="auto"/>
              <w:jc w:val="both"/>
              <w:rPr>
                <w:rFonts w:ascii="Times New Roman" w:eastAsia="Times New Roman" w:hAnsi="Times New Roman" w:cs="Times New Roman"/>
                <w:color w:val="000000"/>
                <w:sz w:val="20"/>
                <w:lang w:val="de-DE"/>
              </w:rPr>
            </w:pPr>
            <w:r w:rsidRPr="00107DCD">
              <w:rPr>
                <w:rFonts w:ascii="Times New Roman" w:eastAsia="Times New Roman" w:hAnsi="Times New Roman" w:cs="Times New Roman"/>
                <w:color w:val="000000"/>
                <w:sz w:val="20"/>
                <w:lang w:val="de-DE"/>
              </w:rPr>
              <w:t>resp_fen0_disc_2nd-3rd</w:t>
            </w:r>
          </w:p>
        </w:tc>
        <w:tc>
          <w:tcPr>
            <w:tcW w:w="6747" w:type="dxa"/>
            <w:shd w:val="clear" w:color="auto" w:fill="auto"/>
            <w:noWrap/>
            <w:vAlign w:val="bottom"/>
            <w:hideMark/>
          </w:tcPr>
          <w:p w14:paraId="1A95BEE6" w14:textId="28BAB27A"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FENO score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07F07390" w14:textId="77777777" w:rsidTr="00540D2A">
        <w:trPr>
          <w:trHeight w:val="285"/>
        </w:trPr>
        <w:tc>
          <w:tcPr>
            <w:tcW w:w="2607" w:type="dxa"/>
            <w:shd w:val="clear" w:color="auto" w:fill="auto"/>
            <w:noWrap/>
            <w:vAlign w:val="bottom"/>
            <w:hideMark/>
          </w:tcPr>
          <w:p w14:paraId="2F027CA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resp_fen0_disc_baseline-1st</w:t>
            </w:r>
          </w:p>
        </w:tc>
        <w:tc>
          <w:tcPr>
            <w:tcW w:w="6747" w:type="dxa"/>
            <w:shd w:val="clear" w:color="auto" w:fill="auto"/>
            <w:noWrap/>
            <w:vAlign w:val="bottom"/>
            <w:hideMark/>
          </w:tcPr>
          <w:p w14:paraId="0D762184" w14:textId="2E046565"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FENO score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703F2891" w14:textId="77777777" w:rsidTr="00540D2A">
        <w:trPr>
          <w:trHeight w:val="285"/>
        </w:trPr>
        <w:tc>
          <w:tcPr>
            <w:tcW w:w="2607" w:type="dxa"/>
            <w:shd w:val="clear" w:color="auto" w:fill="auto"/>
            <w:noWrap/>
            <w:vAlign w:val="bottom"/>
            <w:hideMark/>
          </w:tcPr>
          <w:p w14:paraId="2E8E0E0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resp_fen0_disc_baseline-2nd</w:t>
            </w:r>
          </w:p>
        </w:tc>
        <w:tc>
          <w:tcPr>
            <w:tcW w:w="6747" w:type="dxa"/>
            <w:shd w:val="clear" w:color="auto" w:fill="auto"/>
            <w:noWrap/>
            <w:vAlign w:val="bottom"/>
            <w:hideMark/>
          </w:tcPr>
          <w:p w14:paraId="1ABD6E5A" w14:textId="522620B7"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FENO score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4D0F20B0" w14:textId="77777777" w:rsidTr="00540D2A">
        <w:trPr>
          <w:trHeight w:val="285"/>
        </w:trPr>
        <w:tc>
          <w:tcPr>
            <w:tcW w:w="2607" w:type="dxa"/>
            <w:shd w:val="clear" w:color="auto" w:fill="auto"/>
            <w:noWrap/>
            <w:vAlign w:val="bottom"/>
            <w:hideMark/>
          </w:tcPr>
          <w:p w14:paraId="4204338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resp_fen0_disc_baseline-3rd</w:t>
            </w:r>
          </w:p>
        </w:tc>
        <w:tc>
          <w:tcPr>
            <w:tcW w:w="6747" w:type="dxa"/>
            <w:shd w:val="clear" w:color="auto" w:fill="auto"/>
            <w:noWrap/>
            <w:vAlign w:val="bottom"/>
            <w:hideMark/>
          </w:tcPr>
          <w:p w14:paraId="36393E13" w14:textId="77043C99"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FENO score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45B73639" w14:textId="77777777" w:rsidTr="00540D2A">
        <w:trPr>
          <w:trHeight w:val="285"/>
        </w:trPr>
        <w:tc>
          <w:tcPr>
            <w:tcW w:w="2607" w:type="dxa"/>
            <w:shd w:val="clear" w:color="auto" w:fill="auto"/>
            <w:noWrap/>
            <w:vAlign w:val="bottom"/>
            <w:hideMark/>
          </w:tcPr>
          <w:p w14:paraId="5865EC3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resp_fev1_disc_1st-2nd</w:t>
            </w:r>
          </w:p>
        </w:tc>
        <w:tc>
          <w:tcPr>
            <w:tcW w:w="6747" w:type="dxa"/>
            <w:shd w:val="clear" w:color="auto" w:fill="auto"/>
            <w:noWrap/>
            <w:vAlign w:val="bottom"/>
            <w:hideMark/>
          </w:tcPr>
          <w:p w14:paraId="59239926" w14:textId="225E6D45"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FEV1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1E1B0139" w14:textId="77777777" w:rsidTr="00540D2A">
        <w:trPr>
          <w:trHeight w:val="285"/>
        </w:trPr>
        <w:tc>
          <w:tcPr>
            <w:tcW w:w="2607" w:type="dxa"/>
            <w:shd w:val="clear" w:color="auto" w:fill="auto"/>
            <w:noWrap/>
            <w:vAlign w:val="bottom"/>
            <w:hideMark/>
          </w:tcPr>
          <w:p w14:paraId="20A8065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resp_fev1_disc_2nd-3rd</w:t>
            </w:r>
          </w:p>
        </w:tc>
        <w:tc>
          <w:tcPr>
            <w:tcW w:w="6747" w:type="dxa"/>
            <w:shd w:val="clear" w:color="auto" w:fill="auto"/>
            <w:noWrap/>
            <w:vAlign w:val="bottom"/>
            <w:hideMark/>
          </w:tcPr>
          <w:p w14:paraId="69091FEF" w14:textId="65E90286"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FEV1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2E4C74D8" w14:textId="77777777" w:rsidTr="00540D2A">
        <w:trPr>
          <w:trHeight w:val="285"/>
        </w:trPr>
        <w:tc>
          <w:tcPr>
            <w:tcW w:w="2607" w:type="dxa"/>
            <w:shd w:val="clear" w:color="auto" w:fill="auto"/>
            <w:noWrap/>
            <w:vAlign w:val="bottom"/>
            <w:hideMark/>
          </w:tcPr>
          <w:p w14:paraId="0D0AA2A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resp_fev1_disc_baseline-1st</w:t>
            </w:r>
          </w:p>
        </w:tc>
        <w:tc>
          <w:tcPr>
            <w:tcW w:w="6747" w:type="dxa"/>
            <w:shd w:val="clear" w:color="auto" w:fill="auto"/>
            <w:noWrap/>
            <w:vAlign w:val="bottom"/>
            <w:hideMark/>
          </w:tcPr>
          <w:p w14:paraId="6C0F9ED0" w14:textId="66C88F15"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FEV1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594EB00D" w14:textId="77777777" w:rsidTr="00540D2A">
        <w:trPr>
          <w:trHeight w:val="285"/>
        </w:trPr>
        <w:tc>
          <w:tcPr>
            <w:tcW w:w="2607" w:type="dxa"/>
            <w:shd w:val="clear" w:color="auto" w:fill="auto"/>
            <w:noWrap/>
            <w:vAlign w:val="bottom"/>
            <w:hideMark/>
          </w:tcPr>
          <w:p w14:paraId="462B4FD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resp_fev1_disc_baseline-2nd</w:t>
            </w:r>
          </w:p>
        </w:tc>
        <w:tc>
          <w:tcPr>
            <w:tcW w:w="6747" w:type="dxa"/>
            <w:shd w:val="clear" w:color="auto" w:fill="auto"/>
            <w:noWrap/>
            <w:vAlign w:val="bottom"/>
            <w:hideMark/>
          </w:tcPr>
          <w:p w14:paraId="06A3E9D8" w14:textId="49FB476A"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FEV1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05AD0BAD" w14:textId="77777777" w:rsidTr="00540D2A">
        <w:trPr>
          <w:trHeight w:val="285"/>
        </w:trPr>
        <w:tc>
          <w:tcPr>
            <w:tcW w:w="2607" w:type="dxa"/>
            <w:shd w:val="clear" w:color="auto" w:fill="auto"/>
            <w:noWrap/>
            <w:vAlign w:val="bottom"/>
            <w:hideMark/>
          </w:tcPr>
          <w:p w14:paraId="3AC4BF7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resp_fev1_disc_baseline-3rd</w:t>
            </w:r>
          </w:p>
        </w:tc>
        <w:tc>
          <w:tcPr>
            <w:tcW w:w="6747" w:type="dxa"/>
            <w:shd w:val="clear" w:color="auto" w:fill="auto"/>
            <w:noWrap/>
            <w:vAlign w:val="bottom"/>
            <w:hideMark/>
          </w:tcPr>
          <w:p w14:paraId="28F2CCF1" w14:textId="4C8CA2F8"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FEV1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016C77AC" w14:textId="77777777" w:rsidTr="00540D2A">
        <w:trPr>
          <w:trHeight w:val="285"/>
        </w:trPr>
        <w:tc>
          <w:tcPr>
            <w:tcW w:w="2607" w:type="dxa"/>
            <w:shd w:val="clear" w:color="auto" w:fill="auto"/>
            <w:noWrap/>
            <w:vAlign w:val="bottom"/>
            <w:hideMark/>
          </w:tcPr>
          <w:p w14:paraId="5AA5A25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resp_mef50_disc_1st-2nd</w:t>
            </w:r>
          </w:p>
        </w:tc>
        <w:tc>
          <w:tcPr>
            <w:tcW w:w="6747" w:type="dxa"/>
            <w:shd w:val="clear" w:color="auto" w:fill="auto"/>
            <w:noWrap/>
            <w:vAlign w:val="bottom"/>
            <w:hideMark/>
          </w:tcPr>
          <w:p w14:paraId="1F50FFA7" w14:textId="32EA417C"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MEF50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1715E892" w14:textId="77777777" w:rsidTr="00540D2A">
        <w:trPr>
          <w:trHeight w:val="285"/>
        </w:trPr>
        <w:tc>
          <w:tcPr>
            <w:tcW w:w="2607" w:type="dxa"/>
            <w:shd w:val="clear" w:color="auto" w:fill="auto"/>
            <w:noWrap/>
            <w:vAlign w:val="bottom"/>
            <w:hideMark/>
          </w:tcPr>
          <w:p w14:paraId="3937B855" w14:textId="77777777" w:rsidR="007E21B3" w:rsidRPr="00107DCD" w:rsidRDefault="007E21B3" w:rsidP="000B582A">
            <w:pPr>
              <w:spacing w:line="480" w:lineRule="auto"/>
              <w:jc w:val="both"/>
              <w:rPr>
                <w:rFonts w:ascii="Times New Roman" w:eastAsia="Times New Roman" w:hAnsi="Times New Roman" w:cs="Times New Roman"/>
                <w:color w:val="000000"/>
                <w:sz w:val="20"/>
                <w:lang w:val="de-DE"/>
              </w:rPr>
            </w:pPr>
            <w:r w:rsidRPr="00107DCD">
              <w:rPr>
                <w:rFonts w:ascii="Times New Roman" w:eastAsia="Times New Roman" w:hAnsi="Times New Roman" w:cs="Times New Roman"/>
                <w:color w:val="000000"/>
                <w:sz w:val="20"/>
                <w:lang w:val="de-DE"/>
              </w:rPr>
              <w:lastRenderedPageBreak/>
              <w:t>resp_mef50_disc_2nd-3rd</w:t>
            </w:r>
          </w:p>
        </w:tc>
        <w:tc>
          <w:tcPr>
            <w:tcW w:w="6747" w:type="dxa"/>
            <w:shd w:val="clear" w:color="auto" w:fill="auto"/>
            <w:noWrap/>
            <w:vAlign w:val="bottom"/>
            <w:hideMark/>
          </w:tcPr>
          <w:p w14:paraId="29A76D39" w14:textId="068806CD"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MEF50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669CD68F" w14:textId="77777777" w:rsidTr="00540D2A">
        <w:trPr>
          <w:trHeight w:val="285"/>
        </w:trPr>
        <w:tc>
          <w:tcPr>
            <w:tcW w:w="2607" w:type="dxa"/>
            <w:shd w:val="clear" w:color="auto" w:fill="auto"/>
            <w:noWrap/>
            <w:vAlign w:val="bottom"/>
            <w:hideMark/>
          </w:tcPr>
          <w:p w14:paraId="3E87D9B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resp_mef50_disc_baseline-1st</w:t>
            </w:r>
          </w:p>
        </w:tc>
        <w:tc>
          <w:tcPr>
            <w:tcW w:w="6747" w:type="dxa"/>
            <w:shd w:val="clear" w:color="auto" w:fill="auto"/>
            <w:noWrap/>
            <w:vAlign w:val="bottom"/>
            <w:hideMark/>
          </w:tcPr>
          <w:p w14:paraId="7CB92A68" w14:textId="7472812B"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MEF50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76045FAB" w14:textId="77777777" w:rsidTr="00540D2A">
        <w:trPr>
          <w:trHeight w:val="285"/>
        </w:trPr>
        <w:tc>
          <w:tcPr>
            <w:tcW w:w="2607" w:type="dxa"/>
            <w:shd w:val="clear" w:color="auto" w:fill="auto"/>
            <w:noWrap/>
            <w:vAlign w:val="bottom"/>
            <w:hideMark/>
          </w:tcPr>
          <w:p w14:paraId="29E012A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resp_mef50_disc_baseline-2nd</w:t>
            </w:r>
          </w:p>
        </w:tc>
        <w:tc>
          <w:tcPr>
            <w:tcW w:w="6747" w:type="dxa"/>
            <w:shd w:val="clear" w:color="auto" w:fill="auto"/>
            <w:noWrap/>
            <w:vAlign w:val="bottom"/>
            <w:hideMark/>
          </w:tcPr>
          <w:p w14:paraId="143951D0" w14:textId="097A4E2A"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MEF50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04029CED" w14:textId="77777777" w:rsidTr="00540D2A">
        <w:trPr>
          <w:trHeight w:val="285"/>
        </w:trPr>
        <w:tc>
          <w:tcPr>
            <w:tcW w:w="2607" w:type="dxa"/>
            <w:shd w:val="clear" w:color="auto" w:fill="auto"/>
            <w:noWrap/>
            <w:vAlign w:val="bottom"/>
            <w:hideMark/>
          </w:tcPr>
          <w:p w14:paraId="20D70B6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resp_mef50_disc_baseline-3rd</w:t>
            </w:r>
          </w:p>
        </w:tc>
        <w:tc>
          <w:tcPr>
            <w:tcW w:w="6747" w:type="dxa"/>
            <w:shd w:val="clear" w:color="auto" w:fill="auto"/>
            <w:noWrap/>
            <w:vAlign w:val="bottom"/>
            <w:hideMark/>
          </w:tcPr>
          <w:p w14:paraId="74DE0214" w14:textId="2F2A3B72" w:rsidR="007E21B3" w:rsidRPr="002F3BA6" w:rsidRDefault="00540D2A" w:rsidP="000B582A">
            <w:pPr>
              <w:spacing w:line="480" w:lineRule="auto"/>
              <w:jc w:val="both"/>
              <w:rPr>
                <w:rFonts w:ascii="Times New Roman" w:eastAsia="Times New Roman" w:hAnsi="Times New Roman" w:cs="Times New Roman"/>
                <w:color w:val="000000"/>
                <w:sz w:val="20"/>
                <w:highlight w:val="yellow"/>
                <w:lang w:val="en-US"/>
              </w:rPr>
            </w:pPr>
            <w:r w:rsidRPr="002F3BA6">
              <w:rPr>
                <w:rFonts w:ascii="Times New Roman" w:eastAsia="Times New Roman" w:hAnsi="Times New Roman" w:cs="Times New Roman"/>
                <w:color w:val="000000"/>
                <w:sz w:val="20"/>
                <w:highlight w:val="yellow"/>
                <w:lang w:val="en-US"/>
              </w:rPr>
              <w:t xml:space="preserve">Response to treatment </w:t>
            </w:r>
            <w:r w:rsidR="007E21B3" w:rsidRPr="002F3BA6">
              <w:rPr>
                <w:rFonts w:ascii="Times New Roman" w:eastAsia="Times New Roman" w:hAnsi="Times New Roman" w:cs="Times New Roman"/>
                <w:color w:val="000000"/>
                <w:sz w:val="20"/>
                <w:highlight w:val="yellow"/>
                <w:lang w:val="en-US"/>
              </w:rPr>
              <w:t xml:space="preserve">according to D MEF50 (1= good, 2= moderate, 3= </w:t>
            </w:r>
            <w:r w:rsidR="002F3BA6" w:rsidRPr="002F3BA6">
              <w:rPr>
                <w:rFonts w:ascii="Times New Roman" w:eastAsia="Times New Roman" w:hAnsi="Times New Roman" w:cs="Times New Roman"/>
                <w:color w:val="000000"/>
                <w:sz w:val="20"/>
                <w:highlight w:val="yellow"/>
                <w:lang w:val="en-US"/>
              </w:rPr>
              <w:t>poor</w:t>
            </w:r>
            <w:r w:rsidR="007E21B3" w:rsidRPr="002F3BA6">
              <w:rPr>
                <w:rFonts w:ascii="Times New Roman" w:eastAsia="Times New Roman" w:hAnsi="Times New Roman" w:cs="Times New Roman"/>
                <w:color w:val="000000"/>
                <w:sz w:val="20"/>
                <w:highlight w:val="yellow"/>
                <w:lang w:val="en-US"/>
              </w:rPr>
              <w:t>)</w:t>
            </w:r>
          </w:p>
        </w:tc>
      </w:tr>
      <w:tr w:rsidR="007E21B3" w:rsidRPr="00107DCD" w14:paraId="7D02119E" w14:textId="77777777" w:rsidTr="00540D2A">
        <w:trPr>
          <w:trHeight w:val="285"/>
        </w:trPr>
        <w:tc>
          <w:tcPr>
            <w:tcW w:w="2607" w:type="dxa"/>
            <w:shd w:val="clear" w:color="auto" w:fill="auto"/>
            <w:noWrap/>
            <w:vAlign w:val="bottom"/>
            <w:hideMark/>
          </w:tcPr>
          <w:p w14:paraId="734AD3B0"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th_antileuk_1st</w:t>
            </w:r>
          </w:p>
        </w:tc>
        <w:tc>
          <w:tcPr>
            <w:tcW w:w="6747" w:type="dxa"/>
            <w:shd w:val="clear" w:color="auto" w:fill="auto"/>
            <w:noWrap/>
            <w:vAlign w:val="bottom"/>
            <w:hideMark/>
          </w:tcPr>
          <w:p w14:paraId="18A7EB7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LTRA (mg)</w:t>
            </w:r>
          </w:p>
        </w:tc>
      </w:tr>
      <w:tr w:rsidR="007E21B3" w:rsidRPr="00107DCD" w14:paraId="2BA99014" w14:textId="77777777" w:rsidTr="00540D2A">
        <w:trPr>
          <w:trHeight w:val="285"/>
        </w:trPr>
        <w:tc>
          <w:tcPr>
            <w:tcW w:w="2607" w:type="dxa"/>
            <w:shd w:val="clear" w:color="auto" w:fill="auto"/>
            <w:noWrap/>
            <w:vAlign w:val="bottom"/>
            <w:hideMark/>
          </w:tcPr>
          <w:p w14:paraId="536ADA3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th_antileuk_2nd</w:t>
            </w:r>
          </w:p>
        </w:tc>
        <w:tc>
          <w:tcPr>
            <w:tcW w:w="6747" w:type="dxa"/>
            <w:shd w:val="clear" w:color="auto" w:fill="auto"/>
            <w:noWrap/>
            <w:vAlign w:val="bottom"/>
            <w:hideMark/>
          </w:tcPr>
          <w:p w14:paraId="4542B86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LTRA (mg)</w:t>
            </w:r>
          </w:p>
        </w:tc>
      </w:tr>
      <w:tr w:rsidR="007E21B3" w:rsidRPr="00107DCD" w14:paraId="61BFCDC7" w14:textId="77777777" w:rsidTr="00540D2A">
        <w:trPr>
          <w:trHeight w:val="285"/>
        </w:trPr>
        <w:tc>
          <w:tcPr>
            <w:tcW w:w="2607" w:type="dxa"/>
            <w:shd w:val="clear" w:color="auto" w:fill="auto"/>
            <w:noWrap/>
            <w:vAlign w:val="bottom"/>
            <w:hideMark/>
          </w:tcPr>
          <w:p w14:paraId="2309136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th_antileuk_3rd</w:t>
            </w:r>
          </w:p>
        </w:tc>
        <w:tc>
          <w:tcPr>
            <w:tcW w:w="6747" w:type="dxa"/>
            <w:shd w:val="clear" w:color="auto" w:fill="auto"/>
            <w:noWrap/>
            <w:vAlign w:val="bottom"/>
            <w:hideMark/>
          </w:tcPr>
          <w:p w14:paraId="2E3927F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LTRA (mg)</w:t>
            </w:r>
          </w:p>
        </w:tc>
      </w:tr>
      <w:tr w:rsidR="007E21B3" w:rsidRPr="00107DCD" w14:paraId="4E890C22" w14:textId="77777777" w:rsidTr="00540D2A">
        <w:trPr>
          <w:trHeight w:val="285"/>
        </w:trPr>
        <w:tc>
          <w:tcPr>
            <w:tcW w:w="2607" w:type="dxa"/>
            <w:shd w:val="clear" w:color="auto" w:fill="auto"/>
            <w:noWrap/>
            <w:vAlign w:val="bottom"/>
            <w:hideMark/>
          </w:tcPr>
          <w:p w14:paraId="1646465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th_ch_1st-2nd</w:t>
            </w:r>
          </w:p>
        </w:tc>
        <w:tc>
          <w:tcPr>
            <w:tcW w:w="6747" w:type="dxa"/>
            <w:shd w:val="clear" w:color="auto" w:fill="auto"/>
            <w:noWrap/>
            <w:vAlign w:val="bottom"/>
            <w:hideMark/>
          </w:tcPr>
          <w:p w14:paraId="2104C1BC" w14:textId="7A91B6AD"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 xml:space="preserve">Change of treatment dose or </w:t>
            </w:r>
            <w:r w:rsidR="00B92C3E" w:rsidRPr="00107DCD">
              <w:rPr>
                <w:rFonts w:ascii="Times New Roman" w:eastAsia="Times New Roman" w:hAnsi="Times New Roman" w:cs="Times New Roman"/>
                <w:color w:val="000000"/>
                <w:sz w:val="20"/>
                <w:lang w:val="en-US"/>
              </w:rPr>
              <w:t>class 1</w:t>
            </w:r>
            <w:r w:rsidRPr="00107DCD">
              <w:rPr>
                <w:rFonts w:ascii="Times New Roman" w:eastAsia="Times New Roman" w:hAnsi="Times New Roman" w:cs="Times New Roman"/>
                <w:color w:val="000000"/>
                <w:sz w:val="20"/>
                <w:lang w:val="en-US"/>
              </w:rPr>
              <w:t xml:space="preserve">st to 2nd control (1=increase/step up, 2=decrease/step down 0=no) </w:t>
            </w:r>
          </w:p>
        </w:tc>
      </w:tr>
      <w:tr w:rsidR="007E21B3" w:rsidRPr="00107DCD" w14:paraId="27A31530" w14:textId="77777777" w:rsidTr="00540D2A">
        <w:trPr>
          <w:trHeight w:val="285"/>
        </w:trPr>
        <w:tc>
          <w:tcPr>
            <w:tcW w:w="2607" w:type="dxa"/>
            <w:shd w:val="clear" w:color="auto" w:fill="auto"/>
            <w:noWrap/>
            <w:vAlign w:val="bottom"/>
            <w:hideMark/>
          </w:tcPr>
          <w:p w14:paraId="7AA34F16"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th_ch_2nd-3rd</w:t>
            </w:r>
          </w:p>
        </w:tc>
        <w:tc>
          <w:tcPr>
            <w:tcW w:w="6747" w:type="dxa"/>
            <w:shd w:val="clear" w:color="auto" w:fill="auto"/>
            <w:noWrap/>
            <w:vAlign w:val="bottom"/>
            <w:hideMark/>
          </w:tcPr>
          <w:p w14:paraId="661DFDE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 xml:space="preserve">Change of treatment dose or class 2nd control to 3rd control (1=increase/step up, 2=decrease/step down 0=no) </w:t>
            </w:r>
          </w:p>
        </w:tc>
      </w:tr>
      <w:tr w:rsidR="007E21B3" w:rsidRPr="00107DCD" w14:paraId="55A917A6" w14:textId="77777777" w:rsidTr="00540D2A">
        <w:trPr>
          <w:trHeight w:val="285"/>
        </w:trPr>
        <w:tc>
          <w:tcPr>
            <w:tcW w:w="2607" w:type="dxa"/>
            <w:shd w:val="clear" w:color="auto" w:fill="auto"/>
            <w:noWrap/>
            <w:vAlign w:val="bottom"/>
            <w:hideMark/>
          </w:tcPr>
          <w:p w14:paraId="36708CB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th_ch_baseline-1st</w:t>
            </w:r>
          </w:p>
        </w:tc>
        <w:tc>
          <w:tcPr>
            <w:tcW w:w="6747" w:type="dxa"/>
            <w:shd w:val="clear" w:color="auto" w:fill="auto"/>
            <w:noWrap/>
            <w:vAlign w:val="bottom"/>
            <w:hideMark/>
          </w:tcPr>
          <w:p w14:paraId="16D3C7EA" w14:textId="73424B0A"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 xml:space="preserve">Change of treatment dose or class </w:t>
            </w:r>
            <w:r w:rsidR="00B92C3E" w:rsidRPr="00107DCD">
              <w:rPr>
                <w:rFonts w:ascii="Times New Roman" w:eastAsia="Times New Roman" w:hAnsi="Times New Roman" w:cs="Times New Roman"/>
                <w:color w:val="000000"/>
                <w:sz w:val="20"/>
                <w:lang w:val="en-US"/>
              </w:rPr>
              <w:t>baseline</w:t>
            </w:r>
            <w:r w:rsidRPr="00107DCD">
              <w:rPr>
                <w:rFonts w:ascii="Times New Roman" w:eastAsia="Times New Roman" w:hAnsi="Times New Roman" w:cs="Times New Roman"/>
                <w:color w:val="000000"/>
                <w:sz w:val="20"/>
                <w:lang w:val="en-US"/>
              </w:rPr>
              <w:t xml:space="preserve"> to 1st (1=increase/step up, 2=decrease/step down 0=no) </w:t>
            </w:r>
          </w:p>
        </w:tc>
      </w:tr>
      <w:tr w:rsidR="007E21B3" w:rsidRPr="00107DCD" w14:paraId="11458F20" w14:textId="77777777" w:rsidTr="00540D2A">
        <w:trPr>
          <w:trHeight w:val="285"/>
        </w:trPr>
        <w:tc>
          <w:tcPr>
            <w:tcW w:w="2607" w:type="dxa"/>
            <w:shd w:val="clear" w:color="auto" w:fill="auto"/>
            <w:noWrap/>
            <w:vAlign w:val="bottom"/>
            <w:hideMark/>
          </w:tcPr>
          <w:p w14:paraId="52FD2B9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th_ICS_1st-2nd</w:t>
            </w:r>
          </w:p>
        </w:tc>
        <w:tc>
          <w:tcPr>
            <w:tcW w:w="6747" w:type="dxa"/>
            <w:shd w:val="clear" w:color="auto" w:fill="auto"/>
            <w:noWrap/>
            <w:vAlign w:val="bottom"/>
            <w:hideMark/>
          </w:tcPr>
          <w:p w14:paraId="557F575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Daily dose of ICS (mcg)</w:t>
            </w:r>
          </w:p>
        </w:tc>
      </w:tr>
      <w:tr w:rsidR="007E21B3" w:rsidRPr="00107DCD" w14:paraId="292C1C31" w14:textId="77777777" w:rsidTr="00540D2A">
        <w:trPr>
          <w:trHeight w:val="285"/>
        </w:trPr>
        <w:tc>
          <w:tcPr>
            <w:tcW w:w="2607" w:type="dxa"/>
            <w:shd w:val="clear" w:color="auto" w:fill="auto"/>
            <w:noWrap/>
            <w:vAlign w:val="bottom"/>
            <w:hideMark/>
          </w:tcPr>
          <w:p w14:paraId="34908A2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th_ICS_2nd-3rd</w:t>
            </w:r>
          </w:p>
        </w:tc>
        <w:tc>
          <w:tcPr>
            <w:tcW w:w="6747" w:type="dxa"/>
            <w:shd w:val="clear" w:color="auto" w:fill="auto"/>
            <w:noWrap/>
            <w:vAlign w:val="bottom"/>
            <w:hideMark/>
          </w:tcPr>
          <w:p w14:paraId="2810D79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ICS 2nd control to 3rd control (1=yes, 0=no)</w:t>
            </w:r>
          </w:p>
        </w:tc>
      </w:tr>
      <w:tr w:rsidR="007E21B3" w:rsidRPr="00107DCD" w14:paraId="0AC6940C" w14:textId="77777777" w:rsidTr="00540D2A">
        <w:trPr>
          <w:trHeight w:val="285"/>
        </w:trPr>
        <w:tc>
          <w:tcPr>
            <w:tcW w:w="2607" w:type="dxa"/>
            <w:shd w:val="clear" w:color="auto" w:fill="auto"/>
            <w:noWrap/>
            <w:vAlign w:val="bottom"/>
            <w:hideMark/>
          </w:tcPr>
          <w:p w14:paraId="1C42573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th_ICS_baseline-1st</w:t>
            </w:r>
          </w:p>
        </w:tc>
        <w:tc>
          <w:tcPr>
            <w:tcW w:w="6747" w:type="dxa"/>
            <w:shd w:val="clear" w:color="auto" w:fill="auto"/>
            <w:noWrap/>
            <w:vAlign w:val="bottom"/>
            <w:hideMark/>
          </w:tcPr>
          <w:p w14:paraId="3817F95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ICS baseline to 1st (1=yes, 0=no)</w:t>
            </w:r>
          </w:p>
        </w:tc>
      </w:tr>
      <w:tr w:rsidR="007E21B3" w:rsidRPr="00107DCD" w14:paraId="3AAE9BF4" w14:textId="77777777" w:rsidTr="00540D2A">
        <w:trPr>
          <w:trHeight w:val="285"/>
        </w:trPr>
        <w:tc>
          <w:tcPr>
            <w:tcW w:w="2607" w:type="dxa"/>
            <w:shd w:val="clear" w:color="auto" w:fill="auto"/>
            <w:noWrap/>
            <w:vAlign w:val="bottom"/>
            <w:hideMark/>
          </w:tcPr>
          <w:p w14:paraId="7F2A3E5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th_ics_dose_1st</w:t>
            </w:r>
          </w:p>
        </w:tc>
        <w:tc>
          <w:tcPr>
            <w:tcW w:w="6747" w:type="dxa"/>
            <w:shd w:val="clear" w:color="auto" w:fill="auto"/>
            <w:noWrap/>
            <w:vAlign w:val="bottom"/>
            <w:hideMark/>
          </w:tcPr>
          <w:p w14:paraId="12A763D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Daily dose of ICS (mcg)</w:t>
            </w:r>
          </w:p>
        </w:tc>
      </w:tr>
      <w:tr w:rsidR="007E21B3" w:rsidRPr="00107DCD" w14:paraId="70E52627" w14:textId="77777777" w:rsidTr="00540D2A">
        <w:trPr>
          <w:trHeight w:val="285"/>
        </w:trPr>
        <w:tc>
          <w:tcPr>
            <w:tcW w:w="2607" w:type="dxa"/>
            <w:shd w:val="clear" w:color="auto" w:fill="auto"/>
            <w:noWrap/>
            <w:vAlign w:val="bottom"/>
            <w:hideMark/>
          </w:tcPr>
          <w:p w14:paraId="57A1BFD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th_ics_dose_2nd</w:t>
            </w:r>
          </w:p>
        </w:tc>
        <w:tc>
          <w:tcPr>
            <w:tcW w:w="6747" w:type="dxa"/>
            <w:shd w:val="clear" w:color="auto" w:fill="auto"/>
            <w:noWrap/>
            <w:vAlign w:val="bottom"/>
            <w:hideMark/>
          </w:tcPr>
          <w:p w14:paraId="7349CA5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Daily dose of ICS (mcg)</w:t>
            </w:r>
          </w:p>
        </w:tc>
      </w:tr>
      <w:tr w:rsidR="007E21B3" w:rsidRPr="00107DCD" w14:paraId="7568EA92" w14:textId="77777777" w:rsidTr="00540D2A">
        <w:trPr>
          <w:trHeight w:val="285"/>
        </w:trPr>
        <w:tc>
          <w:tcPr>
            <w:tcW w:w="2607" w:type="dxa"/>
            <w:shd w:val="clear" w:color="auto" w:fill="auto"/>
            <w:noWrap/>
            <w:vAlign w:val="bottom"/>
            <w:hideMark/>
          </w:tcPr>
          <w:p w14:paraId="21F5946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th_ics_dose_3rd</w:t>
            </w:r>
          </w:p>
        </w:tc>
        <w:tc>
          <w:tcPr>
            <w:tcW w:w="6747" w:type="dxa"/>
            <w:shd w:val="clear" w:color="auto" w:fill="auto"/>
            <w:noWrap/>
            <w:vAlign w:val="bottom"/>
            <w:hideMark/>
          </w:tcPr>
          <w:p w14:paraId="654A7B4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Daily dose of ICS (mcg)</w:t>
            </w:r>
          </w:p>
        </w:tc>
      </w:tr>
      <w:tr w:rsidR="007E21B3" w:rsidRPr="00107DCD" w14:paraId="0E4BBCA7" w14:textId="77777777" w:rsidTr="00540D2A">
        <w:trPr>
          <w:trHeight w:val="285"/>
        </w:trPr>
        <w:tc>
          <w:tcPr>
            <w:tcW w:w="2607" w:type="dxa"/>
            <w:shd w:val="clear" w:color="auto" w:fill="auto"/>
            <w:noWrap/>
            <w:vAlign w:val="bottom"/>
            <w:hideMark/>
          </w:tcPr>
          <w:p w14:paraId="54FBECA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th_ICS_LABA_1st-2nd</w:t>
            </w:r>
          </w:p>
        </w:tc>
        <w:tc>
          <w:tcPr>
            <w:tcW w:w="6747" w:type="dxa"/>
            <w:shd w:val="clear" w:color="auto" w:fill="auto"/>
            <w:noWrap/>
            <w:vAlign w:val="bottom"/>
            <w:hideMark/>
          </w:tcPr>
          <w:p w14:paraId="5FB3C2F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ICS+LABA 1st to 2nd control (1=yes, 0=no)</w:t>
            </w:r>
          </w:p>
        </w:tc>
      </w:tr>
      <w:tr w:rsidR="007E21B3" w:rsidRPr="00107DCD" w14:paraId="6088A2FB" w14:textId="77777777" w:rsidTr="00540D2A">
        <w:trPr>
          <w:trHeight w:val="285"/>
        </w:trPr>
        <w:tc>
          <w:tcPr>
            <w:tcW w:w="2607" w:type="dxa"/>
            <w:shd w:val="clear" w:color="auto" w:fill="auto"/>
            <w:noWrap/>
            <w:vAlign w:val="bottom"/>
            <w:hideMark/>
          </w:tcPr>
          <w:p w14:paraId="0A90FF4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th_ICS_LABA_2nd-3rd</w:t>
            </w:r>
          </w:p>
        </w:tc>
        <w:tc>
          <w:tcPr>
            <w:tcW w:w="6747" w:type="dxa"/>
            <w:shd w:val="clear" w:color="auto" w:fill="auto"/>
            <w:noWrap/>
            <w:vAlign w:val="bottom"/>
            <w:hideMark/>
          </w:tcPr>
          <w:p w14:paraId="779D170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ICS+LABA 2nd control to 3rd control (1=yes, 0=no)</w:t>
            </w:r>
          </w:p>
        </w:tc>
      </w:tr>
      <w:tr w:rsidR="007E21B3" w:rsidRPr="00107DCD" w14:paraId="21CE2FC2" w14:textId="77777777" w:rsidTr="00540D2A">
        <w:trPr>
          <w:trHeight w:val="285"/>
        </w:trPr>
        <w:tc>
          <w:tcPr>
            <w:tcW w:w="2607" w:type="dxa"/>
            <w:shd w:val="clear" w:color="auto" w:fill="auto"/>
            <w:noWrap/>
            <w:vAlign w:val="bottom"/>
            <w:hideMark/>
          </w:tcPr>
          <w:p w14:paraId="74E16FB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th_ICS_LABA_baseline-1st</w:t>
            </w:r>
          </w:p>
        </w:tc>
        <w:tc>
          <w:tcPr>
            <w:tcW w:w="6747" w:type="dxa"/>
            <w:shd w:val="clear" w:color="auto" w:fill="auto"/>
            <w:noWrap/>
            <w:vAlign w:val="bottom"/>
            <w:hideMark/>
          </w:tcPr>
          <w:p w14:paraId="0788AFD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ICS+LABA baseline to 1st (1=yes, 0=no)</w:t>
            </w:r>
          </w:p>
        </w:tc>
      </w:tr>
      <w:tr w:rsidR="007E21B3" w:rsidRPr="00107DCD" w14:paraId="154F8747" w14:textId="77777777" w:rsidTr="00540D2A">
        <w:trPr>
          <w:trHeight w:val="285"/>
        </w:trPr>
        <w:tc>
          <w:tcPr>
            <w:tcW w:w="2607" w:type="dxa"/>
            <w:shd w:val="clear" w:color="auto" w:fill="auto"/>
            <w:noWrap/>
            <w:vAlign w:val="bottom"/>
            <w:hideMark/>
          </w:tcPr>
          <w:p w14:paraId="7E0AF3D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th_ICS_LTRA_LABA_1st-2nd</w:t>
            </w:r>
          </w:p>
        </w:tc>
        <w:tc>
          <w:tcPr>
            <w:tcW w:w="6747" w:type="dxa"/>
            <w:shd w:val="clear" w:color="auto" w:fill="auto"/>
            <w:noWrap/>
            <w:vAlign w:val="bottom"/>
            <w:hideMark/>
          </w:tcPr>
          <w:p w14:paraId="0539CBE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ICS+LTRA (+/-LABA) 1st to 2nd control (1=yes, 0=no)</w:t>
            </w:r>
          </w:p>
        </w:tc>
      </w:tr>
      <w:tr w:rsidR="007E21B3" w:rsidRPr="00107DCD" w14:paraId="79462282" w14:textId="77777777" w:rsidTr="00540D2A">
        <w:trPr>
          <w:trHeight w:val="285"/>
        </w:trPr>
        <w:tc>
          <w:tcPr>
            <w:tcW w:w="2607" w:type="dxa"/>
            <w:shd w:val="clear" w:color="auto" w:fill="auto"/>
            <w:noWrap/>
            <w:vAlign w:val="bottom"/>
            <w:hideMark/>
          </w:tcPr>
          <w:p w14:paraId="2705710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lastRenderedPageBreak/>
              <w:t>th_ICS_LTRA_LABA_2nd-3rd</w:t>
            </w:r>
          </w:p>
        </w:tc>
        <w:tc>
          <w:tcPr>
            <w:tcW w:w="6747" w:type="dxa"/>
            <w:shd w:val="clear" w:color="auto" w:fill="auto"/>
            <w:noWrap/>
            <w:vAlign w:val="bottom"/>
            <w:hideMark/>
          </w:tcPr>
          <w:p w14:paraId="16CE094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ICS+LTRA (+/-LABA) 2nd control to 3rd control (1=yes, 0=no)</w:t>
            </w:r>
          </w:p>
        </w:tc>
      </w:tr>
      <w:tr w:rsidR="007E21B3" w:rsidRPr="00107DCD" w14:paraId="781CF752" w14:textId="77777777" w:rsidTr="00540D2A">
        <w:trPr>
          <w:trHeight w:val="285"/>
        </w:trPr>
        <w:tc>
          <w:tcPr>
            <w:tcW w:w="2607" w:type="dxa"/>
            <w:shd w:val="clear" w:color="auto" w:fill="auto"/>
            <w:noWrap/>
            <w:vAlign w:val="bottom"/>
            <w:hideMark/>
          </w:tcPr>
          <w:p w14:paraId="12A6C6E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th_laba_1st_formoterol</w:t>
            </w:r>
          </w:p>
        </w:tc>
        <w:tc>
          <w:tcPr>
            <w:tcW w:w="6747" w:type="dxa"/>
            <w:shd w:val="clear" w:color="auto" w:fill="auto"/>
            <w:noWrap/>
            <w:vAlign w:val="bottom"/>
            <w:hideMark/>
          </w:tcPr>
          <w:p w14:paraId="232907C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 dose (mcg)</w:t>
            </w:r>
          </w:p>
        </w:tc>
      </w:tr>
      <w:tr w:rsidR="007E21B3" w:rsidRPr="00107DCD" w14:paraId="4E75573B" w14:textId="77777777" w:rsidTr="00540D2A">
        <w:trPr>
          <w:trHeight w:val="285"/>
        </w:trPr>
        <w:tc>
          <w:tcPr>
            <w:tcW w:w="2607" w:type="dxa"/>
            <w:shd w:val="clear" w:color="auto" w:fill="auto"/>
            <w:noWrap/>
            <w:vAlign w:val="bottom"/>
            <w:hideMark/>
          </w:tcPr>
          <w:p w14:paraId="0A48F94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th_laba_1st_salmeterol</w:t>
            </w:r>
          </w:p>
        </w:tc>
        <w:tc>
          <w:tcPr>
            <w:tcW w:w="6747" w:type="dxa"/>
            <w:shd w:val="clear" w:color="auto" w:fill="auto"/>
            <w:noWrap/>
            <w:vAlign w:val="bottom"/>
            <w:hideMark/>
          </w:tcPr>
          <w:p w14:paraId="2C90EA3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 dose (mcg)</w:t>
            </w:r>
          </w:p>
        </w:tc>
      </w:tr>
      <w:tr w:rsidR="007E21B3" w:rsidRPr="00107DCD" w14:paraId="4D942E1E" w14:textId="77777777" w:rsidTr="00540D2A">
        <w:trPr>
          <w:trHeight w:val="285"/>
        </w:trPr>
        <w:tc>
          <w:tcPr>
            <w:tcW w:w="2607" w:type="dxa"/>
            <w:shd w:val="clear" w:color="auto" w:fill="auto"/>
            <w:noWrap/>
            <w:vAlign w:val="bottom"/>
            <w:hideMark/>
          </w:tcPr>
          <w:p w14:paraId="06A04ED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th_laba_2nd_formoterol</w:t>
            </w:r>
          </w:p>
        </w:tc>
        <w:tc>
          <w:tcPr>
            <w:tcW w:w="6747" w:type="dxa"/>
            <w:shd w:val="clear" w:color="auto" w:fill="auto"/>
            <w:noWrap/>
            <w:vAlign w:val="bottom"/>
            <w:hideMark/>
          </w:tcPr>
          <w:p w14:paraId="4EFCA6B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 dose (mcg)</w:t>
            </w:r>
          </w:p>
        </w:tc>
      </w:tr>
      <w:tr w:rsidR="007E21B3" w:rsidRPr="00107DCD" w14:paraId="72EEDCA0" w14:textId="77777777" w:rsidTr="00540D2A">
        <w:trPr>
          <w:trHeight w:val="285"/>
        </w:trPr>
        <w:tc>
          <w:tcPr>
            <w:tcW w:w="2607" w:type="dxa"/>
            <w:shd w:val="clear" w:color="auto" w:fill="auto"/>
            <w:noWrap/>
            <w:vAlign w:val="bottom"/>
            <w:hideMark/>
          </w:tcPr>
          <w:p w14:paraId="48BA0FD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th_laba_2nd_salemeterol</w:t>
            </w:r>
          </w:p>
        </w:tc>
        <w:tc>
          <w:tcPr>
            <w:tcW w:w="6747" w:type="dxa"/>
            <w:shd w:val="clear" w:color="auto" w:fill="auto"/>
            <w:noWrap/>
            <w:vAlign w:val="bottom"/>
            <w:hideMark/>
          </w:tcPr>
          <w:p w14:paraId="24FF586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 dose (mcg)</w:t>
            </w:r>
          </w:p>
        </w:tc>
      </w:tr>
      <w:tr w:rsidR="007E21B3" w:rsidRPr="00107DCD" w14:paraId="13E53173" w14:textId="77777777" w:rsidTr="00540D2A">
        <w:trPr>
          <w:trHeight w:val="285"/>
        </w:trPr>
        <w:tc>
          <w:tcPr>
            <w:tcW w:w="2607" w:type="dxa"/>
            <w:shd w:val="clear" w:color="auto" w:fill="auto"/>
            <w:noWrap/>
            <w:vAlign w:val="bottom"/>
            <w:hideMark/>
          </w:tcPr>
          <w:p w14:paraId="5092E05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th_laba_2nd_salmeterol</w:t>
            </w:r>
          </w:p>
        </w:tc>
        <w:tc>
          <w:tcPr>
            <w:tcW w:w="6747" w:type="dxa"/>
            <w:shd w:val="clear" w:color="auto" w:fill="auto"/>
            <w:noWrap/>
            <w:vAlign w:val="bottom"/>
            <w:hideMark/>
          </w:tcPr>
          <w:p w14:paraId="2DB5009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 dose (mcg)</w:t>
            </w:r>
          </w:p>
        </w:tc>
      </w:tr>
      <w:tr w:rsidR="007E21B3" w:rsidRPr="00107DCD" w14:paraId="1E44CFA0" w14:textId="77777777" w:rsidTr="00540D2A">
        <w:trPr>
          <w:trHeight w:val="285"/>
        </w:trPr>
        <w:tc>
          <w:tcPr>
            <w:tcW w:w="2607" w:type="dxa"/>
            <w:shd w:val="clear" w:color="auto" w:fill="auto"/>
            <w:noWrap/>
            <w:vAlign w:val="bottom"/>
            <w:hideMark/>
          </w:tcPr>
          <w:p w14:paraId="5AA6B4E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th_laba_3rd_formoterol</w:t>
            </w:r>
          </w:p>
        </w:tc>
        <w:tc>
          <w:tcPr>
            <w:tcW w:w="6747" w:type="dxa"/>
            <w:shd w:val="clear" w:color="auto" w:fill="auto"/>
            <w:noWrap/>
            <w:vAlign w:val="bottom"/>
            <w:hideMark/>
          </w:tcPr>
          <w:p w14:paraId="487727F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 dose (mcg)</w:t>
            </w:r>
          </w:p>
        </w:tc>
      </w:tr>
      <w:tr w:rsidR="007E21B3" w:rsidRPr="00107DCD" w14:paraId="7A005C59" w14:textId="77777777" w:rsidTr="00540D2A">
        <w:trPr>
          <w:trHeight w:val="285"/>
        </w:trPr>
        <w:tc>
          <w:tcPr>
            <w:tcW w:w="2607" w:type="dxa"/>
            <w:shd w:val="clear" w:color="auto" w:fill="auto"/>
            <w:noWrap/>
            <w:vAlign w:val="bottom"/>
            <w:hideMark/>
          </w:tcPr>
          <w:p w14:paraId="50DDFCF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th_laba_3rd_salmeterol</w:t>
            </w:r>
          </w:p>
        </w:tc>
        <w:tc>
          <w:tcPr>
            <w:tcW w:w="6747" w:type="dxa"/>
            <w:shd w:val="clear" w:color="auto" w:fill="auto"/>
            <w:noWrap/>
            <w:vAlign w:val="bottom"/>
            <w:hideMark/>
          </w:tcPr>
          <w:p w14:paraId="6F3FB49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 dose (mcg)</w:t>
            </w:r>
          </w:p>
        </w:tc>
      </w:tr>
      <w:tr w:rsidR="007E21B3" w:rsidRPr="00107DCD" w14:paraId="1DC9E910" w14:textId="77777777" w:rsidTr="00540D2A">
        <w:trPr>
          <w:trHeight w:val="285"/>
        </w:trPr>
        <w:tc>
          <w:tcPr>
            <w:tcW w:w="2607" w:type="dxa"/>
            <w:shd w:val="clear" w:color="auto" w:fill="auto"/>
            <w:noWrap/>
            <w:vAlign w:val="bottom"/>
            <w:hideMark/>
          </w:tcPr>
          <w:p w14:paraId="7AE3AB7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th_laba_dose_1st</w:t>
            </w:r>
          </w:p>
        </w:tc>
        <w:tc>
          <w:tcPr>
            <w:tcW w:w="6747" w:type="dxa"/>
            <w:shd w:val="clear" w:color="auto" w:fill="auto"/>
            <w:noWrap/>
            <w:vAlign w:val="bottom"/>
            <w:hideMark/>
          </w:tcPr>
          <w:p w14:paraId="0B357B5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w:t>
            </w:r>
          </w:p>
        </w:tc>
      </w:tr>
      <w:tr w:rsidR="007E21B3" w:rsidRPr="00107DCD" w14:paraId="56165239" w14:textId="77777777" w:rsidTr="00540D2A">
        <w:trPr>
          <w:trHeight w:val="285"/>
        </w:trPr>
        <w:tc>
          <w:tcPr>
            <w:tcW w:w="2607" w:type="dxa"/>
            <w:shd w:val="clear" w:color="auto" w:fill="auto"/>
            <w:noWrap/>
            <w:vAlign w:val="bottom"/>
            <w:hideMark/>
          </w:tcPr>
          <w:p w14:paraId="65FEDB9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th_laba_dose_2nd</w:t>
            </w:r>
          </w:p>
        </w:tc>
        <w:tc>
          <w:tcPr>
            <w:tcW w:w="6747" w:type="dxa"/>
            <w:shd w:val="clear" w:color="auto" w:fill="auto"/>
            <w:noWrap/>
            <w:vAlign w:val="bottom"/>
            <w:hideMark/>
          </w:tcPr>
          <w:p w14:paraId="7D3ADBF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w:t>
            </w:r>
          </w:p>
        </w:tc>
      </w:tr>
      <w:tr w:rsidR="007E21B3" w:rsidRPr="00107DCD" w14:paraId="126CA7EF" w14:textId="77777777" w:rsidTr="00540D2A">
        <w:trPr>
          <w:trHeight w:val="285"/>
        </w:trPr>
        <w:tc>
          <w:tcPr>
            <w:tcW w:w="2607" w:type="dxa"/>
            <w:shd w:val="clear" w:color="auto" w:fill="auto"/>
            <w:noWrap/>
            <w:vAlign w:val="bottom"/>
            <w:hideMark/>
          </w:tcPr>
          <w:p w14:paraId="315D425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th_laba_dose_3rd</w:t>
            </w:r>
          </w:p>
        </w:tc>
        <w:tc>
          <w:tcPr>
            <w:tcW w:w="6747" w:type="dxa"/>
            <w:shd w:val="clear" w:color="auto" w:fill="auto"/>
            <w:noWrap/>
            <w:vAlign w:val="bottom"/>
            <w:hideMark/>
          </w:tcPr>
          <w:p w14:paraId="61C6606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LABA</w:t>
            </w:r>
          </w:p>
        </w:tc>
      </w:tr>
      <w:tr w:rsidR="007E21B3" w:rsidRPr="00107DCD" w14:paraId="576BDBFD" w14:textId="77777777" w:rsidTr="00540D2A">
        <w:trPr>
          <w:trHeight w:val="285"/>
        </w:trPr>
        <w:tc>
          <w:tcPr>
            <w:tcW w:w="2607" w:type="dxa"/>
            <w:shd w:val="clear" w:color="auto" w:fill="auto"/>
            <w:noWrap/>
            <w:vAlign w:val="bottom"/>
            <w:hideMark/>
          </w:tcPr>
          <w:p w14:paraId="6D7339D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th_LTRA_1st-2nd</w:t>
            </w:r>
          </w:p>
        </w:tc>
        <w:tc>
          <w:tcPr>
            <w:tcW w:w="6747" w:type="dxa"/>
            <w:shd w:val="clear" w:color="auto" w:fill="auto"/>
            <w:noWrap/>
            <w:vAlign w:val="bottom"/>
            <w:hideMark/>
          </w:tcPr>
          <w:p w14:paraId="787FBC6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LTRA 1st to 2nd control (1=yes, 0=no)</w:t>
            </w:r>
          </w:p>
        </w:tc>
      </w:tr>
      <w:tr w:rsidR="007E21B3" w:rsidRPr="00107DCD" w14:paraId="4CF6DF31" w14:textId="77777777" w:rsidTr="00540D2A">
        <w:trPr>
          <w:trHeight w:val="285"/>
        </w:trPr>
        <w:tc>
          <w:tcPr>
            <w:tcW w:w="2607" w:type="dxa"/>
            <w:shd w:val="clear" w:color="auto" w:fill="auto"/>
            <w:noWrap/>
            <w:vAlign w:val="bottom"/>
            <w:hideMark/>
          </w:tcPr>
          <w:p w14:paraId="5FE35CA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th_LTRA_2nd-3rd</w:t>
            </w:r>
          </w:p>
        </w:tc>
        <w:tc>
          <w:tcPr>
            <w:tcW w:w="6747" w:type="dxa"/>
            <w:shd w:val="clear" w:color="auto" w:fill="auto"/>
            <w:noWrap/>
            <w:vAlign w:val="bottom"/>
            <w:hideMark/>
          </w:tcPr>
          <w:p w14:paraId="3065D05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LTRA 2nd control to 3rd control (1=yes, 0=no)</w:t>
            </w:r>
          </w:p>
        </w:tc>
      </w:tr>
      <w:tr w:rsidR="007E21B3" w:rsidRPr="00107DCD" w14:paraId="66CF1067" w14:textId="77777777" w:rsidTr="00540D2A">
        <w:trPr>
          <w:trHeight w:val="285"/>
        </w:trPr>
        <w:tc>
          <w:tcPr>
            <w:tcW w:w="2607" w:type="dxa"/>
            <w:shd w:val="clear" w:color="auto" w:fill="auto"/>
            <w:noWrap/>
            <w:vAlign w:val="bottom"/>
            <w:hideMark/>
          </w:tcPr>
          <w:p w14:paraId="35DD341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th_saba_1st</w:t>
            </w:r>
          </w:p>
        </w:tc>
        <w:tc>
          <w:tcPr>
            <w:tcW w:w="6747" w:type="dxa"/>
            <w:shd w:val="clear" w:color="auto" w:fill="auto"/>
            <w:noWrap/>
            <w:vAlign w:val="bottom"/>
            <w:hideMark/>
          </w:tcPr>
          <w:p w14:paraId="02252A2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SABA (puffs per month)</w:t>
            </w:r>
          </w:p>
        </w:tc>
      </w:tr>
      <w:tr w:rsidR="007E21B3" w:rsidRPr="00107DCD" w14:paraId="21ECC4C9" w14:textId="77777777" w:rsidTr="00540D2A">
        <w:trPr>
          <w:trHeight w:val="285"/>
        </w:trPr>
        <w:tc>
          <w:tcPr>
            <w:tcW w:w="2607" w:type="dxa"/>
            <w:shd w:val="clear" w:color="auto" w:fill="auto"/>
            <w:noWrap/>
            <w:vAlign w:val="bottom"/>
            <w:hideMark/>
          </w:tcPr>
          <w:p w14:paraId="30B5316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th_saba_2nd</w:t>
            </w:r>
          </w:p>
        </w:tc>
        <w:tc>
          <w:tcPr>
            <w:tcW w:w="6747" w:type="dxa"/>
            <w:shd w:val="clear" w:color="auto" w:fill="auto"/>
            <w:noWrap/>
            <w:vAlign w:val="bottom"/>
            <w:hideMark/>
          </w:tcPr>
          <w:p w14:paraId="3234780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SABA (puffs per month)</w:t>
            </w:r>
          </w:p>
        </w:tc>
      </w:tr>
      <w:tr w:rsidR="007E21B3" w:rsidRPr="00107DCD" w14:paraId="63EF3D43" w14:textId="77777777" w:rsidTr="00540D2A">
        <w:trPr>
          <w:trHeight w:val="285"/>
        </w:trPr>
        <w:tc>
          <w:tcPr>
            <w:tcW w:w="2607" w:type="dxa"/>
            <w:shd w:val="clear" w:color="auto" w:fill="auto"/>
            <w:noWrap/>
            <w:vAlign w:val="bottom"/>
            <w:hideMark/>
          </w:tcPr>
          <w:p w14:paraId="1346279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th_saba_3rd</w:t>
            </w:r>
          </w:p>
        </w:tc>
        <w:tc>
          <w:tcPr>
            <w:tcW w:w="6747" w:type="dxa"/>
            <w:shd w:val="clear" w:color="auto" w:fill="auto"/>
            <w:noWrap/>
            <w:vAlign w:val="bottom"/>
            <w:hideMark/>
          </w:tcPr>
          <w:p w14:paraId="056A8EA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SABA (puffs per month)</w:t>
            </w:r>
          </w:p>
        </w:tc>
      </w:tr>
      <w:tr w:rsidR="007E21B3" w:rsidRPr="00107DCD" w14:paraId="4BD6C14D" w14:textId="77777777" w:rsidTr="00540D2A">
        <w:trPr>
          <w:trHeight w:val="285"/>
        </w:trPr>
        <w:tc>
          <w:tcPr>
            <w:tcW w:w="2607" w:type="dxa"/>
            <w:shd w:val="clear" w:color="auto" w:fill="auto"/>
            <w:noWrap/>
            <w:vAlign w:val="bottom"/>
            <w:hideMark/>
          </w:tcPr>
          <w:p w14:paraId="6C0E0DB3"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th_steroid_1st_budesonide</w:t>
            </w:r>
          </w:p>
        </w:tc>
        <w:tc>
          <w:tcPr>
            <w:tcW w:w="6747" w:type="dxa"/>
            <w:shd w:val="clear" w:color="auto" w:fill="auto"/>
            <w:noWrap/>
            <w:vAlign w:val="bottom"/>
            <w:hideMark/>
          </w:tcPr>
          <w:p w14:paraId="72308E7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47AE7F07" w14:textId="77777777" w:rsidTr="00540D2A">
        <w:trPr>
          <w:trHeight w:val="285"/>
        </w:trPr>
        <w:tc>
          <w:tcPr>
            <w:tcW w:w="2607" w:type="dxa"/>
            <w:shd w:val="clear" w:color="auto" w:fill="auto"/>
            <w:noWrap/>
            <w:vAlign w:val="bottom"/>
            <w:hideMark/>
          </w:tcPr>
          <w:p w14:paraId="08C27EDE"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th_steroid_1st_budezonid</w:t>
            </w:r>
          </w:p>
        </w:tc>
        <w:tc>
          <w:tcPr>
            <w:tcW w:w="6747" w:type="dxa"/>
            <w:shd w:val="clear" w:color="auto" w:fill="auto"/>
            <w:noWrap/>
            <w:vAlign w:val="bottom"/>
            <w:hideMark/>
          </w:tcPr>
          <w:p w14:paraId="2889C09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53032A00" w14:textId="77777777" w:rsidTr="00540D2A">
        <w:trPr>
          <w:trHeight w:val="285"/>
        </w:trPr>
        <w:tc>
          <w:tcPr>
            <w:tcW w:w="2607" w:type="dxa"/>
            <w:shd w:val="clear" w:color="auto" w:fill="auto"/>
            <w:noWrap/>
            <w:vAlign w:val="bottom"/>
            <w:hideMark/>
          </w:tcPr>
          <w:p w14:paraId="0C4C1A65"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th_steroid_1st_ciklesonide</w:t>
            </w:r>
          </w:p>
        </w:tc>
        <w:tc>
          <w:tcPr>
            <w:tcW w:w="6747" w:type="dxa"/>
            <w:shd w:val="clear" w:color="auto" w:fill="auto"/>
            <w:noWrap/>
            <w:vAlign w:val="bottom"/>
            <w:hideMark/>
          </w:tcPr>
          <w:p w14:paraId="5E9D48EA"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0BEDF07F" w14:textId="77777777" w:rsidTr="00540D2A">
        <w:trPr>
          <w:trHeight w:val="285"/>
        </w:trPr>
        <w:tc>
          <w:tcPr>
            <w:tcW w:w="2607" w:type="dxa"/>
            <w:shd w:val="clear" w:color="auto" w:fill="auto"/>
            <w:noWrap/>
            <w:vAlign w:val="bottom"/>
            <w:hideMark/>
          </w:tcPr>
          <w:p w14:paraId="3B6F188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th_steroid_1st_ciklezonid</w:t>
            </w:r>
          </w:p>
        </w:tc>
        <w:tc>
          <w:tcPr>
            <w:tcW w:w="6747" w:type="dxa"/>
            <w:shd w:val="clear" w:color="auto" w:fill="auto"/>
            <w:noWrap/>
            <w:vAlign w:val="bottom"/>
            <w:hideMark/>
          </w:tcPr>
          <w:p w14:paraId="300D5E7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0D391F2B" w14:textId="77777777" w:rsidTr="00540D2A">
        <w:trPr>
          <w:trHeight w:val="285"/>
        </w:trPr>
        <w:tc>
          <w:tcPr>
            <w:tcW w:w="2607" w:type="dxa"/>
            <w:shd w:val="clear" w:color="auto" w:fill="auto"/>
            <w:noWrap/>
            <w:vAlign w:val="bottom"/>
            <w:hideMark/>
          </w:tcPr>
          <w:p w14:paraId="422FF5E1"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th_steroid_1st_fluticasone</w:t>
            </w:r>
          </w:p>
        </w:tc>
        <w:tc>
          <w:tcPr>
            <w:tcW w:w="6747" w:type="dxa"/>
            <w:shd w:val="clear" w:color="auto" w:fill="auto"/>
            <w:noWrap/>
            <w:vAlign w:val="bottom"/>
            <w:hideMark/>
          </w:tcPr>
          <w:p w14:paraId="44F885F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15302F8A" w14:textId="77777777" w:rsidTr="00540D2A">
        <w:trPr>
          <w:trHeight w:val="285"/>
        </w:trPr>
        <w:tc>
          <w:tcPr>
            <w:tcW w:w="2607" w:type="dxa"/>
            <w:shd w:val="clear" w:color="auto" w:fill="auto"/>
            <w:noWrap/>
            <w:vAlign w:val="bottom"/>
            <w:hideMark/>
          </w:tcPr>
          <w:p w14:paraId="636D697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th_steroid_2nd_budesonide</w:t>
            </w:r>
          </w:p>
        </w:tc>
        <w:tc>
          <w:tcPr>
            <w:tcW w:w="6747" w:type="dxa"/>
            <w:shd w:val="clear" w:color="auto" w:fill="auto"/>
            <w:noWrap/>
            <w:vAlign w:val="bottom"/>
            <w:hideMark/>
          </w:tcPr>
          <w:p w14:paraId="7773166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618CCE81" w14:textId="77777777" w:rsidTr="00540D2A">
        <w:trPr>
          <w:trHeight w:val="285"/>
        </w:trPr>
        <w:tc>
          <w:tcPr>
            <w:tcW w:w="2607" w:type="dxa"/>
            <w:shd w:val="clear" w:color="auto" w:fill="auto"/>
            <w:noWrap/>
            <w:vAlign w:val="bottom"/>
            <w:hideMark/>
          </w:tcPr>
          <w:p w14:paraId="749C6FC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th_steroid_2nd_ciklesonide</w:t>
            </w:r>
          </w:p>
        </w:tc>
        <w:tc>
          <w:tcPr>
            <w:tcW w:w="6747" w:type="dxa"/>
            <w:shd w:val="clear" w:color="auto" w:fill="auto"/>
            <w:noWrap/>
            <w:vAlign w:val="bottom"/>
            <w:hideMark/>
          </w:tcPr>
          <w:p w14:paraId="307A5E9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02E65FE6" w14:textId="77777777" w:rsidTr="00540D2A">
        <w:trPr>
          <w:trHeight w:val="285"/>
        </w:trPr>
        <w:tc>
          <w:tcPr>
            <w:tcW w:w="2607" w:type="dxa"/>
            <w:shd w:val="clear" w:color="auto" w:fill="auto"/>
            <w:noWrap/>
            <w:vAlign w:val="bottom"/>
            <w:hideMark/>
          </w:tcPr>
          <w:p w14:paraId="71DB1569"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th_steroid_2nd_fluticasone</w:t>
            </w:r>
          </w:p>
        </w:tc>
        <w:tc>
          <w:tcPr>
            <w:tcW w:w="6747" w:type="dxa"/>
            <w:shd w:val="clear" w:color="auto" w:fill="auto"/>
            <w:noWrap/>
            <w:vAlign w:val="bottom"/>
            <w:hideMark/>
          </w:tcPr>
          <w:p w14:paraId="7CD1423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059298E2" w14:textId="77777777" w:rsidTr="00540D2A">
        <w:trPr>
          <w:trHeight w:val="285"/>
        </w:trPr>
        <w:tc>
          <w:tcPr>
            <w:tcW w:w="2607" w:type="dxa"/>
            <w:shd w:val="clear" w:color="auto" w:fill="auto"/>
            <w:noWrap/>
            <w:vAlign w:val="bottom"/>
            <w:hideMark/>
          </w:tcPr>
          <w:p w14:paraId="5AF9B047"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th_steroid_3rd_budesonide</w:t>
            </w:r>
          </w:p>
        </w:tc>
        <w:tc>
          <w:tcPr>
            <w:tcW w:w="6747" w:type="dxa"/>
            <w:shd w:val="clear" w:color="auto" w:fill="auto"/>
            <w:noWrap/>
            <w:vAlign w:val="bottom"/>
            <w:hideMark/>
          </w:tcPr>
          <w:p w14:paraId="37EC76B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343FF7DB" w14:textId="77777777" w:rsidTr="00540D2A">
        <w:trPr>
          <w:trHeight w:val="285"/>
        </w:trPr>
        <w:tc>
          <w:tcPr>
            <w:tcW w:w="2607" w:type="dxa"/>
            <w:shd w:val="clear" w:color="auto" w:fill="auto"/>
            <w:noWrap/>
            <w:vAlign w:val="bottom"/>
            <w:hideMark/>
          </w:tcPr>
          <w:p w14:paraId="63FFC02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th_steroid_3rd_ciklesonide</w:t>
            </w:r>
          </w:p>
        </w:tc>
        <w:tc>
          <w:tcPr>
            <w:tcW w:w="6747" w:type="dxa"/>
            <w:shd w:val="clear" w:color="auto" w:fill="auto"/>
            <w:noWrap/>
            <w:vAlign w:val="bottom"/>
            <w:hideMark/>
          </w:tcPr>
          <w:p w14:paraId="657AD4B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3D7554CF" w14:textId="77777777" w:rsidTr="00540D2A">
        <w:trPr>
          <w:trHeight w:val="285"/>
        </w:trPr>
        <w:tc>
          <w:tcPr>
            <w:tcW w:w="2607" w:type="dxa"/>
            <w:shd w:val="clear" w:color="auto" w:fill="auto"/>
            <w:noWrap/>
            <w:vAlign w:val="bottom"/>
            <w:hideMark/>
          </w:tcPr>
          <w:p w14:paraId="151451F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lastRenderedPageBreak/>
              <w:t>th_steroid_3rd_fluticasone</w:t>
            </w:r>
          </w:p>
        </w:tc>
        <w:tc>
          <w:tcPr>
            <w:tcW w:w="6747" w:type="dxa"/>
            <w:shd w:val="clear" w:color="auto" w:fill="auto"/>
            <w:noWrap/>
            <w:vAlign w:val="bottom"/>
            <w:hideMark/>
          </w:tcPr>
          <w:p w14:paraId="47986C08"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Inhaled steroid (generic name)</w:t>
            </w:r>
          </w:p>
        </w:tc>
      </w:tr>
      <w:tr w:rsidR="007E21B3" w:rsidRPr="00107DCD" w14:paraId="26B84FFA" w14:textId="77777777" w:rsidTr="00540D2A">
        <w:trPr>
          <w:trHeight w:val="285"/>
        </w:trPr>
        <w:tc>
          <w:tcPr>
            <w:tcW w:w="2607" w:type="dxa"/>
            <w:shd w:val="clear" w:color="auto" w:fill="auto"/>
            <w:noWrap/>
            <w:vAlign w:val="bottom"/>
            <w:hideMark/>
          </w:tcPr>
          <w:p w14:paraId="5943643C"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th_treat_1st</w:t>
            </w:r>
          </w:p>
        </w:tc>
        <w:tc>
          <w:tcPr>
            <w:tcW w:w="6747" w:type="dxa"/>
            <w:shd w:val="clear" w:color="auto" w:fill="auto"/>
            <w:noWrap/>
            <w:vAlign w:val="bottom"/>
            <w:hideMark/>
          </w:tcPr>
          <w:p w14:paraId="0969463D"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No treatment (no treatment=1, on treatment=0)</w:t>
            </w:r>
          </w:p>
        </w:tc>
      </w:tr>
      <w:tr w:rsidR="007E21B3" w:rsidRPr="00107DCD" w14:paraId="5EAA2BC4" w14:textId="77777777" w:rsidTr="00540D2A">
        <w:trPr>
          <w:trHeight w:val="285"/>
        </w:trPr>
        <w:tc>
          <w:tcPr>
            <w:tcW w:w="2607" w:type="dxa"/>
            <w:shd w:val="clear" w:color="auto" w:fill="auto"/>
            <w:noWrap/>
            <w:vAlign w:val="bottom"/>
            <w:hideMark/>
          </w:tcPr>
          <w:p w14:paraId="07E0FE0B"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th_treat_2nd</w:t>
            </w:r>
          </w:p>
        </w:tc>
        <w:tc>
          <w:tcPr>
            <w:tcW w:w="6747" w:type="dxa"/>
            <w:shd w:val="clear" w:color="auto" w:fill="auto"/>
            <w:noWrap/>
            <w:vAlign w:val="bottom"/>
            <w:hideMark/>
          </w:tcPr>
          <w:p w14:paraId="5D7EA5C4"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No treatment (no treatment=1, on treatment=0)</w:t>
            </w:r>
          </w:p>
        </w:tc>
      </w:tr>
      <w:tr w:rsidR="007E21B3" w:rsidRPr="00107DCD" w14:paraId="1744DA7B" w14:textId="77777777" w:rsidTr="00540D2A">
        <w:trPr>
          <w:trHeight w:val="285"/>
        </w:trPr>
        <w:tc>
          <w:tcPr>
            <w:tcW w:w="2607" w:type="dxa"/>
            <w:shd w:val="clear" w:color="auto" w:fill="auto"/>
            <w:noWrap/>
            <w:vAlign w:val="bottom"/>
            <w:hideMark/>
          </w:tcPr>
          <w:p w14:paraId="415DD6B2"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th_treat_3rd</w:t>
            </w:r>
          </w:p>
        </w:tc>
        <w:tc>
          <w:tcPr>
            <w:tcW w:w="6747" w:type="dxa"/>
            <w:shd w:val="clear" w:color="auto" w:fill="auto"/>
            <w:noWrap/>
            <w:vAlign w:val="bottom"/>
            <w:hideMark/>
          </w:tcPr>
          <w:p w14:paraId="480231FF" w14:textId="77777777" w:rsidR="007E21B3" w:rsidRPr="00107DCD" w:rsidRDefault="007E21B3" w:rsidP="000B582A">
            <w:pPr>
              <w:spacing w:line="480" w:lineRule="auto"/>
              <w:jc w:val="both"/>
              <w:rPr>
                <w:rFonts w:ascii="Times New Roman" w:eastAsia="Times New Roman" w:hAnsi="Times New Roman" w:cs="Times New Roman"/>
                <w:color w:val="000000"/>
                <w:sz w:val="20"/>
                <w:lang w:val="en-US"/>
              </w:rPr>
            </w:pPr>
            <w:r w:rsidRPr="00107DCD">
              <w:rPr>
                <w:rFonts w:ascii="Times New Roman" w:eastAsia="Times New Roman" w:hAnsi="Times New Roman" w:cs="Times New Roman"/>
                <w:color w:val="000000"/>
                <w:sz w:val="20"/>
                <w:lang w:val="en-US"/>
              </w:rPr>
              <w:t>No treatment (no treatment=1, on treatment=0)</w:t>
            </w:r>
          </w:p>
        </w:tc>
      </w:tr>
    </w:tbl>
    <w:p w14:paraId="7EDCC000" w14:textId="77777777" w:rsidR="00662189" w:rsidRDefault="00662189" w:rsidP="000B582A">
      <w:pPr>
        <w:spacing w:line="480" w:lineRule="auto"/>
        <w:jc w:val="both"/>
        <w:rPr>
          <w:rFonts w:eastAsia="Calibri"/>
          <w:color w:val="000000"/>
          <w:sz w:val="18"/>
        </w:rPr>
      </w:pPr>
      <w:bookmarkStart w:id="18" w:name="_do0m3ivrn30l" w:colFirst="0" w:colLast="0"/>
      <w:bookmarkEnd w:id="18"/>
    </w:p>
    <w:p w14:paraId="4B6DC729" w14:textId="713BD0E0" w:rsidR="003252EE" w:rsidRPr="003252EE" w:rsidRDefault="00424987" w:rsidP="000B582A">
      <w:pPr>
        <w:spacing w:line="480" w:lineRule="auto"/>
        <w:rPr>
          <w:rFonts w:ascii="Times New Roman" w:hAnsi="Times New Roman" w:cs="Times New Roman"/>
          <w:sz w:val="24"/>
          <w:szCs w:val="24"/>
        </w:rPr>
      </w:pPr>
      <w:r w:rsidRPr="003252EE">
        <w:rPr>
          <w:rFonts w:ascii="Times New Roman" w:hAnsi="Times New Roman" w:cs="Times New Roman"/>
          <w:sz w:val="24"/>
          <w:szCs w:val="24"/>
        </w:rPr>
        <w:t xml:space="preserve">Table </w:t>
      </w:r>
      <w:r w:rsidR="00B24C9A">
        <w:rPr>
          <w:rFonts w:ascii="Times New Roman" w:hAnsi="Times New Roman" w:cs="Times New Roman"/>
          <w:sz w:val="24"/>
          <w:szCs w:val="24"/>
        </w:rPr>
        <w:t>S5</w:t>
      </w:r>
      <w:r w:rsidRPr="003252EE">
        <w:rPr>
          <w:rFonts w:ascii="Times New Roman" w:hAnsi="Times New Roman" w:cs="Times New Roman"/>
          <w:sz w:val="24"/>
          <w:szCs w:val="24"/>
        </w:rPr>
        <w:t>. Feature importance for the decision tree classifier</w:t>
      </w:r>
    </w:p>
    <w:tbl>
      <w:tblPr>
        <w:tblW w:w="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1776"/>
      </w:tblGrid>
      <w:tr w:rsidR="00424987" w:rsidRPr="00107DCD" w14:paraId="75C8D49B" w14:textId="77777777" w:rsidTr="00424987">
        <w:trPr>
          <w:trHeight w:val="285"/>
        </w:trPr>
        <w:tc>
          <w:tcPr>
            <w:tcW w:w="3595" w:type="dxa"/>
            <w:shd w:val="clear" w:color="auto" w:fill="auto"/>
            <w:noWrap/>
            <w:vAlign w:val="bottom"/>
            <w:hideMark/>
          </w:tcPr>
          <w:p w14:paraId="6C22DE68" w14:textId="74C8ACE2" w:rsidR="00424987" w:rsidRPr="00107DCD" w:rsidRDefault="00540D2A" w:rsidP="000B582A">
            <w:pPr>
              <w:spacing w:line="480" w:lineRule="auto"/>
              <w:jc w:val="both"/>
              <w:rPr>
                <w:rFonts w:ascii="Times New Roman" w:eastAsia="Times New Roman" w:hAnsi="Times New Roman" w:cs="Times New Roman"/>
                <w:szCs w:val="24"/>
                <w:lang w:val="en-US"/>
              </w:rPr>
            </w:pPr>
            <w:r w:rsidRPr="00107DCD">
              <w:rPr>
                <w:rFonts w:ascii="Times New Roman" w:eastAsia="Times New Roman" w:hAnsi="Times New Roman" w:cs="Times New Roman"/>
                <w:szCs w:val="24"/>
                <w:lang w:val="en-US"/>
              </w:rPr>
              <w:t>Feature</w:t>
            </w:r>
          </w:p>
        </w:tc>
        <w:tc>
          <w:tcPr>
            <w:tcW w:w="1776" w:type="dxa"/>
            <w:shd w:val="clear" w:color="auto" w:fill="auto"/>
            <w:noWrap/>
            <w:hideMark/>
          </w:tcPr>
          <w:p w14:paraId="10BB200A"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Feature Importance %</w:t>
            </w:r>
          </w:p>
        </w:tc>
      </w:tr>
      <w:tr w:rsidR="00424987" w:rsidRPr="00107DCD" w14:paraId="1A173EF2" w14:textId="77777777" w:rsidTr="00424987">
        <w:trPr>
          <w:trHeight w:val="285"/>
        </w:trPr>
        <w:tc>
          <w:tcPr>
            <w:tcW w:w="3595" w:type="dxa"/>
            <w:shd w:val="clear" w:color="auto" w:fill="auto"/>
            <w:noWrap/>
            <w:hideMark/>
          </w:tcPr>
          <w:p w14:paraId="34912842"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meas_mef50_baseline</w:t>
            </w:r>
          </w:p>
        </w:tc>
        <w:tc>
          <w:tcPr>
            <w:tcW w:w="1776" w:type="dxa"/>
            <w:shd w:val="clear" w:color="auto" w:fill="auto"/>
            <w:noWrap/>
            <w:vAlign w:val="bottom"/>
            <w:hideMark/>
          </w:tcPr>
          <w:p w14:paraId="3FC23FD2"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24.1</w:t>
            </w:r>
          </w:p>
        </w:tc>
      </w:tr>
      <w:tr w:rsidR="00424987" w:rsidRPr="00107DCD" w14:paraId="006317D0" w14:textId="77777777" w:rsidTr="00424987">
        <w:trPr>
          <w:trHeight w:val="285"/>
        </w:trPr>
        <w:tc>
          <w:tcPr>
            <w:tcW w:w="3595" w:type="dxa"/>
            <w:shd w:val="clear" w:color="auto" w:fill="auto"/>
            <w:noWrap/>
            <w:hideMark/>
          </w:tcPr>
          <w:p w14:paraId="08D693B9"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th_saba_3rd</w:t>
            </w:r>
          </w:p>
        </w:tc>
        <w:tc>
          <w:tcPr>
            <w:tcW w:w="1776" w:type="dxa"/>
            <w:shd w:val="clear" w:color="auto" w:fill="auto"/>
            <w:noWrap/>
            <w:vAlign w:val="bottom"/>
            <w:hideMark/>
          </w:tcPr>
          <w:p w14:paraId="2AEDD076"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17.1</w:t>
            </w:r>
          </w:p>
        </w:tc>
      </w:tr>
      <w:tr w:rsidR="00424987" w:rsidRPr="00107DCD" w14:paraId="75056B29" w14:textId="77777777" w:rsidTr="00424987">
        <w:trPr>
          <w:trHeight w:val="285"/>
        </w:trPr>
        <w:tc>
          <w:tcPr>
            <w:tcW w:w="3595" w:type="dxa"/>
            <w:shd w:val="clear" w:color="auto" w:fill="auto"/>
            <w:noWrap/>
            <w:hideMark/>
          </w:tcPr>
          <w:p w14:paraId="74952AFA"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phys_hscrp</w:t>
            </w:r>
            <w:proofErr w:type="spellEnd"/>
          </w:p>
        </w:tc>
        <w:tc>
          <w:tcPr>
            <w:tcW w:w="1776" w:type="dxa"/>
            <w:shd w:val="clear" w:color="auto" w:fill="auto"/>
            <w:noWrap/>
            <w:vAlign w:val="bottom"/>
            <w:hideMark/>
          </w:tcPr>
          <w:p w14:paraId="199E9D4E"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8.3</w:t>
            </w:r>
          </w:p>
        </w:tc>
      </w:tr>
      <w:tr w:rsidR="00424987" w:rsidRPr="00107DCD" w14:paraId="032BF748" w14:textId="77777777" w:rsidTr="00424987">
        <w:trPr>
          <w:trHeight w:val="285"/>
        </w:trPr>
        <w:tc>
          <w:tcPr>
            <w:tcW w:w="3595" w:type="dxa"/>
            <w:shd w:val="clear" w:color="auto" w:fill="auto"/>
            <w:noWrap/>
            <w:hideMark/>
          </w:tcPr>
          <w:p w14:paraId="6BECFC14"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phys_iga</w:t>
            </w:r>
            <w:proofErr w:type="spellEnd"/>
          </w:p>
        </w:tc>
        <w:tc>
          <w:tcPr>
            <w:tcW w:w="1776" w:type="dxa"/>
            <w:shd w:val="clear" w:color="auto" w:fill="auto"/>
            <w:noWrap/>
            <w:vAlign w:val="bottom"/>
            <w:hideMark/>
          </w:tcPr>
          <w:p w14:paraId="7D8F7297"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6.8</w:t>
            </w:r>
          </w:p>
        </w:tc>
      </w:tr>
      <w:tr w:rsidR="00424987" w:rsidRPr="00107DCD" w14:paraId="279DF642" w14:textId="77777777" w:rsidTr="00424987">
        <w:trPr>
          <w:trHeight w:val="285"/>
        </w:trPr>
        <w:tc>
          <w:tcPr>
            <w:tcW w:w="3595" w:type="dxa"/>
            <w:shd w:val="clear" w:color="auto" w:fill="auto"/>
            <w:noWrap/>
            <w:hideMark/>
          </w:tcPr>
          <w:p w14:paraId="48BA3256"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phys_height</w:t>
            </w:r>
            <w:proofErr w:type="spellEnd"/>
          </w:p>
        </w:tc>
        <w:tc>
          <w:tcPr>
            <w:tcW w:w="1776" w:type="dxa"/>
            <w:shd w:val="clear" w:color="auto" w:fill="auto"/>
            <w:noWrap/>
            <w:vAlign w:val="bottom"/>
            <w:hideMark/>
          </w:tcPr>
          <w:p w14:paraId="2A29FB64"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4.5</w:t>
            </w:r>
          </w:p>
        </w:tc>
      </w:tr>
      <w:tr w:rsidR="00424987" w:rsidRPr="00107DCD" w14:paraId="466B953D" w14:textId="77777777" w:rsidTr="00424987">
        <w:trPr>
          <w:trHeight w:val="285"/>
        </w:trPr>
        <w:tc>
          <w:tcPr>
            <w:tcW w:w="3595" w:type="dxa"/>
            <w:shd w:val="clear" w:color="auto" w:fill="auto"/>
            <w:noWrap/>
            <w:hideMark/>
          </w:tcPr>
          <w:p w14:paraId="71FD0E07"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th_ICS_LABA_baseline-1st</w:t>
            </w:r>
          </w:p>
        </w:tc>
        <w:tc>
          <w:tcPr>
            <w:tcW w:w="1776" w:type="dxa"/>
            <w:shd w:val="clear" w:color="auto" w:fill="auto"/>
            <w:noWrap/>
            <w:vAlign w:val="bottom"/>
            <w:hideMark/>
          </w:tcPr>
          <w:p w14:paraId="14100A66"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4.5</w:t>
            </w:r>
          </w:p>
        </w:tc>
      </w:tr>
      <w:tr w:rsidR="00424987" w:rsidRPr="00107DCD" w14:paraId="3B42BB1D" w14:textId="77777777" w:rsidTr="00424987">
        <w:trPr>
          <w:trHeight w:val="285"/>
        </w:trPr>
        <w:tc>
          <w:tcPr>
            <w:tcW w:w="3595" w:type="dxa"/>
            <w:shd w:val="clear" w:color="auto" w:fill="auto"/>
            <w:noWrap/>
            <w:hideMark/>
          </w:tcPr>
          <w:p w14:paraId="2849291E"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th_ICS_LABA_2nd-3rd</w:t>
            </w:r>
          </w:p>
        </w:tc>
        <w:tc>
          <w:tcPr>
            <w:tcW w:w="1776" w:type="dxa"/>
            <w:shd w:val="clear" w:color="auto" w:fill="auto"/>
            <w:noWrap/>
            <w:vAlign w:val="bottom"/>
            <w:hideMark/>
          </w:tcPr>
          <w:p w14:paraId="19BB2337"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4.3</w:t>
            </w:r>
          </w:p>
        </w:tc>
      </w:tr>
      <w:tr w:rsidR="00424987" w:rsidRPr="00107DCD" w14:paraId="1BBEF060" w14:textId="77777777" w:rsidTr="00424987">
        <w:trPr>
          <w:trHeight w:val="285"/>
        </w:trPr>
        <w:tc>
          <w:tcPr>
            <w:tcW w:w="3595" w:type="dxa"/>
            <w:shd w:val="clear" w:color="auto" w:fill="auto"/>
            <w:noWrap/>
            <w:hideMark/>
          </w:tcPr>
          <w:p w14:paraId="0A1121FA"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ass_asthma_ctrl_baseline</w:t>
            </w:r>
            <w:proofErr w:type="spellEnd"/>
          </w:p>
        </w:tc>
        <w:tc>
          <w:tcPr>
            <w:tcW w:w="1776" w:type="dxa"/>
            <w:shd w:val="clear" w:color="auto" w:fill="auto"/>
            <w:noWrap/>
            <w:vAlign w:val="bottom"/>
            <w:hideMark/>
          </w:tcPr>
          <w:p w14:paraId="4E513083"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3.2</w:t>
            </w:r>
          </w:p>
        </w:tc>
      </w:tr>
      <w:tr w:rsidR="00424987" w:rsidRPr="00107DCD" w14:paraId="162C7222" w14:textId="77777777" w:rsidTr="00424987">
        <w:trPr>
          <w:trHeight w:val="285"/>
        </w:trPr>
        <w:tc>
          <w:tcPr>
            <w:tcW w:w="3595" w:type="dxa"/>
            <w:shd w:val="clear" w:color="auto" w:fill="auto"/>
            <w:noWrap/>
            <w:hideMark/>
          </w:tcPr>
          <w:p w14:paraId="0718641A"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phys_eosinophils_dunger</w:t>
            </w:r>
            <w:proofErr w:type="spellEnd"/>
          </w:p>
        </w:tc>
        <w:tc>
          <w:tcPr>
            <w:tcW w:w="1776" w:type="dxa"/>
            <w:shd w:val="clear" w:color="auto" w:fill="auto"/>
            <w:noWrap/>
            <w:vAlign w:val="bottom"/>
            <w:hideMark/>
          </w:tcPr>
          <w:p w14:paraId="4DC4E906"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2.8</w:t>
            </w:r>
          </w:p>
        </w:tc>
      </w:tr>
      <w:tr w:rsidR="00424987" w:rsidRPr="00107DCD" w14:paraId="3440F02F" w14:textId="77777777" w:rsidTr="00424987">
        <w:trPr>
          <w:trHeight w:val="285"/>
        </w:trPr>
        <w:tc>
          <w:tcPr>
            <w:tcW w:w="3595" w:type="dxa"/>
            <w:shd w:val="clear" w:color="auto" w:fill="auto"/>
            <w:noWrap/>
            <w:hideMark/>
          </w:tcPr>
          <w:p w14:paraId="42234BDB"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th_ch_baseline-1st</w:t>
            </w:r>
          </w:p>
        </w:tc>
        <w:tc>
          <w:tcPr>
            <w:tcW w:w="1776" w:type="dxa"/>
            <w:shd w:val="clear" w:color="auto" w:fill="auto"/>
            <w:noWrap/>
            <w:vAlign w:val="bottom"/>
            <w:hideMark/>
          </w:tcPr>
          <w:p w14:paraId="5F21F1AA"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2.7</w:t>
            </w:r>
          </w:p>
        </w:tc>
      </w:tr>
      <w:tr w:rsidR="00424987" w:rsidRPr="00107DCD" w14:paraId="030550C5" w14:textId="77777777" w:rsidTr="00424987">
        <w:trPr>
          <w:trHeight w:val="285"/>
        </w:trPr>
        <w:tc>
          <w:tcPr>
            <w:tcW w:w="3595" w:type="dxa"/>
            <w:shd w:val="clear" w:color="auto" w:fill="auto"/>
            <w:noWrap/>
            <w:hideMark/>
          </w:tcPr>
          <w:p w14:paraId="3A4B045B"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phys_neutrophils_blood</w:t>
            </w:r>
            <w:proofErr w:type="spellEnd"/>
          </w:p>
        </w:tc>
        <w:tc>
          <w:tcPr>
            <w:tcW w:w="1776" w:type="dxa"/>
            <w:shd w:val="clear" w:color="auto" w:fill="auto"/>
            <w:noWrap/>
            <w:vAlign w:val="bottom"/>
            <w:hideMark/>
          </w:tcPr>
          <w:p w14:paraId="6AF2E342"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2.5</w:t>
            </w:r>
          </w:p>
        </w:tc>
      </w:tr>
      <w:tr w:rsidR="00424987" w:rsidRPr="00107DCD" w14:paraId="18FE7E65" w14:textId="77777777" w:rsidTr="00424987">
        <w:trPr>
          <w:trHeight w:val="285"/>
        </w:trPr>
        <w:tc>
          <w:tcPr>
            <w:tcW w:w="3595" w:type="dxa"/>
            <w:shd w:val="clear" w:color="auto" w:fill="auto"/>
            <w:noWrap/>
            <w:hideMark/>
          </w:tcPr>
          <w:p w14:paraId="7DF8375B"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th_antileuk_2nd</w:t>
            </w:r>
          </w:p>
        </w:tc>
        <w:tc>
          <w:tcPr>
            <w:tcW w:w="1776" w:type="dxa"/>
            <w:shd w:val="clear" w:color="auto" w:fill="auto"/>
            <w:noWrap/>
            <w:vAlign w:val="bottom"/>
            <w:hideMark/>
          </w:tcPr>
          <w:p w14:paraId="36709B31"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2.5</w:t>
            </w:r>
          </w:p>
        </w:tc>
      </w:tr>
      <w:tr w:rsidR="00424987" w:rsidRPr="00107DCD" w14:paraId="7BE078CB" w14:textId="77777777" w:rsidTr="00424987">
        <w:trPr>
          <w:trHeight w:val="285"/>
        </w:trPr>
        <w:tc>
          <w:tcPr>
            <w:tcW w:w="3595" w:type="dxa"/>
            <w:shd w:val="clear" w:color="auto" w:fill="auto"/>
            <w:noWrap/>
            <w:hideMark/>
          </w:tcPr>
          <w:p w14:paraId="7643A920"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phys_ige_total</w:t>
            </w:r>
            <w:proofErr w:type="spellEnd"/>
          </w:p>
        </w:tc>
        <w:tc>
          <w:tcPr>
            <w:tcW w:w="1776" w:type="dxa"/>
            <w:shd w:val="clear" w:color="auto" w:fill="auto"/>
            <w:noWrap/>
            <w:vAlign w:val="bottom"/>
            <w:hideMark/>
          </w:tcPr>
          <w:p w14:paraId="1CBC38EC"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2.5</w:t>
            </w:r>
          </w:p>
        </w:tc>
      </w:tr>
      <w:tr w:rsidR="00424987" w:rsidRPr="00107DCD" w14:paraId="014A63A7" w14:textId="77777777" w:rsidTr="00424987">
        <w:trPr>
          <w:trHeight w:val="285"/>
        </w:trPr>
        <w:tc>
          <w:tcPr>
            <w:tcW w:w="3595" w:type="dxa"/>
            <w:shd w:val="clear" w:color="auto" w:fill="auto"/>
            <w:noWrap/>
            <w:hideMark/>
          </w:tcPr>
          <w:p w14:paraId="6D86F363"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phys_bmi_perc</w:t>
            </w:r>
            <w:proofErr w:type="spellEnd"/>
          </w:p>
        </w:tc>
        <w:tc>
          <w:tcPr>
            <w:tcW w:w="1776" w:type="dxa"/>
            <w:shd w:val="clear" w:color="auto" w:fill="auto"/>
            <w:noWrap/>
            <w:vAlign w:val="bottom"/>
            <w:hideMark/>
          </w:tcPr>
          <w:p w14:paraId="6D340FAD"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2.4</w:t>
            </w:r>
          </w:p>
        </w:tc>
      </w:tr>
      <w:tr w:rsidR="00424987" w:rsidRPr="00107DCD" w14:paraId="4AF7C2FB" w14:textId="77777777" w:rsidTr="00424987">
        <w:trPr>
          <w:trHeight w:val="285"/>
        </w:trPr>
        <w:tc>
          <w:tcPr>
            <w:tcW w:w="3595" w:type="dxa"/>
            <w:shd w:val="clear" w:color="auto" w:fill="auto"/>
            <w:noWrap/>
            <w:hideMark/>
          </w:tcPr>
          <w:p w14:paraId="1DDD9E44"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t>meas_fen0_baseline</w:t>
            </w:r>
          </w:p>
        </w:tc>
        <w:tc>
          <w:tcPr>
            <w:tcW w:w="1776" w:type="dxa"/>
            <w:shd w:val="clear" w:color="auto" w:fill="auto"/>
            <w:noWrap/>
            <w:vAlign w:val="bottom"/>
            <w:hideMark/>
          </w:tcPr>
          <w:p w14:paraId="5A0D4AB4"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2.4</w:t>
            </w:r>
          </w:p>
        </w:tc>
      </w:tr>
      <w:tr w:rsidR="00424987" w:rsidRPr="00107DCD" w14:paraId="4A918FE8" w14:textId="77777777" w:rsidTr="00424987">
        <w:trPr>
          <w:trHeight w:val="285"/>
        </w:trPr>
        <w:tc>
          <w:tcPr>
            <w:tcW w:w="3595" w:type="dxa"/>
            <w:shd w:val="clear" w:color="auto" w:fill="auto"/>
            <w:noWrap/>
            <w:hideMark/>
          </w:tcPr>
          <w:p w14:paraId="1DFFE26A"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phys_monocytes</w:t>
            </w:r>
            <w:proofErr w:type="spellEnd"/>
          </w:p>
        </w:tc>
        <w:tc>
          <w:tcPr>
            <w:tcW w:w="1776" w:type="dxa"/>
            <w:shd w:val="clear" w:color="auto" w:fill="auto"/>
            <w:noWrap/>
            <w:vAlign w:val="bottom"/>
            <w:hideMark/>
          </w:tcPr>
          <w:p w14:paraId="7C9DBE11"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2.3</w:t>
            </w:r>
          </w:p>
        </w:tc>
      </w:tr>
      <w:tr w:rsidR="00424987" w:rsidRPr="00107DCD" w14:paraId="270A5C96" w14:textId="77777777" w:rsidTr="00424987">
        <w:trPr>
          <w:trHeight w:val="285"/>
        </w:trPr>
        <w:tc>
          <w:tcPr>
            <w:tcW w:w="3595" w:type="dxa"/>
            <w:shd w:val="clear" w:color="auto" w:fill="auto"/>
            <w:noWrap/>
            <w:hideMark/>
          </w:tcPr>
          <w:p w14:paraId="4D4A8954"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phys_age</w:t>
            </w:r>
            <w:proofErr w:type="spellEnd"/>
          </w:p>
        </w:tc>
        <w:tc>
          <w:tcPr>
            <w:tcW w:w="1776" w:type="dxa"/>
            <w:shd w:val="clear" w:color="auto" w:fill="auto"/>
            <w:noWrap/>
            <w:vAlign w:val="bottom"/>
            <w:hideMark/>
          </w:tcPr>
          <w:p w14:paraId="3F833162"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2.2</w:t>
            </w:r>
          </w:p>
        </w:tc>
      </w:tr>
      <w:tr w:rsidR="00424987" w:rsidRPr="00107DCD" w14:paraId="467DE46F" w14:textId="77777777" w:rsidTr="00424987">
        <w:trPr>
          <w:trHeight w:val="285"/>
        </w:trPr>
        <w:tc>
          <w:tcPr>
            <w:tcW w:w="3595" w:type="dxa"/>
            <w:shd w:val="clear" w:color="auto" w:fill="auto"/>
            <w:noWrap/>
            <w:hideMark/>
          </w:tcPr>
          <w:p w14:paraId="538EB41E"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r w:rsidRPr="00107DCD">
              <w:rPr>
                <w:rFonts w:ascii="Times New Roman" w:eastAsia="Times New Roman" w:hAnsi="Times New Roman" w:cs="Times New Roman"/>
                <w:bCs/>
                <w:szCs w:val="24"/>
                <w:lang w:val="en-US"/>
              </w:rPr>
              <w:lastRenderedPageBreak/>
              <w:t>gen_rs9910408</w:t>
            </w:r>
          </w:p>
        </w:tc>
        <w:tc>
          <w:tcPr>
            <w:tcW w:w="1776" w:type="dxa"/>
            <w:shd w:val="clear" w:color="auto" w:fill="auto"/>
            <w:noWrap/>
            <w:vAlign w:val="bottom"/>
            <w:hideMark/>
          </w:tcPr>
          <w:p w14:paraId="24A0C3A2"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2</w:t>
            </w:r>
          </w:p>
        </w:tc>
      </w:tr>
      <w:tr w:rsidR="00424987" w:rsidRPr="00107DCD" w14:paraId="436BD5F2" w14:textId="77777777" w:rsidTr="00424987">
        <w:trPr>
          <w:trHeight w:val="285"/>
        </w:trPr>
        <w:tc>
          <w:tcPr>
            <w:tcW w:w="3595" w:type="dxa"/>
            <w:shd w:val="clear" w:color="auto" w:fill="auto"/>
            <w:noWrap/>
            <w:hideMark/>
          </w:tcPr>
          <w:p w14:paraId="66B15435"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phys_eosinophils_blood</w:t>
            </w:r>
            <w:proofErr w:type="spellEnd"/>
          </w:p>
        </w:tc>
        <w:tc>
          <w:tcPr>
            <w:tcW w:w="1776" w:type="dxa"/>
            <w:shd w:val="clear" w:color="auto" w:fill="auto"/>
            <w:noWrap/>
            <w:vAlign w:val="bottom"/>
            <w:hideMark/>
          </w:tcPr>
          <w:p w14:paraId="3BF865F2"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1.7</w:t>
            </w:r>
          </w:p>
        </w:tc>
      </w:tr>
      <w:tr w:rsidR="00424987" w:rsidRPr="00107DCD" w14:paraId="128020D7" w14:textId="77777777" w:rsidTr="00424987">
        <w:trPr>
          <w:trHeight w:val="285"/>
        </w:trPr>
        <w:tc>
          <w:tcPr>
            <w:tcW w:w="3595" w:type="dxa"/>
            <w:shd w:val="clear" w:color="auto" w:fill="auto"/>
            <w:noWrap/>
            <w:hideMark/>
          </w:tcPr>
          <w:p w14:paraId="1AFB875F" w14:textId="77777777" w:rsidR="00424987" w:rsidRPr="00107DCD" w:rsidRDefault="00424987" w:rsidP="000B582A">
            <w:pPr>
              <w:spacing w:line="480" w:lineRule="auto"/>
              <w:jc w:val="both"/>
              <w:rPr>
                <w:rFonts w:ascii="Times New Roman" w:eastAsia="Times New Roman" w:hAnsi="Times New Roman" w:cs="Times New Roman"/>
                <w:bCs/>
                <w:szCs w:val="24"/>
                <w:lang w:val="en-US"/>
              </w:rPr>
            </w:pPr>
            <w:proofErr w:type="spellStart"/>
            <w:r w:rsidRPr="00107DCD">
              <w:rPr>
                <w:rFonts w:ascii="Times New Roman" w:eastAsia="Times New Roman" w:hAnsi="Times New Roman" w:cs="Times New Roman"/>
                <w:bCs/>
                <w:szCs w:val="24"/>
                <w:lang w:val="en-US"/>
              </w:rPr>
              <w:t>phys_platelets</w:t>
            </w:r>
            <w:proofErr w:type="spellEnd"/>
          </w:p>
        </w:tc>
        <w:tc>
          <w:tcPr>
            <w:tcW w:w="1776" w:type="dxa"/>
            <w:shd w:val="clear" w:color="auto" w:fill="auto"/>
            <w:noWrap/>
            <w:vAlign w:val="bottom"/>
            <w:hideMark/>
          </w:tcPr>
          <w:p w14:paraId="3E8514EA" w14:textId="77777777" w:rsidR="00424987" w:rsidRPr="00107DCD" w:rsidRDefault="00424987" w:rsidP="000B582A">
            <w:pPr>
              <w:spacing w:line="480" w:lineRule="auto"/>
              <w:jc w:val="both"/>
              <w:rPr>
                <w:rFonts w:ascii="Times New Roman" w:eastAsia="Times New Roman" w:hAnsi="Times New Roman" w:cs="Times New Roman"/>
                <w:color w:val="000000"/>
                <w:szCs w:val="24"/>
                <w:lang w:val="en-US"/>
              </w:rPr>
            </w:pPr>
            <w:r w:rsidRPr="00107DCD">
              <w:rPr>
                <w:rFonts w:ascii="Times New Roman" w:eastAsia="Times New Roman" w:hAnsi="Times New Roman" w:cs="Times New Roman"/>
                <w:color w:val="000000"/>
                <w:szCs w:val="24"/>
                <w:lang w:val="en-US"/>
              </w:rPr>
              <w:t>1.4</w:t>
            </w:r>
          </w:p>
        </w:tc>
      </w:tr>
    </w:tbl>
    <w:p w14:paraId="228730B3" w14:textId="77777777" w:rsidR="00424987" w:rsidRDefault="00424987" w:rsidP="000B582A">
      <w:pPr>
        <w:spacing w:line="480" w:lineRule="auto"/>
        <w:jc w:val="both"/>
      </w:pPr>
    </w:p>
    <w:p w14:paraId="15F68ADC" w14:textId="77777777" w:rsidR="0084419E" w:rsidRPr="0084419E" w:rsidRDefault="0084419E" w:rsidP="000B582A">
      <w:pPr>
        <w:pStyle w:val="Naslov1"/>
        <w:spacing w:line="480" w:lineRule="auto"/>
        <w:jc w:val="both"/>
        <w:rPr>
          <w:rFonts w:cs="Times New Roman"/>
        </w:rPr>
      </w:pPr>
      <w:bookmarkStart w:id="19" w:name="_Toc64274772"/>
      <w:r>
        <w:rPr>
          <w:rFonts w:cs="Times New Roman"/>
        </w:rPr>
        <w:t>Supplement literature</w:t>
      </w:r>
      <w:bookmarkEnd w:id="19"/>
    </w:p>
    <w:p w14:paraId="12E055D0" w14:textId="5A878E3D" w:rsidR="00AB1F90" w:rsidRPr="00AB1F90" w:rsidRDefault="00646647" w:rsidP="000B582A">
      <w:pPr>
        <w:widowControl w:val="0"/>
        <w:autoSpaceDE w:val="0"/>
        <w:autoSpaceDN w:val="0"/>
        <w:adjustRightInd w:val="0"/>
        <w:spacing w:line="480" w:lineRule="auto"/>
        <w:jc w:val="both"/>
        <w:rPr>
          <w:rFonts w:ascii="Times New Roman" w:hAnsi="Times New Roman" w:cs="Times New Roman"/>
          <w:noProof/>
          <w:sz w:val="24"/>
          <w:szCs w:val="24"/>
        </w:rPr>
      </w:pPr>
      <w:r w:rsidRPr="00107DCD">
        <w:rPr>
          <w:rFonts w:ascii="Times New Roman" w:hAnsi="Times New Roman" w:cs="Times New Roman"/>
          <w:sz w:val="24"/>
          <w:szCs w:val="24"/>
        </w:rPr>
        <w:fldChar w:fldCharType="begin" w:fldLock="1"/>
      </w:r>
      <w:r w:rsidRPr="00107DCD">
        <w:rPr>
          <w:rFonts w:ascii="Times New Roman" w:hAnsi="Times New Roman" w:cs="Times New Roman"/>
          <w:sz w:val="24"/>
          <w:szCs w:val="24"/>
        </w:rPr>
        <w:instrText xml:space="preserve">ADDIN Mendeley Bibliography CSL_BIBLIOGRAPHY </w:instrText>
      </w:r>
      <w:r w:rsidRPr="00107DCD">
        <w:rPr>
          <w:rFonts w:ascii="Times New Roman" w:hAnsi="Times New Roman" w:cs="Times New Roman"/>
          <w:sz w:val="24"/>
          <w:szCs w:val="24"/>
        </w:rPr>
        <w:fldChar w:fldCharType="separate"/>
      </w:r>
      <w:r w:rsidR="00AB1F90" w:rsidRPr="00AB1F90">
        <w:rPr>
          <w:rFonts w:ascii="Times New Roman" w:hAnsi="Times New Roman" w:cs="Times New Roman"/>
          <w:noProof/>
          <w:sz w:val="24"/>
          <w:szCs w:val="24"/>
        </w:rPr>
        <w:t xml:space="preserve">1. Reddel HK, Taylor DR, Bateman ED, Boulet L-P, Boushey HA, Busse WW, et al. An Official American Thoracic Society/European Respiratory Society Statement: Asthma Control and Exacerbations. Am J Respir Crit Care Med. 2009;180:59–99. </w:t>
      </w:r>
    </w:p>
    <w:p w14:paraId="4348BF10"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2. Bousquet J, Heinzerling L, Bachert C, Papadopoulos NG, Bousquet PJ, Burney PG, et al. Practical guide to skin prick tests in allergy to aeroallergens. Allergy. 2012;67:18–24. </w:t>
      </w:r>
    </w:p>
    <w:p w14:paraId="58D6B2FC"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3. Dweik RA, Boggs PB, Erzurum SC, Irvin CG, Leigh MW, Lundberg JO, et al. An Official ATS Clinical Practice Guideline: Interpretation of Exhaled Nitric Oxide Levels (F e </w:t>
      </w:r>
      <w:r w:rsidRPr="00AB1F90">
        <w:rPr>
          <w:rFonts w:ascii="Times New Roman" w:hAnsi="Times New Roman" w:cs="Times New Roman"/>
          <w:noProof/>
          <w:sz w:val="24"/>
          <w:szCs w:val="24"/>
          <w:vertAlign w:val="subscript"/>
        </w:rPr>
        <w:t>NO</w:t>
      </w:r>
      <w:r w:rsidRPr="00AB1F90">
        <w:rPr>
          <w:rFonts w:ascii="Times New Roman" w:hAnsi="Times New Roman" w:cs="Times New Roman"/>
          <w:noProof/>
          <w:sz w:val="24"/>
          <w:szCs w:val="24"/>
        </w:rPr>
        <w:t xml:space="preserve"> ) for Clinical Applications. Am J Respir Crit Care Med. 2011;184:602–15. </w:t>
      </w:r>
    </w:p>
    <w:p w14:paraId="3F9D5626"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4. Navratil M, Plavec D, Dodig S, Jelcic Z, Nogalo B, Erceg D, et al. Markers of systemic and lung inflammation in childhood asthma. J Asthma. 2009;46:822–8. </w:t>
      </w:r>
    </w:p>
    <w:p w14:paraId="11FEB92A"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5. Streets CG, DeMeester TR. Ambulatory 24-hour esophageal pH monitoring: why, when, and what to do. J Clin Gastroenterol. 2003;37:14–22. </w:t>
      </w:r>
    </w:p>
    <w:p w14:paraId="74122D10"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6. Hrvatsko pedijatrijsko društvo. R, Sabol Z, Turkalj M, Nenadić N, Marušić I, Kučić D, et al. Paediatria Croatica : časopis Hrvatskoga pedijatrijskog društva i Hrvatskog društva za školsku i sveučilišnu medicinu za pedijatriju, adolescentnu medicinu i granične struke. Paediatr. Croat. Klinika za dječje bolesti; 2013. </w:t>
      </w:r>
    </w:p>
    <w:p w14:paraId="7857B07A"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7. McKinney W. Data Structures for Statistical Computing in Python. Proc 9th Python Sci Conf. </w:t>
      </w:r>
      <w:r w:rsidRPr="00AB1F90">
        <w:rPr>
          <w:rFonts w:ascii="Times New Roman" w:hAnsi="Times New Roman" w:cs="Times New Roman"/>
          <w:noProof/>
          <w:sz w:val="24"/>
          <w:szCs w:val="24"/>
        </w:rPr>
        <w:lastRenderedPageBreak/>
        <w:t xml:space="preserve">2010;1697900:51–6. </w:t>
      </w:r>
    </w:p>
    <w:p w14:paraId="571A274A"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8. Van Der Walt S, Colbert SC, Varoquaux G. The NumPy array: A structure for efficient numerical computation. Comput Sci Eng. 2011;13:22–30. </w:t>
      </w:r>
    </w:p>
    <w:p w14:paraId="21621C2C"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9. Pedregosa F, Varoquaux G, Gramfort A, Michel V, Thirion B, Grisel O, et al. Scikit-learn: Machine Learning in Python. J Mach Learn Res. 2011;12:2825–30. </w:t>
      </w:r>
    </w:p>
    <w:p w14:paraId="4BDF991A"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E57D10">
        <w:rPr>
          <w:rFonts w:ascii="Times New Roman" w:hAnsi="Times New Roman" w:cs="Times New Roman"/>
          <w:noProof/>
          <w:sz w:val="24"/>
          <w:szCs w:val="24"/>
          <w:lang w:val="de-AT"/>
        </w:rPr>
        <w:t xml:space="preserve">10. Waskom M, Botvinnik O, O’Kane D, Hobson P, Lukauskas S, Gemperline DC, et al. </w:t>
      </w:r>
      <w:r w:rsidRPr="00AB1F90">
        <w:rPr>
          <w:rFonts w:ascii="Times New Roman" w:hAnsi="Times New Roman" w:cs="Times New Roman"/>
          <w:noProof/>
          <w:sz w:val="24"/>
          <w:szCs w:val="24"/>
        </w:rPr>
        <w:t xml:space="preserve">Mwaskom/Seaborn: V0.8.1 (September 2017). doi.org. 2017; </w:t>
      </w:r>
    </w:p>
    <w:p w14:paraId="5C016178"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11. Hunter JD. Matplotlib: A 2D Graphics Environment. Comput Sci Eng. 2007;9:90–5. </w:t>
      </w:r>
    </w:p>
    <w:p w14:paraId="3C052F6E"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12. Sheehan WJ, Phipatanakul W. Indoor allergen exposure and asthma outcomes. Curr. Opin. Pediatr. Lippincott Williams and Wilkins; 2016. p. 772–7. </w:t>
      </w:r>
    </w:p>
    <w:p w14:paraId="2DF96BF3"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szCs w:val="24"/>
        </w:rPr>
      </w:pPr>
      <w:r w:rsidRPr="00AB1F90">
        <w:rPr>
          <w:rFonts w:ascii="Times New Roman" w:hAnsi="Times New Roman" w:cs="Times New Roman"/>
          <w:noProof/>
          <w:sz w:val="24"/>
          <w:szCs w:val="24"/>
        </w:rPr>
        <w:t xml:space="preserve">13. Li J, Wang H, Chen Y, Zheng J, Wong GW, Zhong N. House dust mite sensitization is the main risk factor for the increase in prevalence of wheeze in 13-14 year old schoolchildren in Guangzhou city, China. Clin Exp Allergy. 2013;43:n/a-n/a. </w:t>
      </w:r>
    </w:p>
    <w:p w14:paraId="54AF0CB6" w14:textId="77777777" w:rsidR="00AB1F90" w:rsidRPr="00AB1F90" w:rsidRDefault="00AB1F90" w:rsidP="000B582A">
      <w:pPr>
        <w:widowControl w:val="0"/>
        <w:autoSpaceDE w:val="0"/>
        <w:autoSpaceDN w:val="0"/>
        <w:adjustRightInd w:val="0"/>
        <w:spacing w:line="480" w:lineRule="auto"/>
        <w:rPr>
          <w:rFonts w:ascii="Times New Roman" w:hAnsi="Times New Roman" w:cs="Times New Roman"/>
          <w:noProof/>
          <w:sz w:val="24"/>
        </w:rPr>
      </w:pPr>
      <w:r w:rsidRPr="00AB1F90">
        <w:rPr>
          <w:rFonts w:ascii="Times New Roman" w:hAnsi="Times New Roman" w:cs="Times New Roman"/>
          <w:noProof/>
          <w:sz w:val="24"/>
          <w:szCs w:val="24"/>
        </w:rPr>
        <w:t xml:space="preserve">14. Lombardi C, Savi E, Ridolo E, Passalacqua G, Canonica GW. Is allergic sensitization relevant in severe asthma? Which allergens may be culprit? World Allergy Organ. J. BioMed Central Ltd.; 2017. </w:t>
      </w:r>
    </w:p>
    <w:p w14:paraId="116ADB20" w14:textId="52B855A2" w:rsidR="00662189" w:rsidRPr="00107DCD" w:rsidRDefault="00646647" w:rsidP="000B582A">
      <w:pPr>
        <w:widowControl w:val="0"/>
        <w:autoSpaceDE w:val="0"/>
        <w:autoSpaceDN w:val="0"/>
        <w:adjustRightInd w:val="0"/>
        <w:spacing w:line="480" w:lineRule="auto"/>
        <w:ind w:left="640" w:hanging="640"/>
        <w:jc w:val="both"/>
        <w:rPr>
          <w:rFonts w:ascii="Times New Roman" w:hAnsi="Times New Roman" w:cs="Times New Roman"/>
          <w:sz w:val="24"/>
          <w:szCs w:val="24"/>
        </w:rPr>
      </w:pPr>
      <w:r w:rsidRPr="00107DCD">
        <w:rPr>
          <w:rFonts w:ascii="Times New Roman" w:hAnsi="Times New Roman" w:cs="Times New Roman"/>
          <w:sz w:val="24"/>
          <w:szCs w:val="24"/>
        </w:rPr>
        <w:fldChar w:fldCharType="end"/>
      </w:r>
    </w:p>
    <w:sectPr w:rsidR="00662189" w:rsidRPr="00107DC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7DF"/>
    <w:multiLevelType w:val="multilevel"/>
    <w:tmpl w:val="BF025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0E222A"/>
    <w:multiLevelType w:val="hybridMultilevel"/>
    <w:tmpl w:val="B7804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06A84"/>
    <w:multiLevelType w:val="hybridMultilevel"/>
    <w:tmpl w:val="CC0CA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45839"/>
    <w:multiLevelType w:val="hybridMultilevel"/>
    <w:tmpl w:val="DFFED3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53106B"/>
    <w:multiLevelType w:val="hybridMultilevel"/>
    <w:tmpl w:val="2CA65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C6B58"/>
    <w:multiLevelType w:val="hybridMultilevel"/>
    <w:tmpl w:val="B560C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89"/>
    <w:rsid w:val="00073B32"/>
    <w:rsid w:val="000B283D"/>
    <w:rsid w:val="000B582A"/>
    <w:rsid w:val="000B758D"/>
    <w:rsid w:val="00107DCD"/>
    <w:rsid w:val="00116A66"/>
    <w:rsid w:val="00153BFD"/>
    <w:rsid w:val="001A2516"/>
    <w:rsid w:val="001C1810"/>
    <w:rsid w:val="00245A35"/>
    <w:rsid w:val="002524C8"/>
    <w:rsid w:val="002B5C57"/>
    <w:rsid w:val="002F3BA6"/>
    <w:rsid w:val="003252EE"/>
    <w:rsid w:val="003314E1"/>
    <w:rsid w:val="00424987"/>
    <w:rsid w:val="00455017"/>
    <w:rsid w:val="004555F2"/>
    <w:rsid w:val="004801DC"/>
    <w:rsid w:val="004C000C"/>
    <w:rsid w:val="00540D2A"/>
    <w:rsid w:val="00545FCA"/>
    <w:rsid w:val="00646647"/>
    <w:rsid w:val="00662189"/>
    <w:rsid w:val="00747C35"/>
    <w:rsid w:val="007E21B3"/>
    <w:rsid w:val="008257DD"/>
    <w:rsid w:val="0084419E"/>
    <w:rsid w:val="00940C42"/>
    <w:rsid w:val="00A5190C"/>
    <w:rsid w:val="00AA5A47"/>
    <w:rsid w:val="00AB1F90"/>
    <w:rsid w:val="00B10FCA"/>
    <w:rsid w:val="00B24C9A"/>
    <w:rsid w:val="00B92C3E"/>
    <w:rsid w:val="00BF0FE9"/>
    <w:rsid w:val="00D618F9"/>
    <w:rsid w:val="00D830AF"/>
    <w:rsid w:val="00DB6F57"/>
    <w:rsid w:val="00DC5CC8"/>
    <w:rsid w:val="00E57D10"/>
    <w:rsid w:val="00F4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2D3D"/>
  <w15:docId w15:val="{49F73B4F-D6D5-4256-AC39-A2C8E27A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rsid w:val="00DB6F57"/>
    <w:pPr>
      <w:keepNext/>
      <w:keepLines/>
      <w:spacing w:before="400" w:after="120"/>
      <w:outlineLvl w:val="0"/>
    </w:pPr>
    <w:rPr>
      <w:rFonts w:ascii="Times New Roman" w:hAnsi="Times New Roman"/>
      <w:sz w:val="40"/>
      <w:szCs w:val="40"/>
    </w:rPr>
  </w:style>
  <w:style w:type="paragraph" w:styleId="Naslov2">
    <w:name w:val="heading 2"/>
    <w:basedOn w:val="Normal"/>
    <w:next w:val="Normal"/>
    <w:uiPriority w:val="9"/>
    <w:unhideWhenUsed/>
    <w:qFormat/>
    <w:rsid w:val="001C1810"/>
    <w:pPr>
      <w:keepNext/>
      <w:keepLines/>
      <w:spacing w:before="360" w:after="120"/>
      <w:outlineLvl w:val="1"/>
    </w:pPr>
    <w:rPr>
      <w:rFonts w:ascii="Times New Roman" w:hAnsi="Times New Roman"/>
      <w:sz w:val="32"/>
      <w:szCs w:val="32"/>
    </w:rPr>
  </w:style>
  <w:style w:type="paragraph" w:styleId="Naslov3">
    <w:name w:val="heading 3"/>
    <w:basedOn w:val="Normal"/>
    <w:next w:val="Normal"/>
    <w:uiPriority w:val="9"/>
    <w:unhideWhenUsed/>
    <w:qFormat/>
    <w:rsid w:val="00DB6F57"/>
    <w:pPr>
      <w:keepNext/>
      <w:keepLines/>
      <w:spacing w:before="320" w:after="80"/>
      <w:outlineLvl w:val="2"/>
    </w:pPr>
    <w:rPr>
      <w:rFonts w:ascii="Times New Roman" w:hAnsi="Times New Roman"/>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table" w:customStyle="1" w:styleId="a">
    <w:basedOn w:val="Obinatablica"/>
    <w:tblPr>
      <w:tblStyleRowBandSize w:val="1"/>
      <w:tblStyleColBandSize w:val="1"/>
      <w:tblCellMar>
        <w:top w:w="100" w:type="dxa"/>
        <w:left w:w="100" w:type="dxa"/>
        <w:bottom w:w="100" w:type="dxa"/>
        <w:right w:w="100" w:type="dxa"/>
      </w:tblCellMar>
    </w:tblPr>
  </w:style>
  <w:style w:type="table" w:customStyle="1" w:styleId="a0">
    <w:basedOn w:val="Obinatablica"/>
    <w:tblPr>
      <w:tblStyleRowBandSize w:val="1"/>
      <w:tblStyleColBandSize w:val="1"/>
      <w:tblCellMar>
        <w:top w:w="100" w:type="dxa"/>
        <w:left w:w="100" w:type="dxa"/>
        <w:bottom w:w="100" w:type="dxa"/>
        <w:right w:w="100" w:type="dxa"/>
      </w:tblCellMar>
    </w:tblPr>
  </w:style>
  <w:style w:type="table" w:customStyle="1" w:styleId="a1">
    <w:basedOn w:val="Obinatablica"/>
    <w:tblPr>
      <w:tblStyleRowBandSize w:val="1"/>
      <w:tblStyleColBandSize w:val="1"/>
      <w:tblCellMar>
        <w:top w:w="100" w:type="dxa"/>
        <w:left w:w="100" w:type="dxa"/>
        <w:bottom w:w="100" w:type="dxa"/>
        <w:right w:w="100" w:type="dxa"/>
      </w:tblCellMar>
    </w:tblPr>
  </w:style>
  <w:style w:type="table" w:customStyle="1" w:styleId="a2">
    <w:basedOn w:val="Obinatablica"/>
    <w:tblPr>
      <w:tblStyleRowBandSize w:val="1"/>
      <w:tblStyleColBandSize w:val="1"/>
      <w:tblCellMar>
        <w:top w:w="100" w:type="dxa"/>
        <w:left w:w="100" w:type="dxa"/>
        <w:bottom w:w="100" w:type="dxa"/>
        <w:right w:w="100" w:type="dxa"/>
      </w:tblCellMar>
    </w:tbl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character" w:styleId="Referencakomentara">
    <w:name w:val="annotation reference"/>
    <w:basedOn w:val="Zadanifontodlomka"/>
    <w:uiPriority w:val="99"/>
    <w:semiHidden/>
    <w:unhideWhenUsed/>
    <w:rPr>
      <w:sz w:val="16"/>
      <w:szCs w:val="16"/>
    </w:rPr>
  </w:style>
  <w:style w:type="paragraph" w:styleId="Tekstbalonia">
    <w:name w:val="Balloon Text"/>
    <w:basedOn w:val="Normal"/>
    <w:link w:val="TekstbaloniaChar"/>
    <w:uiPriority w:val="99"/>
    <w:semiHidden/>
    <w:unhideWhenUsed/>
    <w:rsid w:val="008257DD"/>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257DD"/>
    <w:rPr>
      <w:rFonts w:ascii="Segoe UI" w:hAnsi="Segoe UI" w:cs="Segoe UI"/>
      <w:sz w:val="18"/>
      <w:szCs w:val="18"/>
    </w:rPr>
  </w:style>
  <w:style w:type="paragraph" w:styleId="TOCNaslov">
    <w:name w:val="TOC Heading"/>
    <w:basedOn w:val="Naslov1"/>
    <w:next w:val="Normal"/>
    <w:uiPriority w:val="39"/>
    <w:unhideWhenUsed/>
    <w:qFormat/>
    <w:rsid w:val="008257DD"/>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Sadraj1">
    <w:name w:val="toc 1"/>
    <w:basedOn w:val="Normal"/>
    <w:next w:val="Normal"/>
    <w:autoRedefine/>
    <w:uiPriority w:val="39"/>
    <w:unhideWhenUsed/>
    <w:rsid w:val="008257DD"/>
    <w:pPr>
      <w:spacing w:after="100"/>
    </w:pPr>
  </w:style>
  <w:style w:type="paragraph" w:styleId="Sadraj2">
    <w:name w:val="toc 2"/>
    <w:basedOn w:val="Normal"/>
    <w:next w:val="Normal"/>
    <w:autoRedefine/>
    <w:uiPriority w:val="39"/>
    <w:unhideWhenUsed/>
    <w:rsid w:val="008257DD"/>
    <w:pPr>
      <w:spacing w:after="100"/>
      <w:ind w:left="220"/>
    </w:pPr>
  </w:style>
  <w:style w:type="paragraph" w:styleId="Sadraj3">
    <w:name w:val="toc 3"/>
    <w:basedOn w:val="Normal"/>
    <w:next w:val="Normal"/>
    <w:autoRedefine/>
    <w:uiPriority w:val="39"/>
    <w:unhideWhenUsed/>
    <w:rsid w:val="008257DD"/>
    <w:pPr>
      <w:spacing w:after="100"/>
      <w:ind w:left="440"/>
    </w:pPr>
  </w:style>
  <w:style w:type="character" w:styleId="Hiperveza">
    <w:name w:val="Hyperlink"/>
    <w:basedOn w:val="Zadanifontodlomka"/>
    <w:uiPriority w:val="99"/>
    <w:unhideWhenUsed/>
    <w:rsid w:val="00D830AF"/>
    <w:rPr>
      <w:color w:val="0000FF" w:themeColor="hyperlink"/>
      <w:u w:val="single"/>
    </w:rPr>
  </w:style>
  <w:style w:type="table" w:styleId="Reetkatablice">
    <w:name w:val="Table Grid"/>
    <w:basedOn w:val="Obinatablica"/>
    <w:uiPriority w:val="59"/>
    <w:rsid w:val="00F46B05"/>
    <w:pPr>
      <w:spacing w:line="240" w:lineRule="auto"/>
    </w:pPr>
    <w:rPr>
      <w:rFonts w:asciiTheme="minorHAnsi" w:eastAsiaTheme="minorHAnsi" w:hAnsiTheme="minorHAnsi" w:cstheme="minorBidi"/>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050186">
      <w:bodyDiv w:val="1"/>
      <w:marLeft w:val="0"/>
      <w:marRight w:val="0"/>
      <w:marTop w:val="0"/>
      <w:marBottom w:val="0"/>
      <w:divBdr>
        <w:top w:val="none" w:sz="0" w:space="0" w:color="auto"/>
        <w:left w:val="none" w:sz="0" w:space="0" w:color="auto"/>
        <w:bottom w:val="none" w:sz="0" w:space="0" w:color="auto"/>
        <w:right w:val="none" w:sz="0" w:space="0" w:color="auto"/>
      </w:divBdr>
    </w:div>
    <w:div w:id="1530870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yth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project.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C6060-F4E9-44CC-8821-14072552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11311</Words>
  <Characters>64478</Characters>
  <Application>Microsoft Office Word</Application>
  <DocSecurity>0</DocSecurity>
  <Lines>537</Lines>
  <Paragraphs>151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 Lovric</dc:creator>
  <cp:lastModifiedBy>Ivana Banic</cp:lastModifiedBy>
  <cp:revision>2</cp:revision>
  <cp:lastPrinted>2019-04-10T11:48:00Z</cp:lastPrinted>
  <dcterms:created xsi:type="dcterms:W3CDTF">2021-06-18T07:52:00Z</dcterms:created>
  <dcterms:modified xsi:type="dcterms:W3CDTF">2021-06-18T07:52:00Z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http://www.zotero.org/styles/asthma-research-and-practice</vt:lpwstr>
  </property>
  <property fmtid="{D5CDD505-2E9C-101B-9397-08002B2CF9AE}" pid="5" name="Mendeley Recent Style Name 1_1">
    <vt:lpwstr>Asthma Research and Practice</vt:lpwstr>
  </property>
  <property fmtid="{D5CDD505-2E9C-101B-9397-08002B2CF9AE}" pid="6" name="Mendeley Recent Style Id 2_1">
    <vt:lpwstr>http://www.zotero.org/styles/bmc-medical-informatics-and-decision-making</vt:lpwstr>
  </property>
  <property fmtid="{D5CDD505-2E9C-101B-9397-08002B2CF9AE}" pid="7" name="Mendeley Recent Style Name 2_1">
    <vt:lpwstr>BMC Medical Informatics and Decision Making</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http://www.zotero.org/styles/european-respiratory-journal</vt:lpwstr>
  </property>
  <property fmtid="{D5CDD505-2E9C-101B-9397-08002B2CF9AE}" pid="13" name="Mendeley Recent Style Name 5_1">
    <vt:lpwstr>European Respiratory Journal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http://www.zotero.org/styles/journal-of-translational-medicine</vt:lpwstr>
  </property>
  <property fmtid="{D5CDD505-2E9C-101B-9397-08002B2CF9AE}" pid="17" name="Mendeley Recent Style Name 7_1">
    <vt:lpwstr>Journal of Translational Medicine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f4a369fe-1cd8-3f60-8c53-e9e02850970e</vt:lpwstr>
  </property>
  <property fmtid="{D5CDD505-2E9C-101B-9397-08002B2CF9AE}" pid="24" name="Mendeley Citation Style_1">
    <vt:lpwstr>http://www.zotero.org/styles/asthma-research-and-practice</vt:lpwstr>
  </property>
</Properties>
</file>