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DFFBF" w14:textId="26EBEBE1" w:rsidR="00C312B0" w:rsidRDefault="00C312B0" w:rsidP="00C312B0">
      <w:pPr>
        <w:spacing w:line="240" w:lineRule="auto"/>
        <w:rPr>
          <w:rFonts w:cs="Arial"/>
          <w:b/>
          <w:bCs/>
          <w:sz w:val="28"/>
          <w:szCs w:val="28"/>
          <w:lang w:val="en-US"/>
        </w:rPr>
      </w:pPr>
      <w:r w:rsidRPr="003E215B">
        <w:rPr>
          <w:rFonts w:cs="Arial"/>
          <w:b/>
          <w:bCs/>
          <w:sz w:val="28"/>
          <w:szCs w:val="28"/>
          <w:lang w:val="en-US"/>
        </w:rPr>
        <w:t>Supplementary File</w:t>
      </w:r>
    </w:p>
    <w:p w14:paraId="0FA943CB" w14:textId="77777777" w:rsidR="00C312B0" w:rsidRDefault="00C312B0" w:rsidP="00C312B0">
      <w:pPr>
        <w:tabs>
          <w:tab w:val="left" w:pos="142"/>
        </w:tabs>
        <w:spacing w:after="0"/>
        <w:ind w:left="142"/>
        <w:rPr>
          <w:rFonts w:cs="Arial"/>
          <w:b/>
          <w:sz w:val="32"/>
          <w:szCs w:val="32"/>
          <w:lang w:val="en-US"/>
        </w:rPr>
      </w:pPr>
    </w:p>
    <w:p w14:paraId="6B9A6A88" w14:textId="48B1269D" w:rsidR="00C312B0" w:rsidRPr="003F27F7" w:rsidRDefault="00C312B0" w:rsidP="00C312B0">
      <w:pPr>
        <w:spacing w:after="0"/>
        <w:rPr>
          <w:rFonts w:cs="Arial"/>
          <w:b/>
          <w:sz w:val="32"/>
          <w:szCs w:val="32"/>
          <w:lang w:val="en-US"/>
        </w:rPr>
      </w:pPr>
      <w:r w:rsidRPr="003F27F7">
        <w:rPr>
          <w:rFonts w:cs="Arial"/>
          <w:b/>
          <w:sz w:val="32"/>
          <w:szCs w:val="32"/>
          <w:lang w:val="en-US"/>
        </w:rPr>
        <w:t>Over-prescription of short-acting β</w:t>
      </w:r>
      <w:r w:rsidRPr="003F27F7">
        <w:rPr>
          <w:rFonts w:cs="Arial"/>
          <w:b/>
          <w:sz w:val="32"/>
          <w:szCs w:val="32"/>
          <w:vertAlign w:val="subscript"/>
          <w:lang w:val="en-US"/>
        </w:rPr>
        <w:t>2</w:t>
      </w:r>
      <w:r w:rsidRPr="003F27F7">
        <w:rPr>
          <w:rFonts w:cs="Arial"/>
          <w:b/>
          <w:sz w:val="32"/>
          <w:szCs w:val="32"/>
          <w:lang w:val="en-US"/>
        </w:rPr>
        <w:t>-agonists and asthma management in the Gulf region</w:t>
      </w:r>
      <w:r>
        <w:rPr>
          <w:rFonts w:cs="Arial"/>
          <w:b/>
          <w:sz w:val="32"/>
          <w:szCs w:val="32"/>
          <w:lang w:val="en-US"/>
        </w:rPr>
        <w:t xml:space="preserve">: </w:t>
      </w:r>
      <w:r w:rsidRPr="00DF508A">
        <w:rPr>
          <w:rFonts w:cs="Arial"/>
          <w:b/>
          <w:sz w:val="32"/>
          <w:szCs w:val="32"/>
          <w:lang w:val="en-US"/>
        </w:rPr>
        <w:t>A multicountry observational study</w:t>
      </w:r>
    </w:p>
    <w:p w14:paraId="1DF5CE8E" w14:textId="61EDDEF7" w:rsidR="00C312B0" w:rsidRPr="003E215B" w:rsidRDefault="00C312B0" w:rsidP="00C312B0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r w:rsidRPr="003F27F7">
        <w:rPr>
          <w:rFonts w:cs="Arial"/>
          <w:bCs/>
          <w:szCs w:val="20"/>
          <w:lang w:val="en-US"/>
        </w:rPr>
        <w:t>Ashraf Alzaabi,</w:t>
      </w:r>
      <w:r w:rsidRPr="003F27F7">
        <w:rPr>
          <w:rFonts w:cs="Arial"/>
          <w:bCs/>
          <w:szCs w:val="20"/>
          <w:vertAlign w:val="superscript"/>
          <w:lang w:val="en-US"/>
        </w:rPr>
        <w:t>1</w:t>
      </w:r>
      <w:r w:rsidRPr="003F27F7">
        <w:rPr>
          <w:rFonts w:cs="Arial"/>
          <w:bCs/>
          <w:szCs w:val="20"/>
          <w:lang w:val="en-US"/>
        </w:rPr>
        <w:t xml:space="preserve"> Nasser Al Busaidi,</w:t>
      </w:r>
      <w:r w:rsidRPr="003F27F7">
        <w:rPr>
          <w:rFonts w:cs="Arial"/>
          <w:bCs/>
          <w:szCs w:val="20"/>
          <w:vertAlign w:val="superscript"/>
          <w:lang w:val="en-US"/>
        </w:rPr>
        <w:t>2</w:t>
      </w:r>
      <w:r w:rsidRPr="003F27F7">
        <w:rPr>
          <w:rFonts w:cs="Arial"/>
          <w:bCs/>
          <w:szCs w:val="20"/>
          <w:lang w:val="en-US"/>
        </w:rPr>
        <w:t xml:space="preserve"> Rohit Pradhan,</w:t>
      </w:r>
      <w:r w:rsidRPr="003F27F7">
        <w:rPr>
          <w:rFonts w:cs="Arial"/>
          <w:bCs/>
          <w:szCs w:val="20"/>
          <w:vertAlign w:val="superscript"/>
          <w:lang w:val="en-US"/>
        </w:rPr>
        <w:t>1</w:t>
      </w:r>
      <w:r w:rsidRPr="003F27F7">
        <w:rPr>
          <w:rFonts w:cs="Arial"/>
          <w:bCs/>
          <w:szCs w:val="20"/>
          <w:lang w:val="en-US"/>
        </w:rPr>
        <w:t xml:space="preserve"> Fathelrahman Shandy,</w:t>
      </w:r>
      <w:r w:rsidRPr="003F27F7">
        <w:rPr>
          <w:rFonts w:cs="Arial"/>
          <w:bCs/>
          <w:szCs w:val="20"/>
          <w:vertAlign w:val="superscript"/>
          <w:lang w:val="en-US"/>
        </w:rPr>
        <w:t>3</w:t>
      </w:r>
      <w:r w:rsidRPr="003F27F7">
        <w:rPr>
          <w:rFonts w:cs="Arial"/>
          <w:bCs/>
          <w:szCs w:val="20"/>
          <w:lang w:val="en-US"/>
        </w:rPr>
        <w:t xml:space="preserve"> Nas</w:t>
      </w:r>
      <w:r w:rsidR="00951BED">
        <w:rPr>
          <w:rFonts w:cs="Arial"/>
          <w:bCs/>
          <w:szCs w:val="20"/>
          <w:lang w:val="en-US"/>
        </w:rPr>
        <w:t>e</w:t>
      </w:r>
      <w:r w:rsidRPr="003F27F7">
        <w:rPr>
          <w:rFonts w:cs="Arial"/>
          <w:bCs/>
          <w:szCs w:val="20"/>
          <w:lang w:val="en-US"/>
        </w:rPr>
        <w:t>em Ibrahim,</w:t>
      </w:r>
      <w:r w:rsidRPr="003F27F7">
        <w:rPr>
          <w:rFonts w:cs="Arial"/>
          <w:bCs/>
          <w:szCs w:val="20"/>
          <w:vertAlign w:val="superscript"/>
          <w:lang w:val="en-US"/>
        </w:rPr>
        <w:t>4</w:t>
      </w:r>
      <w:r w:rsidRPr="003F27F7">
        <w:rPr>
          <w:rFonts w:cs="Arial"/>
          <w:bCs/>
          <w:szCs w:val="20"/>
          <w:lang w:val="en-US"/>
        </w:rPr>
        <w:t xml:space="preserve"> Moulham Ashtar,</w:t>
      </w:r>
      <w:r w:rsidRPr="003F27F7">
        <w:rPr>
          <w:rFonts w:cs="Arial"/>
          <w:bCs/>
          <w:szCs w:val="20"/>
          <w:vertAlign w:val="superscript"/>
          <w:lang w:val="en-US"/>
        </w:rPr>
        <w:t>5</w:t>
      </w:r>
      <w:r w:rsidRPr="003F27F7">
        <w:rPr>
          <w:rFonts w:cs="Arial"/>
          <w:bCs/>
          <w:szCs w:val="20"/>
          <w:lang w:val="en-US"/>
        </w:rPr>
        <w:t xml:space="preserve"> Khaled Khudadah,</w:t>
      </w:r>
      <w:r w:rsidRPr="003F27F7">
        <w:rPr>
          <w:rFonts w:cs="Arial"/>
          <w:bCs/>
          <w:szCs w:val="20"/>
          <w:vertAlign w:val="superscript"/>
          <w:lang w:val="en-US"/>
        </w:rPr>
        <w:t>6</w:t>
      </w:r>
      <w:r w:rsidRPr="003F27F7">
        <w:rPr>
          <w:rFonts w:cs="Arial"/>
          <w:bCs/>
          <w:szCs w:val="20"/>
          <w:lang w:val="en-US"/>
        </w:rPr>
        <w:t xml:space="preserve"> Khaled Hegazy,</w:t>
      </w:r>
      <w:r w:rsidRPr="003F27F7">
        <w:rPr>
          <w:rFonts w:cs="Arial"/>
          <w:bCs/>
          <w:szCs w:val="20"/>
          <w:vertAlign w:val="superscript"/>
          <w:lang w:val="en-US"/>
        </w:rPr>
        <w:t>7</w:t>
      </w:r>
      <w:r w:rsidRPr="003F27F7">
        <w:rPr>
          <w:rFonts w:cs="Arial"/>
          <w:bCs/>
          <w:szCs w:val="20"/>
          <w:lang w:val="en-US"/>
        </w:rPr>
        <w:t xml:space="preserve"> Mohamed Samir,</w:t>
      </w:r>
      <w:r w:rsidRPr="003F27F7">
        <w:rPr>
          <w:rFonts w:cs="Arial"/>
          <w:bCs/>
          <w:szCs w:val="20"/>
          <w:vertAlign w:val="superscript"/>
          <w:lang w:val="en-US"/>
        </w:rPr>
        <w:t>8</w:t>
      </w:r>
      <w:r w:rsidRPr="003F27F7">
        <w:rPr>
          <w:rFonts w:cs="Arial"/>
          <w:bCs/>
          <w:szCs w:val="20"/>
          <w:lang w:val="en-US"/>
        </w:rPr>
        <w:t xml:space="preserve"> Mohamed Negm,</w:t>
      </w:r>
      <w:r w:rsidRPr="003F27F7">
        <w:rPr>
          <w:rFonts w:cs="Arial"/>
          <w:bCs/>
          <w:szCs w:val="20"/>
          <w:vertAlign w:val="superscript"/>
          <w:lang w:val="en-US"/>
        </w:rPr>
        <w:t>9</w:t>
      </w:r>
      <w:r w:rsidRPr="003F27F7">
        <w:rPr>
          <w:rFonts w:cs="Arial"/>
          <w:bCs/>
          <w:szCs w:val="20"/>
          <w:lang w:val="en-US"/>
        </w:rPr>
        <w:t xml:space="preserve"> </w:t>
      </w:r>
      <w:r w:rsidRPr="003F27F7">
        <w:rPr>
          <w:lang w:val="en-US"/>
        </w:rPr>
        <w:t>Hisham Farouk</w:t>
      </w:r>
      <w:r w:rsidRPr="003F27F7">
        <w:rPr>
          <w:rFonts w:cs="Arial"/>
          <w:bCs/>
          <w:szCs w:val="20"/>
          <w:lang w:val="en-US"/>
        </w:rPr>
        <w:t>,</w:t>
      </w:r>
      <w:r w:rsidRPr="003F27F7">
        <w:rPr>
          <w:rFonts w:cs="Arial"/>
          <w:bCs/>
          <w:szCs w:val="20"/>
          <w:vertAlign w:val="superscript"/>
          <w:lang w:val="en-US"/>
        </w:rPr>
        <w:t>10</w:t>
      </w:r>
      <w:r w:rsidRPr="003F27F7">
        <w:rPr>
          <w:rFonts w:cs="Arial"/>
          <w:bCs/>
          <w:szCs w:val="20"/>
          <w:lang w:val="en-US"/>
        </w:rPr>
        <w:t xml:space="preserve"> </w:t>
      </w:r>
      <w:r w:rsidRPr="003F27F7">
        <w:rPr>
          <w:lang w:val="en-US"/>
        </w:rPr>
        <w:t>Arwa Al Khalidi</w:t>
      </w:r>
      <w:r w:rsidRPr="003F27F7">
        <w:rPr>
          <w:rFonts w:cs="Arial"/>
          <w:bCs/>
          <w:szCs w:val="20"/>
          <w:lang w:val="en-US"/>
        </w:rPr>
        <w:t>,</w:t>
      </w:r>
      <w:r w:rsidRPr="003F27F7">
        <w:rPr>
          <w:rFonts w:cs="Arial"/>
          <w:bCs/>
          <w:szCs w:val="20"/>
          <w:vertAlign w:val="superscript"/>
          <w:lang w:val="en-US"/>
        </w:rPr>
        <w:t>10</w:t>
      </w:r>
      <w:r w:rsidRPr="003F27F7">
        <w:rPr>
          <w:lang w:val="en-US"/>
        </w:rPr>
        <w:t xml:space="preserve"> Maarten Beekman</w:t>
      </w:r>
      <w:r w:rsidRPr="003F27F7">
        <w:rPr>
          <w:vertAlign w:val="superscript"/>
          <w:lang w:val="en-US"/>
        </w:rPr>
        <w:t>11</w:t>
      </w:r>
    </w:p>
    <w:p w14:paraId="7A01EDD5" w14:textId="77777777" w:rsidR="00C312B0" w:rsidRDefault="00C312B0" w:rsidP="00C312B0">
      <w:pPr>
        <w:rPr>
          <w:rFonts w:cs="Arial"/>
          <w:szCs w:val="20"/>
          <w:lang w:val="en-US"/>
        </w:rPr>
      </w:pPr>
      <w:r>
        <w:rPr>
          <w:rFonts w:cs="Arial"/>
          <w:szCs w:val="20"/>
          <w:lang w:val="en-US"/>
        </w:rPr>
        <w:br w:type="page"/>
      </w:r>
    </w:p>
    <w:p w14:paraId="370DF2D3" w14:textId="77777777" w:rsidR="00C312B0" w:rsidRDefault="00C312B0" w:rsidP="00C312B0">
      <w:pPr>
        <w:spacing w:line="240" w:lineRule="auto"/>
        <w:rPr>
          <w:rFonts w:cs="Arial"/>
          <w:szCs w:val="20"/>
          <w:lang w:val="en-US"/>
        </w:rPr>
      </w:pPr>
      <w:r w:rsidRPr="003E215B">
        <w:rPr>
          <w:rFonts w:cs="Arial"/>
          <w:b/>
          <w:bCs/>
          <w:szCs w:val="20"/>
          <w:lang w:val="en-US"/>
        </w:rPr>
        <w:lastRenderedPageBreak/>
        <w:t xml:space="preserve">Supplementary Table 1. </w:t>
      </w:r>
      <w:r>
        <w:rPr>
          <w:rFonts w:cs="Arial"/>
          <w:szCs w:val="20"/>
          <w:lang w:val="en-US"/>
        </w:rPr>
        <w:t>Study sites in SABINA Gulf study</w:t>
      </w:r>
    </w:p>
    <w:tbl>
      <w:tblPr>
        <w:tblStyle w:val="TableGridLight1"/>
        <w:tblW w:w="0" w:type="auto"/>
        <w:tblCellMar>
          <w:left w:w="57" w:type="dxa"/>
          <w:right w:w="57" w:type="dxa"/>
        </w:tblCellMar>
        <w:tblLook w:val="06A0" w:firstRow="1" w:lastRow="0" w:firstColumn="1" w:lastColumn="0" w:noHBand="1" w:noVBand="1"/>
      </w:tblPr>
      <w:tblGrid>
        <w:gridCol w:w="1994"/>
        <w:gridCol w:w="2384"/>
        <w:gridCol w:w="1934"/>
        <w:gridCol w:w="2310"/>
      </w:tblGrid>
      <w:tr w:rsidR="00C312B0" w:rsidRPr="003E215B" w14:paraId="198F5CDC" w14:textId="77777777" w:rsidTr="00966EFE">
        <w:tc>
          <w:tcPr>
            <w:tcW w:w="211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DEEAF6" w:themeFill="accent5" w:themeFillTint="33"/>
            <w:hideMark/>
          </w:tcPr>
          <w:p w14:paraId="2D29589A" w14:textId="77777777" w:rsidR="00C312B0" w:rsidRPr="008B316D" w:rsidRDefault="00C312B0" w:rsidP="00966EFE">
            <w:pPr>
              <w:spacing w:line="276" w:lineRule="auto"/>
              <w:jc w:val="center"/>
              <w:rPr>
                <w:rFonts w:eastAsia="Times New Roman" w:cs="Arial"/>
                <w:color w:val="323130"/>
                <w:szCs w:val="20"/>
              </w:rPr>
            </w:pPr>
            <w:r w:rsidRPr="003E215B">
              <w:rPr>
                <w:rFonts w:eastAsia="Times New Roman" w:cs="Arial"/>
                <w:b/>
                <w:bCs/>
                <w:color w:val="000000"/>
                <w:szCs w:val="20"/>
                <w:bdr w:val="none" w:sz="0" w:space="0" w:color="auto" w:frame="1"/>
              </w:rPr>
              <w:t>Investigator</w:t>
            </w:r>
            <w:r w:rsidRPr="008B316D">
              <w:rPr>
                <w:rFonts w:eastAsia="Times New Roman" w:cs="Arial"/>
                <w:b/>
                <w:bCs/>
                <w:color w:val="000000"/>
                <w:szCs w:val="20"/>
                <w:bdr w:val="none" w:sz="0" w:space="0" w:color="auto" w:frame="1"/>
              </w:rPr>
              <w:t xml:space="preserve"> name</w:t>
            </w:r>
          </w:p>
        </w:tc>
        <w:tc>
          <w:tcPr>
            <w:tcW w:w="2551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DEEAF6" w:themeFill="accent5" w:themeFillTint="33"/>
            <w:hideMark/>
          </w:tcPr>
          <w:p w14:paraId="2638DE85" w14:textId="77777777" w:rsidR="00C312B0" w:rsidRPr="008B316D" w:rsidRDefault="00C312B0" w:rsidP="00966EFE">
            <w:pPr>
              <w:spacing w:line="276" w:lineRule="auto"/>
              <w:jc w:val="center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b/>
                <w:bCs/>
                <w:color w:val="000000"/>
                <w:szCs w:val="20"/>
                <w:bdr w:val="none" w:sz="0" w:space="0" w:color="auto" w:frame="1"/>
              </w:rPr>
              <w:t>Hospital/clinic Name</w:t>
            </w:r>
          </w:p>
        </w:tc>
        <w:tc>
          <w:tcPr>
            <w:tcW w:w="2126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DEEAF6" w:themeFill="accent5" w:themeFillTint="33"/>
            <w:hideMark/>
          </w:tcPr>
          <w:p w14:paraId="6EBD4E3C" w14:textId="77777777" w:rsidR="00C312B0" w:rsidRPr="008B316D" w:rsidRDefault="00C312B0" w:rsidP="00966EFE">
            <w:pPr>
              <w:spacing w:line="276" w:lineRule="auto"/>
              <w:jc w:val="center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b/>
                <w:bCs/>
                <w:color w:val="000000"/>
                <w:szCs w:val="20"/>
                <w:bdr w:val="none" w:sz="0" w:space="0" w:color="auto" w:frame="1"/>
              </w:rPr>
              <w:t>City, Country</w:t>
            </w:r>
          </w:p>
        </w:tc>
        <w:tc>
          <w:tcPr>
            <w:tcW w:w="2541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5" w:themeFillTint="33"/>
            <w:hideMark/>
          </w:tcPr>
          <w:p w14:paraId="6F6F3D4B" w14:textId="77777777" w:rsidR="00C312B0" w:rsidRPr="008B316D" w:rsidRDefault="00C312B0" w:rsidP="00966EFE">
            <w:pPr>
              <w:spacing w:line="276" w:lineRule="auto"/>
              <w:jc w:val="center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b/>
                <w:bCs/>
                <w:color w:val="000000"/>
                <w:szCs w:val="20"/>
                <w:bdr w:val="none" w:sz="0" w:space="0" w:color="auto" w:frame="1"/>
              </w:rPr>
              <w:t>Setting</w:t>
            </w:r>
          </w:p>
        </w:tc>
      </w:tr>
      <w:tr w:rsidR="00C312B0" w:rsidRPr="003E215B" w14:paraId="7F03A4CF" w14:textId="77777777" w:rsidTr="00966EFE">
        <w:tc>
          <w:tcPr>
            <w:tcW w:w="211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</w:tcPr>
          <w:p w14:paraId="2BEA2C14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Nasser Al Busaidi</w:t>
            </w:r>
          </w:p>
        </w:tc>
        <w:tc>
          <w:tcPr>
            <w:tcW w:w="2551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</w:tcPr>
          <w:p w14:paraId="51A9D208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 xml:space="preserve">Royal Hospital </w:t>
            </w:r>
          </w:p>
        </w:tc>
        <w:tc>
          <w:tcPr>
            <w:tcW w:w="2126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</w:tcPr>
          <w:p w14:paraId="7AEB63C8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Muscat, Oman</w:t>
            </w:r>
          </w:p>
        </w:tc>
        <w:tc>
          <w:tcPr>
            <w:tcW w:w="2541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14:paraId="335FD88F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Hospital, tertiary center</w:t>
            </w:r>
          </w:p>
        </w:tc>
      </w:tr>
      <w:tr w:rsidR="00C312B0" w:rsidRPr="003E215B" w14:paraId="10C3651A" w14:textId="77777777" w:rsidTr="00966EFE">
        <w:tc>
          <w:tcPr>
            <w:tcW w:w="211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hideMark/>
          </w:tcPr>
          <w:p w14:paraId="49D6A89D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Khaled Khudadah</w:t>
            </w:r>
          </w:p>
        </w:tc>
        <w:tc>
          <w:tcPr>
            <w:tcW w:w="2551" w:type="dxa"/>
            <w:tcBorders>
              <w:top w:val="single" w:sz="8" w:space="0" w:color="7F7F7F" w:themeColor="text1" w:themeTint="80"/>
            </w:tcBorders>
            <w:hideMark/>
          </w:tcPr>
          <w:p w14:paraId="4B0F5BFC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Ahmadi Hospital</w:t>
            </w:r>
          </w:p>
        </w:tc>
        <w:tc>
          <w:tcPr>
            <w:tcW w:w="2126" w:type="dxa"/>
            <w:tcBorders>
              <w:top w:val="single" w:sz="8" w:space="0" w:color="7F7F7F" w:themeColor="text1" w:themeTint="80"/>
            </w:tcBorders>
            <w:hideMark/>
          </w:tcPr>
          <w:p w14:paraId="2748C14B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3E215B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Kuwait City</w:t>
            </w: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, Kuwait</w:t>
            </w:r>
          </w:p>
        </w:tc>
        <w:tc>
          <w:tcPr>
            <w:tcW w:w="2541" w:type="dxa"/>
            <w:tcBorders>
              <w:top w:val="single" w:sz="8" w:space="0" w:color="7F7F7F" w:themeColor="text1" w:themeTint="80"/>
              <w:right w:val="single" w:sz="8" w:space="0" w:color="7F7F7F" w:themeColor="text1" w:themeTint="80"/>
            </w:tcBorders>
            <w:hideMark/>
          </w:tcPr>
          <w:p w14:paraId="2D2C1F8E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5AAE5412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  <w:hideMark/>
          </w:tcPr>
          <w:p w14:paraId="330A5A1B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Khaled Hegazy</w:t>
            </w:r>
          </w:p>
        </w:tc>
        <w:tc>
          <w:tcPr>
            <w:tcW w:w="2551" w:type="dxa"/>
            <w:hideMark/>
          </w:tcPr>
          <w:p w14:paraId="2F2F9879" w14:textId="4F233518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Sabah El</w:t>
            </w:r>
            <w:r w:rsidR="00F06B70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-</w:t>
            </w: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Salem PHC</w:t>
            </w:r>
          </w:p>
        </w:tc>
        <w:tc>
          <w:tcPr>
            <w:tcW w:w="2126" w:type="dxa"/>
            <w:hideMark/>
          </w:tcPr>
          <w:p w14:paraId="4FF92B8E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3E215B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Kuwait City</w:t>
            </w: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, Kuwait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  <w:hideMark/>
          </w:tcPr>
          <w:p w14:paraId="2508B902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0FE77D7E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  <w:hideMark/>
          </w:tcPr>
          <w:p w14:paraId="6CDC2847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Mohamed Samir</w:t>
            </w:r>
          </w:p>
        </w:tc>
        <w:tc>
          <w:tcPr>
            <w:tcW w:w="2551" w:type="dxa"/>
            <w:hideMark/>
          </w:tcPr>
          <w:p w14:paraId="550221A7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Rumaitheya PHC</w:t>
            </w:r>
          </w:p>
        </w:tc>
        <w:tc>
          <w:tcPr>
            <w:tcW w:w="2126" w:type="dxa"/>
            <w:hideMark/>
          </w:tcPr>
          <w:p w14:paraId="4DD1F93B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3E215B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Kuwait City</w:t>
            </w: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, Kuwait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  <w:hideMark/>
          </w:tcPr>
          <w:p w14:paraId="0B53260D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0F2A649F" w14:textId="77777777" w:rsidTr="00966EFE">
        <w:tc>
          <w:tcPr>
            <w:tcW w:w="2112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hideMark/>
          </w:tcPr>
          <w:p w14:paraId="3EC60A2A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Mohamed Negm</w:t>
            </w:r>
          </w:p>
        </w:tc>
        <w:tc>
          <w:tcPr>
            <w:tcW w:w="2551" w:type="dxa"/>
            <w:tcBorders>
              <w:bottom w:val="single" w:sz="8" w:space="0" w:color="7F7F7F" w:themeColor="text1" w:themeTint="80"/>
            </w:tcBorders>
            <w:hideMark/>
          </w:tcPr>
          <w:p w14:paraId="4E80BA5C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Al Adan Hospital</w:t>
            </w:r>
          </w:p>
        </w:tc>
        <w:tc>
          <w:tcPr>
            <w:tcW w:w="2126" w:type="dxa"/>
            <w:tcBorders>
              <w:bottom w:val="single" w:sz="8" w:space="0" w:color="7F7F7F" w:themeColor="text1" w:themeTint="80"/>
            </w:tcBorders>
            <w:hideMark/>
          </w:tcPr>
          <w:p w14:paraId="3B7A31BD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3E215B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Kuwait City</w:t>
            </w: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, Kuwait</w:t>
            </w:r>
          </w:p>
        </w:tc>
        <w:tc>
          <w:tcPr>
            <w:tcW w:w="2541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hideMark/>
          </w:tcPr>
          <w:p w14:paraId="59D30317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Hospital, tertiary center</w:t>
            </w:r>
          </w:p>
        </w:tc>
      </w:tr>
      <w:tr w:rsidR="00C312B0" w:rsidRPr="003E215B" w14:paraId="06057985" w14:textId="77777777" w:rsidTr="00966EFE">
        <w:tc>
          <w:tcPr>
            <w:tcW w:w="211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</w:tcPr>
          <w:p w14:paraId="6862E460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Ashraf Alzaabi</w:t>
            </w:r>
          </w:p>
        </w:tc>
        <w:tc>
          <w:tcPr>
            <w:tcW w:w="2551" w:type="dxa"/>
            <w:tcBorders>
              <w:top w:val="single" w:sz="8" w:space="0" w:color="7F7F7F" w:themeColor="text1" w:themeTint="80"/>
            </w:tcBorders>
          </w:tcPr>
          <w:p w14:paraId="34E0350E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Zayed Military Hospital</w:t>
            </w:r>
          </w:p>
        </w:tc>
        <w:tc>
          <w:tcPr>
            <w:tcW w:w="2126" w:type="dxa"/>
            <w:tcBorders>
              <w:top w:val="single" w:sz="8" w:space="0" w:color="7F7F7F" w:themeColor="text1" w:themeTint="80"/>
            </w:tcBorders>
          </w:tcPr>
          <w:p w14:paraId="18602F6F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Abu Dhabi, UAE</w:t>
            </w:r>
          </w:p>
        </w:tc>
        <w:tc>
          <w:tcPr>
            <w:tcW w:w="2541" w:type="dxa"/>
            <w:tcBorders>
              <w:top w:val="single" w:sz="8" w:space="0" w:color="7F7F7F" w:themeColor="text1" w:themeTint="80"/>
              <w:right w:val="single" w:sz="8" w:space="0" w:color="7F7F7F" w:themeColor="text1" w:themeTint="80"/>
            </w:tcBorders>
          </w:tcPr>
          <w:p w14:paraId="3D086488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Hospital, tertiary center</w:t>
            </w:r>
          </w:p>
        </w:tc>
      </w:tr>
      <w:tr w:rsidR="00C312B0" w:rsidRPr="003E215B" w14:paraId="5DAE0B76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</w:tcPr>
          <w:p w14:paraId="1B139B11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Rohit Pradhan</w:t>
            </w:r>
          </w:p>
        </w:tc>
        <w:tc>
          <w:tcPr>
            <w:tcW w:w="2551" w:type="dxa"/>
          </w:tcPr>
          <w:p w14:paraId="5A30940C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Zayed Military Hospital</w:t>
            </w:r>
          </w:p>
        </w:tc>
        <w:tc>
          <w:tcPr>
            <w:tcW w:w="2126" w:type="dxa"/>
          </w:tcPr>
          <w:p w14:paraId="14AC6508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Abu Dhabi, UAE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</w:tcPr>
          <w:p w14:paraId="34ACA120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Hospital, tertiary center</w:t>
            </w:r>
          </w:p>
        </w:tc>
      </w:tr>
      <w:tr w:rsidR="00C312B0" w:rsidRPr="003E215B" w14:paraId="26ADD8AE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</w:tcPr>
          <w:p w14:paraId="78FA889A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Fathelrahman Shandy</w:t>
            </w:r>
          </w:p>
        </w:tc>
        <w:tc>
          <w:tcPr>
            <w:tcW w:w="2551" w:type="dxa"/>
          </w:tcPr>
          <w:p w14:paraId="3E577AE0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Rashid Hospital, DHA</w:t>
            </w:r>
          </w:p>
        </w:tc>
        <w:tc>
          <w:tcPr>
            <w:tcW w:w="2126" w:type="dxa"/>
          </w:tcPr>
          <w:p w14:paraId="3D11B1D3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Dubai, UAE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</w:tcPr>
          <w:p w14:paraId="6ADFCC4F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Hospital, tertiary center</w:t>
            </w:r>
          </w:p>
        </w:tc>
      </w:tr>
      <w:tr w:rsidR="00C312B0" w:rsidRPr="003E215B" w14:paraId="359AD720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</w:tcPr>
          <w:p w14:paraId="765E46ED" w14:textId="05FC469C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Nas</w:t>
            </w:r>
            <w:r w:rsidR="00951BE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e</w:t>
            </w: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em Ibrahim</w:t>
            </w:r>
          </w:p>
        </w:tc>
        <w:tc>
          <w:tcPr>
            <w:tcW w:w="2551" w:type="dxa"/>
          </w:tcPr>
          <w:p w14:paraId="19D3E963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Khalidiya MOH PHC</w:t>
            </w:r>
          </w:p>
        </w:tc>
        <w:tc>
          <w:tcPr>
            <w:tcW w:w="2126" w:type="dxa"/>
          </w:tcPr>
          <w:p w14:paraId="71AD3508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Sharjah, UAE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</w:tcPr>
          <w:p w14:paraId="1CD86B58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4E29D2CC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</w:tcPr>
          <w:p w14:paraId="103BBD65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Moulham Ashtar</w:t>
            </w:r>
          </w:p>
        </w:tc>
        <w:tc>
          <w:tcPr>
            <w:tcW w:w="2551" w:type="dxa"/>
          </w:tcPr>
          <w:p w14:paraId="5EDD8C34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Al Badaa PHC, DHA</w:t>
            </w:r>
          </w:p>
        </w:tc>
        <w:tc>
          <w:tcPr>
            <w:tcW w:w="2126" w:type="dxa"/>
          </w:tcPr>
          <w:p w14:paraId="74588FCA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Dubai, UAE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</w:tcPr>
          <w:p w14:paraId="04911D9D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3D217A32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</w:tcPr>
          <w:p w14:paraId="3588AFE1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Fayeza Alameri</w:t>
            </w:r>
          </w:p>
        </w:tc>
        <w:tc>
          <w:tcPr>
            <w:tcW w:w="2551" w:type="dxa"/>
          </w:tcPr>
          <w:p w14:paraId="57D0276C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Family Medicine Department, Zayed Military Hospital</w:t>
            </w:r>
          </w:p>
        </w:tc>
        <w:tc>
          <w:tcPr>
            <w:tcW w:w="2126" w:type="dxa"/>
          </w:tcPr>
          <w:p w14:paraId="67854E85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Abu Dhabi, UAE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</w:tcPr>
          <w:p w14:paraId="002240ED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0148E8C1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</w:tcPr>
          <w:p w14:paraId="4859AF8D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Shatha Al Suwaidi</w:t>
            </w:r>
          </w:p>
        </w:tc>
        <w:tc>
          <w:tcPr>
            <w:tcW w:w="2551" w:type="dxa"/>
          </w:tcPr>
          <w:p w14:paraId="33B07EDA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Al Mankhool PHC, DHA</w:t>
            </w:r>
          </w:p>
        </w:tc>
        <w:tc>
          <w:tcPr>
            <w:tcW w:w="2126" w:type="dxa"/>
          </w:tcPr>
          <w:p w14:paraId="14FF47BE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Dubai, UAE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</w:tcPr>
          <w:p w14:paraId="206FEFA2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7FADFD00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</w:tcPr>
          <w:p w14:paraId="6515F1DA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Amal Al Zaabi</w:t>
            </w:r>
          </w:p>
          <w:p w14:paraId="15EC2BD0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Leila Osman</w:t>
            </w:r>
          </w:p>
        </w:tc>
        <w:tc>
          <w:tcPr>
            <w:tcW w:w="2551" w:type="dxa"/>
          </w:tcPr>
          <w:p w14:paraId="205993EB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AL Towar PHC, DHA</w:t>
            </w:r>
          </w:p>
        </w:tc>
        <w:tc>
          <w:tcPr>
            <w:tcW w:w="2126" w:type="dxa"/>
          </w:tcPr>
          <w:p w14:paraId="278C718B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Dubai, UAE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</w:tcPr>
          <w:p w14:paraId="51ECACCC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1D67E5E2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</w:tcPr>
          <w:p w14:paraId="50CFE29C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Hala Boushra</w:t>
            </w:r>
          </w:p>
        </w:tc>
        <w:tc>
          <w:tcPr>
            <w:tcW w:w="2551" w:type="dxa"/>
          </w:tcPr>
          <w:p w14:paraId="52354D04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Al Riqqa MOH PHC</w:t>
            </w:r>
          </w:p>
        </w:tc>
        <w:tc>
          <w:tcPr>
            <w:tcW w:w="2126" w:type="dxa"/>
          </w:tcPr>
          <w:p w14:paraId="61D88431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Sharjah, UAE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</w:tcPr>
          <w:p w14:paraId="4A5441AA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5B24AF07" w14:textId="77777777" w:rsidTr="00966EFE">
        <w:tc>
          <w:tcPr>
            <w:tcW w:w="2112" w:type="dxa"/>
            <w:tcBorders>
              <w:left w:val="single" w:sz="8" w:space="0" w:color="7F7F7F" w:themeColor="text1" w:themeTint="80"/>
            </w:tcBorders>
          </w:tcPr>
          <w:p w14:paraId="35EAE1C0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Naim Hazzouri</w:t>
            </w:r>
          </w:p>
        </w:tc>
        <w:tc>
          <w:tcPr>
            <w:tcW w:w="2551" w:type="dxa"/>
          </w:tcPr>
          <w:p w14:paraId="0EE343A4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Al Muhasinah MOH PHC</w:t>
            </w:r>
          </w:p>
        </w:tc>
        <w:tc>
          <w:tcPr>
            <w:tcW w:w="2126" w:type="dxa"/>
          </w:tcPr>
          <w:p w14:paraId="3FA6A998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Dubai, UAE</w:t>
            </w:r>
          </w:p>
        </w:tc>
        <w:tc>
          <w:tcPr>
            <w:tcW w:w="2541" w:type="dxa"/>
            <w:tcBorders>
              <w:right w:val="single" w:sz="8" w:space="0" w:color="7F7F7F" w:themeColor="text1" w:themeTint="80"/>
            </w:tcBorders>
          </w:tcPr>
          <w:p w14:paraId="77C4FCD7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  <w:tr w:rsidR="00C312B0" w:rsidRPr="003E215B" w14:paraId="20567B01" w14:textId="77777777" w:rsidTr="00966EFE">
        <w:tc>
          <w:tcPr>
            <w:tcW w:w="2112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</w:tcPr>
          <w:p w14:paraId="295B812D" w14:textId="77777777" w:rsidR="00C312B0" w:rsidRPr="008B316D" w:rsidRDefault="00C312B0" w:rsidP="00966EFE">
            <w:pPr>
              <w:spacing w:line="276" w:lineRule="auto"/>
              <w:rPr>
                <w:rFonts w:eastAsia="Times New Roman" w:cs="Arial"/>
                <w:color w:val="323130"/>
                <w:szCs w:val="20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Aisha Salim</w:t>
            </w:r>
          </w:p>
          <w:p w14:paraId="367768D3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Safeya AlKaabi</w:t>
            </w:r>
          </w:p>
        </w:tc>
        <w:tc>
          <w:tcPr>
            <w:tcW w:w="2551" w:type="dxa"/>
            <w:tcBorders>
              <w:bottom w:val="single" w:sz="8" w:space="0" w:color="7F7F7F" w:themeColor="text1" w:themeTint="80"/>
            </w:tcBorders>
          </w:tcPr>
          <w:p w14:paraId="1DFD3973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323130"/>
                <w:szCs w:val="20"/>
                <w:bdr w:val="none" w:sz="0" w:space="0" w:color="auto" w:frame="1"/>
              </w:rPr>
              <w:t>Al Mamzar PHC, DHA</w:t>
            </w:r>
          </w:p>
        </w:tc>
        <w:tc>
          <w:tcPr>
            <w:tcW w:w="2126" w:type="dxa"/>
            <w:tcBorders>
              <w:bottom w:val="single" w:sz="8" w:space="0" w:color="7F7F7F" w:themeColor="text1" w:themeTint="80"/>
            </w:tcBorders>
          </w:tcPr>
          <w:p w14:paraId="1691BF9B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Dubai, UAE</w:t>
            </w:r>
          </w:p>
        </w:tc>
        <w:tc>
          <w:tcPr>
            <w:tcW w:w="2541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14:paraId="70705414" w14:textId="77777777" w:rsidR="00C312B0" w:rsidRPr="003E215B" w:rsidRDefault="00C312B0" w:rsidP="00966EFE">
            <w:pPr>
              <w:spacing w:line="276" w:lineRule="auto"/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</w:pPr>
            <w:r w:rsidRPr="008B316D">
              <w:rPr>
                <w:rFonts w:eastAsia="Times New Roman" w:cs="Arial"/>
                <w:color w:val="000000"/>
                <w:szCs w:val="20"/>
                <w:bdr w:val="none" w:sz="0" w:space="0" w:color="auto" w:frame="1"/>
              </w:rPr>
              <w:t>Primary healthcare clinic</w:t>
            </w:r>
          </w:p>
        </w:tc>
      </w:tr>
    </w:tbl>
    <w:p w14:paraId="30B99308" w14:textId="77777777" w:rsidR="00C312B0" w:rsidRPr="003F27F7" w:rsidRDefault="00C312B0" w:rsidP="00C312B0">
      <w:pPr>
        <w:spacing w:line="240" w:lineRule="auto"/>
        <w:rPr>
          <w:rFonts w:cs="Arial"/>
          <w:szCs w:val="20"/>
          <w:lang w:val="en-US"/>
        </w:rPr>
      </w:pPr>
    </w:p>
    <w:p w14:paraId="18942D7B" w14:textId="77777777" w:rsidR="00C312B0" w:rsidRDefault="00C312B0"/>
    <w:sectPr w:rsidR="00C312B0" w:rsidSect="003E215B">
      <w:pgSz w:w="11906" w:h="16838"/>
      <w:pgMar w:top="1699" w:right="1699" w:bottom="1699" w:left="169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NDK0sDA3MTMwNrNU0lEKTi0uzszPAykwqgUAMXLR9ywAAAA="/>
  </w:docVars>
  <w:rsids>
    <w:rsidRoot w:val="00C312B0"/>
    <w:rsid w:val="00285A58"/>
    <w:rsid w:val="005B4268"/>
    <w:rsid w:val="007F14E9"/>
    <w:rsid w:val="008E7CEB"/>
    <w:rsid w:val="00951BED"/>
    <w:rsid w:val="009713DE"/>
    <w:rsid w:val="00C312B0"/>
    <w:rsid w:val="00C638ED"/>
    <w:rsid w:val="00E14FFA"/>
    <w:rsid w:val="00F0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4C094"/>
  <w15:docId w15:val="{EA297AFE-52B1-431E-BB4A-0C407003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2B0"/>
    <w:pPr>
      <w:spacing w:line="480" w:lineRule="auto"/>
    </w:pPr>
    <w:rPr>
      <w:rFonts w:ascii="Arial" w:hAnsi="Arial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C312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8E7CEB"/>
    <w:pPr>
      <w:spacing w:after="0" w:line="240" w:lineRule="auto"/>
    </w:pPr>
    <w:rPr>
      <w:rFonts w:ascii="Arial" w:hAnsi="Arial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Medical Writer</cp:lastModifiedBy>
  <cp:revision>10</cp:revision>
  <dcterms:created xsi:type="dcterms:W3CDTF">2022-06-20T09:30:00Z</dcterms:created>
  <dcterms:modified xsi:type="dcterms:W3CDTF">2022-07-04T06:26:00Z</dcterms:modified>
</cp:coreProperties>
</file>