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96"/>
        <w:tblW w:w="10654" w:type="dxa"/>
        <w:tblLook w:val="04A0" w:firstRow="1" w:lastRow="0" w:firstColumn="1" w:lastColumn="0" w:noHBand="0" w:noVBand="1"/>
      </w:tblPr>
      <w:tblGrid>
        <w:gridCol w:w="1910"/>
        <w:gridCol w:w="1066"/>
        <w:gridCol w:w="930"/>
        <w:gridCol w:w="949"/>
        <w:gridCol w:w="1050"/>
        <w:gridCol w:w="825"/>
        <w:gridCol w:w="943"/>
        <w:gridCol w:w="1074"/>
        <w:gridCol w:w="958"/>
        <w:gridCol w:w="949"/>
      </w:tblGrid>
      <w:tr w:rsidR="00C4463A" w:rsidRPr="00C4463A" w:rsidTr="00C4463A">
        <w:trPr>
          <w:trHeight w:val="315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all</w:t>
            </w:r>
          </w:p>
        </w:tc>
        <w:tc>
          <w:tcPr>
            <w:tcW w:w="28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pregnant</w:t>
            </w:r>
          </w:p>
        </w:tc>
        <w:tc>
          <w:tcPr>
            <w:tcW w:w="298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nonpregnant</w:t>
            </w:r>
          </w:p>
        </w:tc>
      </w:tr>
      <w:tr w:rsidR="00C4463A" w:rsidRPr="00C4463A" w:rsidTr="00C4463A">
        <w:trPr>
          <w:trHeight w:val="315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G&amp;F QE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PQE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p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G&amp;F QE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PQE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p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G&amp;F QE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PQE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p</w:t>
            </w:r>
          </w:p>
        </w:tc>
      </w:tr>
      <w:tr w:rsidR="00C4463A" w:rsidRPr="00C4463A" w:rsidTr="00C4463A">
        <w:trPr>
          <w:trHeight w:val="315"/>
        </w:trPr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Type of cycle</w:t>
            </w:r>
          </w:p>
        </w:tc>
        <w:tc>
          <w:tcPr>
            <w:tcW w:w="874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ICSI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55% (3279)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55% (275)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p=0.383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54% (943)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67% (33)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p=0.762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55% (2336)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54% (242)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p=0.526</w:t>
            </w:r>
          </w:p>
        </w:tc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ICSI-OD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3% (197)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3% (16)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3% (51)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4% (2)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3% (146)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3% (14)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ICSI-OSD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(4)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(2)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(2)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ICSI-PGD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(100)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3% (14)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1% (15)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(85)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3% (14)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ICSI-SD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(110)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1% (4)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1% (26)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(84)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1% (4)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IVF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33% (1977)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32% (158)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35% (614)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22% (11)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32% (1363)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33% (147)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IVF-OD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(24)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1% (9)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(15)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IVF-OSD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(3)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(2)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(1)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IVF-PGD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(4)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(4)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IVF-SD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3% (183)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3% (16)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3% (49)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4% (2)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3% (134)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3% (14)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C4463A">
        <w:trPr>
          <w:trHeight w:val="315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IVF+ICSI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(113)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3% (13)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(35)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2 %(1)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(78)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3% (12)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C4463A">
        <w:trPr>
          <w:trHeight w:val="315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Female diagnosis</w:t>
            </w:r>
          </w:p>
        </w:tc>
        <w:tc>
          <w:tcPr>
            <w:tcW w:w="8744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463A" w:rsidRPr="00C4463A" w:rsidTr="00814307">
        <w:trPr>
          <w:trHeight w:val="51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diminished ovarian reserve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26% (1457)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32% (149)</w:t>
            </w:r>
          </w:p>
        </w:tc>
        <w:tc>
          <w:tcPr>
            <w:tcW w:w="94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p=0.751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18% (290)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29% (14)</w:t>
            </w:r>
          </w:p>
        </w:tc>
        <w:tc>
          <w:tcPr>
            <w:tcW w:w="9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p=0.485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29% (1167)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32% (135)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p=0.383</w:t>
            </w:r>
          </w:p>
        </w:tc>
      </w:tr>
      <w:tr w:rsidR="00C4463A" w:rsidRPr="00C4463A" w:rsidTr="00814307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tubal factor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35% (1967)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31% (147)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39% (633)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38% (18)</w:t>
            </w:r>
          </w:p>
        </w:tc>
        <w:tc>
          <w:tcPr>
            <w:tcW w:w="9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34% (1334)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31% (129)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814307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endometriosis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7% (404)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7% (33)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8% (124)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8% (4)</w:t>
            </w:r>
          </w:p>
        </w:tc>
        <w:tc>
          <w:tcPr>
            <w:tcW w:w="9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7% (280)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7% (29)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814307">
        <w:trPr>
          <w:trHeight w:val="33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endocrine factor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4% (203)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3% (12)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4% (68)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(1)</w:t>
            </w:r>
          </w:p>
        </w:tc>
        <w:tc>
          <w:tcPr>
            <w:tcW w:w="9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3% (135)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3% (11)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814307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PCOS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4% (246)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5% (25)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5% (78)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(1)</w:t>
            </w:r>
          </w:p>
        </w:tc>
        <w:tc>
          <w:tcPr>
            <w:tcW w:w="9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4% (168)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6% (24)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814307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uterine factor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5% (273)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5% (25)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5% (86)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8% (4)</w:t>
            </w:r>
          </w:p>
        </w:tc>
        <w:tc>
          <w:tcPr>
            <w:tcW w:w="9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5% (187)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5% (21)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814307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multiple factors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1% (29)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1% (9)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9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1% (20)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814307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other factors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1% (56)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1% (7)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1% (17)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(0)</w:t>
            </w:r>
          </w:p>
        </w:tc>
        <w:tc>
          <w:tcPr>
            <w:tcW w:w="9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1% (39)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(7)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814307">
        <w:trPr>
          <w:trHeight w:val="315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normal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17% (969)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15% (71)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20% (325)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13% (6)</w:t>
            </w:r>
          </w:p>
        </w:tc>
        <w:tc>
          <w:tcPr>
            <w:tcW w:w="9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16% (644)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15% (65)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C4463A">
        <w:trPr>
          <w:trHeight w:val="315"/>
        </w:trPr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Male diagnosis</w:t>
            </w:r>
          </w:p>
        </w:tc>
        <w:tc>
          <w:tcPr>
            <w:tcW w:w="8744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normozoospermia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41% (2176)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40% (172)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p&lt;0.001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40% (613)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31% (13)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p=0.009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42% (1563)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41% (159)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p=0.001</w:t>
            </w:r>
          </w:p>
        </w:tc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subfertile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53% (2779)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52% (226)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55% (846)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55% (23)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52% (1933)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52% (203)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bookmarkStart w:id="0" w:name="_GoBack"/>
        <w:bookmarkEnd w:id="0"/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cryptozoospermia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6% (291)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7% (29)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5% (12)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12% (5)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6% (206)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6% (24)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C4463A" w:rsidRPr="00C4463A" w:rsidTr="00C4463A">
        <w:trPr>
          <w:trHeight w:val="315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other factors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(7)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1% (5)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(3)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(1)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0% (4)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1% (4)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C4463A" w:rsidRPr="00C4463A" w:rsidTr="00C4463A">
        <w:trPr>
          <w:trHeight w:val="315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46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Protocol</w:t>
            </w:r>
          </w:p>
        </w:tc>
        <w:tc>
          <w:tcPr>
            <w:tcW w:w="8744" w:type="dxa"/>
            <w:gridSpan w:val="9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GnRH-agonists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8% (448)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7% (34)</w:t>
            </w:r>
          </w:p>
        </w:tc>
        <w:tc>
          <w:tcPr>
            <w:tcW w:w="94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p=0.017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9% (154)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8% (4)</w:t>
            </w:r>
          </w:p>
        </w:tc>
        <w:tc>
          <w:tcPr>
            <w:tcW w:w="9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p=0.777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7% (294)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7% (30)</w:t>
            </w:r>
          </w:p>
        </w:tc>
        <w:tc>
          <w:tcPr>
            <w:tcW w:w="94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p=0.185</w:t>
            </w:r>
          </w:p>
        </w:tc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GnRH-antagonists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85% (5008)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84% (406)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87% (1496)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86% (42)</w:t>
            </w:r>
          </w:p>
        </w:tc>
        <w:tc>
          <w:tcPr>
            <w:tcW w:w="9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85% (3512)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83% (364)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Other protocols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5% (276)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8% (38)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(34)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4% (2)</w:t>
            </w:r>
          </w:p>
        </w:tc>
        <w:tc>
          <w:tcPr>
            <w:tcW w:w="9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6% (242)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8% (36)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C4463A">
        <w:trPr>
          <w:trHeight w:val="315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Natural cycle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(137)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(8)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(40)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(1)</w:t>
            </w:r>
          </w:p>
        </w:tc>
        <w:tc>
          <w:tcPr>
            <w:tcW w:w="9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(97)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(7)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C4463A">
        <w:trPr>
          <w:trHeight w:val="315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Trigger</w:t>
            </w:r>
          </w:p>
        </w:tc>
        <w:tc>
          <w:tcPr>
            <w:tcW w:w="8744" w:type="dxa"/>
            <w:gridSpan w:val="9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Pregnyl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69% (3620)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70% (305)</w:t>
            </w:r>
          </w:p>
        </w:tc>
        <w:tc>
          <w:tcPr>
            <w:tcW w:w="94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p=0.974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70% (1068)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74% (35)</w:t>
            </w:r>
          </w:p>
        </w:tc>
        <w:tc>
          <w:tcPr>
            <w:tcW w:w="9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p=0.881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69% (2552)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70% (270)</w:t>
            </w:r>
          </w:p>
        </w:tc>
        <w:tc>
          <w:tcPr>
            <w:tcW w:w="94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p=0.593</w:t>
            </w:r>
          </w:p>
        </w:tc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Ovitrelle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(88)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(9)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(31)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(1)</w:t>
            </w:r>
          </w:p>
        </w:tc>
        <w:tc>
          <w:tcPr>
            <w:tcW w:w="9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(57)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2% (8)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C4463A">
        <w:trPr>
          <w:trHeight w:val="300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Choragon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16% (861)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14% (62)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16% (251)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15% (7)</w:t>
            </w:r>
          </w:p>
        </w:tc>
        <w:tc>
          <w:tcPr>
            <w:tcW w:w="9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16% (610)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14% (55)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4463A" w:rsidRPr="00C4463A" w:rsidTr="00C4463A">
        <w:trPr>
          <w:trHeight w:val="315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Diphereline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13% (672)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13% (58)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12% (183)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9% (4)</w:t>
            </w:r>
          </w:p>
        </w:tc>
        <w:tc>
          <w:tcPr>
            <w:tcW w:w="9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13% (489)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463A">
              <w:rPr>
                <w:rFonts w:ascii="Calibri" w:eastAsia="Times New Roman" w:hAnsi="Calibri" w:cs="Times New Roman"/>
                <w:color w:val="000000"/>
                <w:lang w:eastAsia="ru-RU"/>
              </w:rPr>
              <w:t>14% (54)</w:t>
            </w: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63A" w:rsidRPr="00C4463A" w:rsidRDefault="00C4463A" w:rsidP="00C446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E2EF2" w:rsidRDefault="008E2EF2"/>
    <w:sectPr w:rsidR="008E2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63A"/>
    <w:rsid w:val="00814307"/>
    <w:rsid w:val="008E2EF2"/>
    <w:rsid w:val="00C4463A"/>
    <w:rsid w:val="00F7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355</Words>
  <Characters>2029</Characters>
  <Application>Microsoft Macintosh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НЦ АГиП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 Анастасия Олеговна</dc:creator>
  <cp:lastModifiedBy>Анастасия</cp:lastModifiedBy>
  <cp:revision>2</cp:revision>
  <dcterms:created xsi:type="dcterms:W3CDTF">2020-02-06T12:54:00Z</dcterms:created>
  <dcterms:modified xsi:type="dcterms:W3CDTF">2020-02-06T12:54:00Z</dcterms:modified>
</cp:coreProperties>
</file>