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9AABB" w14:textId="77777777" w:rsidR="00454D83" w:rsidRDefault="0057238D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Impact of Pharmacist-Led Aminoglycoside Stewardship: A 10-Year Observational Study</w:t>
      </w:r>
    </w:p>
    <w:p w14:paraId="27D3A11D" w14:textId="77777777" w:rsidR="00454D83" w:rsidRDefault="00454D83">
      <w:pPr>
        <w:rPr>
          <w:rFonts w:ascii="Times New Roman" w:eastAsia="Times New Roman" w:hAnsi="Times New Roman" w:cs="Times New Roman"/>
          <w:i/>
          <w:sz w:val="24"/>
        </w:rPr>
      </w:pPr>
    </w:p>
    <w:p w14:paraId="7CD89AEA" w14:textId="5E010CD6" w:rsidR="00454D83" w:rsidRDefault="0057238D">
      <w:pPr>
        <w:rPr>
          <w:rFonts w:ascii="Times New Roman" w:eastAsia="Times New Roman" w:hAnsi="Times New Roman" w:cs="Times New Roman"/>
          <w:i/>
          <w:sz w:val="24"/>
        </w:rPr>
      </w:pPr>
      <w:r w:rsidRPr="00DF1512">
        <w:rPr>
          <w:rFonts w:ascii="Times New Roman" w:eastAsia="Times New Roman" w:hAnsi="Times New Roman" w:cs="Times New Roman"/>
          <w:i/>
          <w:sz w:val="24"/>
        </w:rPr>
        <w:t>Journal of Pharmaceutical Health Care and Sciences</w:t>
      </w:r>
    </w:p>
    <w:p w14:paraId="1CBC0ADB" w14:textId="77777777" w:rsidR="00454D83" w:rsidRDefault="00454D83">
      <w:pPr>
        <w:rPr>
          <w:rFonts w:ascii="Times New Roman" w:eastAsia="Times New Roman" w:hAnsi="Times New Roman" w:cs="Times New Roman"/>
          <w:i/>
          <w:sz w:val="24"/>
        </w:rPr>
      </w:pPr>
    </w:p>
    <w:p w14:paraId="74F9332B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Yasutaka Shinoda, Kengo Ohashi, Tomoko Matsuoka, Kaori Arai, Nao Hotta, Eiseki Usami </w:t>
      </w:r>
    </w:p>
    <w:p w14:paraId="172D00FE" w14:textId="77777777" w:rsidR="00454D83" w:rsidRDefault="00454D83">
      <w:pPr>
        <w:rPr>
          <w:rFonts w:ascii="Times New Roman" w:eastAsia="Times New Roman" w:hAnsi="Times New Roman" w:cs="Times New Roman"/>
          <w:sz w:val="24"/>
        </w:rPr>
      </w:pPr>
    </w:p>
    <w:p w14:paraId="348BDA3B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Department of Pharmacy, Ogaki Municipal Hospital, Gifu, Japan</w:t>
      </w:r>
    </w:p>
    <w:p w14:paraId="743FC79F" w14:textId="77777777" w:rsidR="00454D83" w:rsidRDefault="00454D83">
      <w:pPr>
        <w:rPr>
          <w:rFonts w:ascii="Times New Roman" w:eastAsia="Times New Roman" w:hAnsi="Times New Roman" w:cs="Times New Roman"/>
          <w:sz w:val="24"/>
        </w:rPr>
      </w:pPr>
    </w:p>
    <w:p w14:paraId="4DDA15D2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Corresponding Author: Yasutaka Shinoda</w:t>
      </w:r>
    </w:p>
    <w:p w14:paraId="42840B41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Email Address: </w:t>
      </w:r>
      <w:hyperlink r:id="rId7" w:history="1">
        <w:r w:rsidR="00454D83">
          <w:rPr>
            <w:rStyle w:val="ad"/>
            <w:rFonts w:ascii="Times New Roman" w:eastAsia="Times New Roman" w:hAnsi="Times New Roman" w:cs="Times New Roman"/>
            <w:sz w:val="24"/>
          </w:rPr>
          <w:t>shonoda065039@gmail.com</w:t>
        </w:r>
      </w:hyperlink>
    </w:p>
    <w:p w14:paraId="5EB0A104" w14:textId="77777777" w:rsidR="00454D83" w:rsidRDefault="00454D83">
      <w:pPr>
        <w:rPr>
          <w:rFonts w:ascii="Times New Roman" w:eastAsia="Times New Roman" w:hAnsi="Times New Roman" w:cs="Times New Roman"/>
          <w:sz w:val="24"/>
        </w:rPr>
      </w:pPr>
    </w:p>
    <w:p w14:paraId="391DFF94" w14:textId="5393EC26" w:rsidR="00454D83" w:rsidRDefault="0057238D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Additional file 1</w:t>
      </w:r>
      <w:r w:rsidR="007477BF">
        <w:rPr>
          <w:rFonts w:ascii="Times New Roman" w:eastAsia="Times New Roman" w:hAnsi="Times New Roman" w:cs="Times New Roman"/>
          <w:b/>
          <w:sz w:val="24"/>
        </w:rPr>
        <w:t>: Definition of the criteria for assessing the appropriateness of aminoglycosides</w:t>
      </w:r>
    </w:p>
    <w:p w14:paraId="4EE2A489" w14:textId="77777777" w:rsidR="00454D83" w:rsidRDefault="0057238D">
      <w:pPr>
        <w:widowControl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游明朝" w:eastAsia="游明朝" w:hAnsi="游明朝" w:cs="游明朝"/>
          <w:sz w:val="24"/>
        </w:rPr>
        <w:br w:type="page"/>
      </w:r>
    </w:p>
    <w:p w14:paraId="67CEF874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 w:rsidRPr="001C0BC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S1.</w:t>
      </w:r>
      <w:r>
        <w:rPr>
          <w:rFonts w:ascii="Times New Roman" w:eastAsia="Times New Roman" w:hAnsi="Times New Roman" w:cs="Times New Roman"/>
          <w:sz w:val="24"/>
        </w:rPr>
        <w:t xml:space="preserve"> Appropriate initial dose and serum concentration of aminoglycosides based on renal function</w:t>
      </w:r>
    </w:p>
    <w:tbl>
      <w:tblPr>
        <w:tblStyle w:val="a3"/>
        <w:tblW w:w="13378" w:type="dxa"/>
        <w:tblLook w:val="04A0" w:firstRow="1" w:lastRow="0" w:firstColumn="1" w:lastColumn="0" w:noHBand="0" w:noVBand="1"/>
      </w:tblPr>
      <w:tblGrid>
        <w:gridCol w:w="1876"/>
        <w:gridCol w:w="2331"/>
        <w:gridCol w:w="2623"/>
        <w:gridCol w:w="2394"/>
        <w:gridCol w:w="2320"/>
        <w:gridCol w:w="1834"/>
      </w:tblGrid>
      <w:tr w:rsidR="00451496" w14:paraId="3F89D4DF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0A1E6E6F" w14:textId="77777777" w:rsidR="00454D83" w:rsidRDefault="00454D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954" w:type="dxa"/>
            <w:gridSpan w:val="2"/>
            <w:tcBorders>
              <w:left w:val="nil"/>
            </w:tcBorders>
          </w:tcPr>
          <w:p w14:paraId="4C7F4834" w14:textId="77777777" w:rsidR="00454D83" w:rsidRDefault="005723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GM/TOB</w:t>
            </w:r>
          </w:p>
        </w:tc>
        <w:tc>
          <w:tcPr>
            <w:tcW w:w="4714" w:type="dxa"/>
            <w:gridSpan w:val="2"/>
          </w:tcPr>
          <w:p w14:paraId="4A01CF5A" w14:textId="77777777" w:rsidR="00454D83" w:rsidRDefault="005723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AMK</w:t>
            </w:r>
          </w:p>
        </w:tc>
        <w:tc>
          <w:tcPr>
            <w:tcW w:w="1834" w:type="dxa"/>
            <w:vMerge w:val="restart"/>
          </w:tcPr>
          <w:p w14:paraId="427C8F14" w14:textId="77777777" w:rsidR="00454D83" w:rsidRDefault="0057238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ABK</w:t>
            </w:r>
          </w:p>
        </w:tc>
      </w:tr>
      <w:tr w:rsidR="00451496" w14:paraId="04C2EFC1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25B84A5A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eGFR</w:t>
            </w:r>
          </w:p>
          <w:p w14:paraId="2A092248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mL/min/1.73 m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3B74F7DA" w14:textId="77777777" w:rsidR="00454D83" w:rsidRDefault="0057238D">
            <w:pPr>
              <w:pStyle w:val="aa"/>
              <w:ind w:left="360"/>
              <w:contextualSpacing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MIC=2 μg/mL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11553BEB" w14:textId="77777777" w:rsidR="00454D83" w:rsidRDefault="0057238D">
            <w:pPr>
              <w:pStyle w:val="aa"/>
              <w:ind w:left="360"/>
              <w:contextualSpacing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MIC≤1 μg/mL</w:t>
            </w:r>
          </w:p>
        </w:tc>
        <w:tc>
          <w:tcPr>
            <w:tcW w:w="2394" w:type="dxa"/>
            <w:tcBorders>
              <w:right w:val="nil"/>
            </w:tcBorders>
            <w:vAlign w:val="center"/>
          </w:tcPr>
          <w:p w14:paraId="0DE8520F" w14:textId="77777777" w:rsidR="00454D83" w:rsidRDefault="0057238D">
            <w:pPr>
              <w:pStyle w:val="aa"/>
              <w:ind w:left="360"/>
              <w:contextualSpacing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MIC=8 μg/mL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24A0B8F5" w14:textId="77777777" w:rsidR="00454D83" w:rsidRDefault="0057238D">
            <w:pPr>
              <w:pStyle w:val="aa"/>
              <w:ind w:left="360"/>
              <w:contextualSpacing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MIC≤4 μg/mL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14:paraId="44E448A0" w14:textId="77777777" w:rsidR="00454D83" w:rsidRDefault="00454D83"/>
        </w:tc>
      </w:tr>
      <w:tr w:rsidR="00451496" w14:paraId="2934F734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4574797B" w14:textId="695645C8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Cambria Math" w:eastAsia="游ゴシック" w:hAnsi="Cambria Math" w:cs="Cambria Math"/>
                <w:sz w:val="24"/>
              </w:rPr>
              <w:t>≥</w:t>
            </w:r>
            <w:r>
              <w:rPr>
                <w:rFonts w:ascii="Times New Roman" w:eastAsia="Times New Roman" w:hAnsi="Times New Roman" w:cs="Times New Roman"/>
                <w:sz w:val="24"/>
              </w:rPr>
              <w:t>80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206550A2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 mg/kg, every 24 h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69D30E5F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 mg/kg, every 24 h</w:t>
            </w:r>
          </w:p>
        </w:tc>
        <w:tc>
          <w:tcPr>
            <w:tcW w:w="2394" w:type="dxa"/>
            <w:tcBorders>
              <w:right w:val="nil"/>
            </w:tcBorders>
            <w:vAlign w:val="center"/>
          </w:tcPr>
          <w:p w14:paraId="60DB4334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 mg/kg, every 24 h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56AE02EC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 mg/kg, every 24 h</w:t>
            </w:r>
          </w:p>
        </w:tc>
        <w:tc>
          <w:tcPr>
            <w:tcW w:w="1834" w:type="dxa"/>
            <w:tcBorders>
              <w:left w:val="nil"/>
            </w:tcBorders>
            <w:vAlign w:val="center"/>
          </w:tcPr>
          <w:p w14:paraId="6CB2FA3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 mg/kg, every 24 h</w:t>
            </w:r>
          </w:p>
        </w:tc>
      </w:tr>
      <w:tr w:rsidR="00451496" w14:paraId="7C5694A5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6FFC51CA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70–79</w:t>
            </w:r>
          </w:p>
        </w:tc>
        <w:tc>
          <w:tcPr>
            <w:tcW w:w="2331" w:type="dxa"/>
            <w:vMerge w:val="restart"/>
            <w:tcBorders>
              <w:left w:val="nil"/>
              <w:right w:val="nil"/>
            </w:tcBorders>
            <w:vAlign w:val="center"/>
          </w:tcPr>
          <w:p w14:paraId="3DDAB2A9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 mg/kg, every 24 h</w:t>
            </w:r>
          </w:p>
        </w:tc>
        <w:tc>
          <w:tcPr>
            <w:tcW w:w="2623" w:type="dxa"/>
            <w:vMerge w:val="restart"/>
            <w:tcBorders>
              <w:left w:val="nil"/>
            </w:tcBorders>
            <w:vAlign w:val="center"/>
          </w:tcPr>
          <w:p w14:paraId="0A04D60A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24 h</w:t>
            </w:r>
          </w:p>
        </w:tc>
        <w:tc>
          <w:tcPr>
            <w:tcW w:w="2394" w:type="dxa"/>
            <w:vMerge w:val="restart"/>
            <w:tcBorders>
              <w:right w:val="nil"/>
            </w:tcBorders>
            <w:vAlign w:val="center"/>
          </w:tcPr>
          <w:p w14:paraId="7693EC89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 mg/kg, every 24 h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23E638BC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 mg/kg, every 24 h</w:t>
            </w:r>
          </w:p>
        </w:tc>
        <w:tc>
          <w:tcPr>
            <w:tcW w:w="1834" w:type="dxa"/>
            <w:vMerge w:val="restart"/>
            <w:tcBorders>
              <w:left w:val="nil"/>
            </w:tcBorders>
            <w:vAlign w:val="center"/>
          </w:tcPr>
          <w:p w14:paraId="521B4C9A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24 h</w:t>
            </w:r>
          </w:p>
        </w:tc>
      </w:tr>
      <w:tr w:rsidR="00451496" w14:paraId="2355B6A7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209182F1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60–69</w:t>
            </w:r>
          </w:p>
        </w:tc>
        <w:tc>
          <w:tcPr>
            <w:tcW w:w="2331" w:type="dxa"/>
            <w:vMerge/>
            <w:tcBorders>
              <w:top w:val="nil"/>
              <w:left w:val="nil"/>
              <w:right w:val="nil"/>
            </w:tcBorders>
          </w:tcPr>
          <w:p w14:paraId="09591AEA" w14:textId="77777777" w:rsidR="00454D83" w:rsidRDefault="00454D83"/>
        </w:tc>
        <w:tc>
          <w:tcPr>
            <w:tcW w:w="2623" w:type="dxa"/>
            <w:vMerge/>
            <w:tcBorders>
              <w:top w:val="nil"/>
              <w:left w:val="nil"/>
            </w:tcBorders>
          </w:tcPr>
          <w:p w14:paraId="3A6A41CC" w14:textId="77777777" w:rsidR="00454D83" w:rsidRDefault="00454D83"/>
        </w:tc>
        <w:tc>
          <w:tcPr>
            <w:tcW w:w="2394" w:type="dxa"/>
            <w:vMerge/>
            <w:tcBorders>
              <w:top w:val="nil"/>
              <w:right w:val="nil"/>
            </w:tcBorders>
          </w:tcPr>
          <w:p w14:paraId="196B1131" w14:textId="77777777" w:rsidR="00454D83" w:rsidRDefault="00454D83"/>
        </w:tc>
        <w:tc>
          <w:tcPr>
            <w:tcW w:w="2320" w:type="dxa"/>
            <w:vMerge w:val="restart"/>
            <w:tcBorders>
              <w:left w:val="nil"/>
            </w:tcBorders>
            <w:vAlign w:val="center"/>
          </w:tcPr>
          <w:p w14:paraId="3B7F55B9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7.5 mg/kg, every 24 h</w:t>
            </w:r>
          </w:p>
        </w:tc>
        <w:tc>
          <w:tcPr>
            <w:tcW w:w="1834" w:type="dxa"/>
            <w:vMerge/>
            <w:tcBorders>
              <w:top w:val="nil"/>
              <w:left w:val="nil"/>
            </w:tcBorders>
          </w:tcPr>
          <w:p w14:paraId="1F087AA4" w14:textId="77777777" w:rsidR="00454D83" w:rsidRDefault="00454D83"/>
        </w:tc>
      </w:tr>
      <w:tr w:rsidR="00451496" w14:paraId="4060DE2E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2A4CECAD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50–59</w:t>
            </w:r>
          </w:p>
        </w:tc>
        <w:tc>
          <w:tcPr>
            <w:tcW w:w="2331" w:type="dxa"/>
            <w:vMerge w:val="restart"/>
            <w:tcBorders>
              <w:left w:val="nil"/>
              <w:right w:val="nil"/>
            </w:tcBorders>
            <w:vAlign w:val="center"/>
          </w:tcPr>
          <w:p w14:paraId="642071AD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24 h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4BB5E8F7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 mg/kg, every 24 h</w:t>
            </w:r>
          </w:p>
        </w:tc>
        <w:tc>
          <w:tcPr>
            <w:tcW w:w="2394" w:type="dxa"/>
            <w:vMerge w:val="restart"/>
            <w:tcBorders>
              <w:right w:val="nil"/>
            </w:tcBorders>
            <w:vAlign w:val="center"/>
          </w:tcPr>
          <w:p w14:paraId="1CB733E2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 mg/kg, every 24 h</w:t>
            </w:r>
          </w:p>
        </w:tc>
        <w:tc>
          <w:tcPr>
            <w:tcW w:w="2320" w:type="dxa"/>
            <w:vMerge/>
            <w:tcBorders>
              <w:top w:val="nil"/>
              <w:left w:val="nil"/>
            </w:tcBorders>
          </w:tcPr>
          <w:p w14:paraId="3B4E2B03" w14:textId="77777777" w:rsidR="00454D83" w:rsidRDefault="00454D83"/>
        </w:tc>
        <w:tc>
          <w:tcPr>
            <w:tcW w:w="1834" w:type="dxa"/>
            <w:tcBorders>
              <w:left w:val="nil"/>
            </w:tcBorders>
            <w:vAlign w:val="center"/>
          </w:tcPr>
          <w:p w14:paraId="40D4D7A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 mg/kg, every 24 h</w:t>
            </w:r>
          </w:p>
        </w:tc>
      </w:tr>
      <w:tr w:rsidR="00451496" w14:paraId="56B11BEF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5F38685F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40–49</w:t>
            </w:r>
          </w:p>
        </w:tc>
        <w:tc>
          <w:tcPr>
            <w:tcW w:w="2331" w:type="dxa"/>
            <w:vMerge/>
            <w:tcBorders>
              <w:top w:val="nil"/>
              <w:left w:val="nil"/>
              <w:right w:val="nil"/>
            </w:tcBorders>
          </w:tcPr>
          <w:p w14:paraId="1208E04D" w14:textId="77777777" w:rsidR="00454D83" w:rsidRDefault="00454D83"/>
        </w:tc>
        <w:tc>
          <w:tcPr>
            <w:tcW w:w="2623" w:type="dxa"/>
            <w:vMerge w:val="restart"/>
            <w:tcBorders>
              <w:left w:val="nil"/>
            </w:tcBorders>
            <w:vAlign w:val="center"/>
          </w:tcPr>
          <w:p w14:paraId="7991B10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 mg/kg, every 24 h</w:t>
            </w:r>
          </w:p>
        </w:tc>
        <w:tc>
          <w:tcPr>
            <w:tcW w:w="2394" w:type="dxa"/>
            <w:vMerge/>
            <w:tcBorders>
              <w:top w:val="nil"/>
              <w:right w:val="nil"/>
            </w:tcBorders>
          </w:tcPr>
          <w:p w14:paraId="654054B1" w14:textId="77777777" w:rsidR="00454D83" w:rsidRDefault="00454D83"/>
        </w:tc>
        <w:tc>
          <w:tcPr>
            <w:tcW w:w="2320" w:type="dxa"/>
            <w:vMerge w:val="restart"/>
            <w:tcBorders>
              <w:left w:val="nil"/>
            </w:tcBorders>
            <w:vAlign w:val="center"/>
          </w:tcPr>
          <w:p w14:paraId="6FFE08B4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24 h</w:t>
            </w:r>
          </w:p>
        </w:tc>
        <w:tc>
          <w:tcPr>
            <w:tcW w:w="1834" w:type="dxa"/>
            <w:vMerge w:val="restart"/>
            <w:tcBorders>
              <w:left w:val="nil"/>
            </w:tcBorders>
            <w:vAlign w:val="center"/>
          </w:tcPr>
          <w:p w14:paraId="7FA0CBA3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 mg/kg, every 24 h</w:t>
            </w:r>
          </w:p>
        </w:tc>
      </w:tr>
      <w:tr w:rsidR="00451496" w14:paraId="7549FC41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63897311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30–39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2B104BD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 mg/kg, every 48 h</w:t>
            </w:r>
          </w:p>
        </w:tc>
        <w:tc>
          <w:tcPr>
            <w:tcW w:w="2623" w:type="dxa"/>
            <w:vMerge/>
            <w:tcBorders>
              <w:top w:val="nil"/>
              <w:left w:val="nil"/>
            </w:tcBorders>
          </w:tcPr>
          <w:p w14:paraId="2B392EF9" w14:textId="77777777" w:rsidR="00454D83" w:rsidRDefault="00454D83"/>
        </w:tc>
        <w:tc>
          <w:tcPr>
            <w:tcW w:w="2394" w:type="dxa"/>
            <w:tcBorders>
              <w:right w:val="nil"/>
            </w:tcBorders>
            <w:vAlign w:val="center"/>
          </w:tcPr>
          <w:p w14:paraId="4BCBDA14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 mg/kg, every 48 h</w:t>
            </w:r>
          </w:p>
        </w:tc>
        <w:tc>
          <w:tcPr>
            <w:tcW w:w="2320" w:type="dxa"/>
            <w:vMerge/>
            <w:tcBorders>
              <w:top w:val="nil"/>
              <w:left w:val="nil"/>
            </w:tcBorders>
          </w:tcPr>
          <w:p w14:paraId="667A0003" w14:textId="77777777" w:rsidR="00454D83" w:rsidRDefault="00454D83"/>
        </w:tc>
        <w:tc>
          <w:tcPr>
            <w:tcW w:w="1834" w:type="dxa"/>
            <w:vMerge/>
            <w:tcBorders>
              <w:top w:val="nil"/>
              <w:left w:val="nil"/>
            </w:tcBorders>
          </w:tcPr>
          <w:p w14:paraId="715F6F9E" w14:textId="77777777" w:rsidR="00454D83" w:rsidRDefault="00454D83"/>
        </w:tc>
      </w:tr>
      <w:tr w:rsidR="00451496" w14:paraId="081F95A3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325F2D32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20–29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08559A14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48 h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5704AC9C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48 h</w:t>
            </w:r>
          </w:p>
        </w:tc>
        <w:tc>
          <w:tcPr>
            <w:tcW w:w="2394" w:type="dxa"/>
            <w:tcBorders>
              <w:right w:val="nil"/>
            </w:tcBorders>
            <w:vAlign w:val="center"/>
          </w:tcPr>
          <w:p w14:paraId="695EB11D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 mg/kg, every 48 h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70BD9A92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7.5 mg/kg, every 48 h</w:t>
            </w:r>
          </w:p>
        </w:tc>
        <w:tc>
          <w:tcPr>
            <w:tcW w:w="1834" w:type="dxa"/>
            <w:tcBorders>
              <w:left w:val="nil"/>
            </w:tcBorders>
            <w:vAlign w:val="center"/>
          </w:tcPr>
          <w:p w14:paraId="34DFC89A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48 h</w:t>
            </w:r>
          </w:p>
        </w:tc>
      </w:tr>
      <w:tr w:rsidR="00451496" w14:paraId="4321240C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3EBC51F3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10–19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59A0B8E8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mg/kg, every 48 h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05E2902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mg/kg, every 48 h</w:t>
            </w:r>
          </w:p>
        </w:tc>
        <w:tc>
          <w:tcPr>
            <w:tcW w:w="2394" w:type="dxa"/>
            <w:tcBorders>
              <w:right w:val="nil"/>
            </w:tcBorders>
            <w:vAlign w:val="center"/>
          </w:tcPr>
          <w:p w14:paraId="5FBFC80E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mg/kg, every 48 h 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5B6AB646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mg/kg, every 48 h</w:t>
            </w:r>
          </w:p>
        </w:tc>
        <w:tc>
          <w:tcPr>
            <w:tcW w:w="1834" w:type="dxa"/>
            <w:tcBorders>
              <w:left w:val="nil"/>
            </w:tcBorders>
            <w:vAlign w:val="center"/>
          </w:tcPr>
          <w:p w14:paraId="27DF7891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mg/kg, every 48 h</w:t>
            </w:r>
          </w:p>
        </w:tc>
      </w:tr>
      <w:tr w:rsidR="00451496" w14:paraId="7CB6D343" w14:textId="77777777">
        <w:tc>
          <w:tcPr>
            <w:tcW w:w="11544" w:type="dxa"/>
            <w:gridSpan w:val="5"/>
            <w:vAlign w:val="center"/>
          </w:tcPr>
          <w:p w14:paraId="6970C43D" w14:textId="46324E3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Target </w:t>
            </w:r>
            <w:r w:rsidR="009044B1">
              <w:rPr>
                <w:rFonts w:ascii="Times New Roman" w:eastAsia="Times New Roman" w:hAnsi="Times New Roman" w:cs="Times New Roman"/>
                <w:sz w:val="24"/>
              </w:rPr>
              <w:t xml:space="preserve">serum </w:t>
            </w:r>
            <w:r>
              <w:rPr>
                <w:rFonts w:ascii="Times New Roman" w:eastAsia="Times New Roman" w:hAnsi="Times New Roman" w:cs="Times New Roman"/>
                <w:sz w:val="24"/>
              </w:rPr>
              <w:t>concentration</w:t>
            </w:r>
          </w:p>
        </w:tc>
        <w:tc>
          <w:tcPr>
            <w:tcW w:w="1834" w:type="dxa"/>
            <w:tcBorders>
              <w:left w:val="nil"/>
            </w:tcBorders>
          </w:tcPr>
          <w:p w14:paraId="262536DF" w14:textId="77777777" w:rsidR="00454D83" w:rsidRDefault="00454D83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51496" w14:paraId="70021518" w14:textId="77777777">
        <w:tc>
          <w:tcPr>
            <w:tcW w:w="1876" w:type="dxa"/>
            <w:tcBorders>
              <w:right w:val="nil"/>
            </w:tcBorders>
            <w:vAlign w:val="center"/>
          </w:tcPr>
          <w:p w14:paraId="0CD3B1C5" w14:textId="77777777" w:rsidR="00454D83" w:rsidRDefault="0057238D">
            <w:pPr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Peak</w:t>
            </w:r>
          </w:p>
        </w:tc>
        <w:tc>
          <w:tcPr>
            <w:tcW w:w="2331" w:type="dxa"/>
            <w:tcBorders>
              <w:left w:val="nil"/>
              <w:right w:val="nil"/>
            </w:tcBorders>
            <w:vAlign w:val="center"/>
          </w:tcPr>
          <w:p w14:paraId="305792EE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≥15–20 μg/mL </w:t>
            </w:r>
          </w:p>
        </w:tc>
        <w:tc>
          <w:tcPr>
            <w:tcW w:w="2623" w:type="dxa"/>
            <w:tcBorders>
              <w:left w:val="nil"/>
            </w:tcBorders>
            <w:vAlign w:val="center"/>
          </w:tcPr>
          <w:p w14:paraId="2AAC8F6D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≥8–10 μg/mL</w:t>
            </w:r>
          </w:p>
        </w:tc>
        <w:tc>
          <w:tcPr>
            <w:tcW w:w="2394" w:type="dxa"/>
            <w:tcBorders>
              <w:right w:val="nil"/>
            </w:tcBorders>
            <w:vAlign w:val="center"/>
          </w:tcPr>
          <w:p w14:paraId="39070FB5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50–60 μg/mL</w:t>
            </w:r>
          </w:p>
        </w:tc>
        <w:tc>
          <w:tcPr>
            <w:tcW w:w="2320" w:type="dxa"/>
            <w:tcBorders>
              <w:left w:val="nil"/>
            </w:tcBorders>
            <w:vAlign w:val="center"/>
          </w:tcPr>
          <w:p w14:paraId="5EF254B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41–49 μg/mL</w:t>
            </w:r>
          </w:p>
        </w:tc>
        <w:tc>
          <w:tcPr>
            <w:tcW w:w="1834" w:type="dxa"/>
            <w:tcBorders>
              <w:left w:val="nil"/>
            </w:tcBorders>
          </w:tcPr>
          <w:p w14:paraId="11A7DE26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≥15 μg/mL</w:t>
            </w:r>
          </w:p>
        </w:tc>
      </w:tr>
      <w:tr w:rsidR="00451496" w14:paraId="1219D3AF" w14:textId="77777777" w:rsidTr="00B86202">
        <w:trPr>
          <w:trHeight w:val="70"/>
        </w:trPr>
        <w:tc>
          <w:tcPr>
            <w:tcW w:w="1876" w:type="dxa"/>
            <w:tcBorders>
              <w:right w:val="nil"/>
            </w:tcBorders>
            <w:vAlign w:val="center"/>
          </w:tcPr>
          <w:p w14:paraId="1AF029E4" w14:textId="77777777" w:rsidR="00454D83" w:rsidRDefault="0057238D">
            <w:pPr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Trough</w:t>
            </w:r>
          </w:p>
        </w:tc>
        <w:tc>
          <w:tcPr>
            <w:tcW w:w="4954" w:type="dxa"/>
            <w:gridSpan w:val="2"/>
            <w:tcBorders>
              <w:left w:val="nil"/>
            </w:tcBorders>
            <w:vAlign w:val="center"/>
          </w:tcPr>
          <w:p w14:paraId="0A83C029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游ゴシック" w:eastAsia="游ゴシック" w:hAnsi="游ゴシック" w:cs="游ゴシック"/>
                <w:sz w:val="24"/>
              </w:rPr>
              <w:t>＜</w:t>
            </w:r>
            <w:r>
              <w:rPr>
                <w:rFonts w:ascii="Times New Roman" w:eastAsia="Times New Roman" w:hAnsi="Times New Roman" w:cs="Times New Roman"/>
                <w:sz w:val="24"/>
              </w:rPr>
              <w:t>1 μg/mL</w:t>
            </w:r>
          </w:p>
        </w:tc>
        <w:tc>
          <w:tcPr>
            <w:tcW w:w="4714" w:type="dxa"/>
            <w:gridSpan w:val="2"/>
            <w:vAlign w:val="center"/>
          </w:tcPr>
          <w:p w14:paraId="7B6F9E70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游ゴシック" w:eastAsia="游ゴシック" w:hAnsi="游ゴシック" w:cs="游ゴシック"/>
                <w:sz w:val="24"/>
              </w:rPr>
              <w:t>＜</w:t>
            </w:r>
            <w:r>
              <w:rPr>
                <w:rFonts w:ascii="Times New Roman" w:eastAsia="Times New Roman" w:hAnsi="Times New Roman" w:cs="Times New Roman"/>
                <w:sz w:val="24"/>
              </w:rPr>
              <w:t>4 μg/mL</w:t>
            </w:r>
          </w:p>
        </w:tc>
        <w:tc>
          <w:tcPr>
            <w:tcW w:w="1834" w:type="dxa"/>
          </w:tcPr>
          <w:p w14:paraId="041E1BB6" w14:textId="77777777" w:rsidR="00454D83" w:rsidRDefault="0057238D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&lt;1–2 μg/mL</w:t>
            </w:r>
          </w:p>
        </w:tc>
      </w:tr>
    </w:tbl>
    <w:p w14:paraId="3D7DC335" w14:textId="263466B0" w:rsidR="00552C72" w:rsidRPr="00552C72" w:rsidRDefault="00D92F6B" w:rsidP="00552C72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ABK, arbekacin; AMK, amikacin; </w:t>
      </w:r>
      <w:r w:rsidR="00E00AFD">
        <w:rPr>
          <w:rFonts w:ascii="Times New Roman" w:eastAsia="Times New Roman" w:hAnsi="Times New Roman" w:cs="Times New Roman"/>
          <w:sz w:val="24"/>
        </w:rPr>
        <w:t>MIC, minim</w:t>
      </w:r>
      <w:r w:rsidR="0068742F">
        <w:rPr>
          <w:rFonts w:ascii="Times New Roman" w:eastAsia="Times New Roman" w:hAnsi="Times New Roman" w:cs="Times New Roman"/>
          <w:sz w:val="24"/>
        </w:rPr>
        <w:t xml:space="preserve">um inhibitory </w:t>
      </w:r>
      <w:r w:rsidR="000B7528">
        <w:rPr>
          <w:rFonts w:ascii="Times New Roman" w:eastAsia="Times New Roman" w:hAnsi="Times New Roman" w:cs="Times New Roman"/>
          <w:sz w:val="24"/>
        </w:rPr>
        <w:t xml:space="preserve">concentration; </w:t>
      </w:r>
      <w:r w:rsidR="007477BF">
        <w:rPr>
          <w:rFonts w:ascii="Times New Roman" w:eastAsia="Times New Roman" w:hAnsi="Times New Roman" w:cs="Times New Roman"/>
          <w:sz w:val="24"/>
        </w:rPr>
        <w:t>eGFR, estimated glomerular filtration rate; GM, gentamicin; TOB, tobramycin</w:t>
      </w:r>
    </w:p>
    <w:p w14:paraId="77487C08" w14:textId="77777777" w:rsidR="00454D83" w:rsidRDefault="0057238D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Gentamicin administration for infective endocarditis was deemed appropriate at an initial dose of 3 mg/kg/day. In this case, a peak concentration of ≥3 μg/mL and a trough concentration of &lt;1 μg/mL were considered appropriate.</w:t>
      </w:r>
    </w:p>
    <w:p w14:paraId="4EB12626" w14:textId="6FE4E9D9" w:rsidR="0097715B" w:rsidRDefault="0057238D" w:rsidP="00471A7F">
      <w:pPr>
        <w:rPr>
          <w:rFonts w:ascii="Times New Roman" w:hAnsi="Times New Roman" w:cs="Times New Roman"/>
          <w:sz w:val="24"/>
        </w:rPr>
      </w:pPr>
      <w:r w:rsidRPr="00471A7F">
        <w:rPr>
          <w:rFonts w:ascii="Times New Roman" w:hAnsi="Times New Roman" w:cs="Times New Roman"/>
          <w:sz w:val="24"/>
          <w:highlight w:val="yellow"/>
        </w:rPr>
        <w:t xml:space="preserve">When used at low doses in combination with other antimicrobial agents </w:t>
      </w:r>
      <w:r w:rsidR="00403688" w:rsidRPr="00471A7F">
        <w:rPr>
          <w:rFonts w:ascii="Times New Roman" w:hAnsi="Times New Roman" w:cs="Times New Roman"/>
          <w:sz w:val="24"/>
          <w:highlight w:val="yellow"/>
        </w:rPr>
        <w:t>for synergistic effect</w:t>
      </w:r>
      <w:r w:rsidR="00403688">
        <w:rPr>
          <w:rFonts w:ascii="Times New Roman" w:hAnsi="Times New Roman" w:cs="Times New Roman"/>
          <w:sz w:val="24"/>
          <w:highlight w:val="yellow"/>
        </w:rPr>
        <w:t>s</w:t>
      </w:r>
      <w:r w:rsidR="00403688" w:rsidRPr="00471A7F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against </w:t>
      </w:r>
      <w:r w:rsidR="009044B1">
        <w:rPr>
          <w:rFonts w:ascii="Times New Roman" w:hAnsi="Times New Roman" w:cs="Times New Roman"/>
          <w:sz w:val="24"/>
          <w:highlight w:val="yellow"/>
        </w:rPr>
        <w:t>g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ram-negative bacteria, gentamicin or tobramycin at 3 mg/kg for 24 </w:t>
      </w:r>
      <w:r w:rsidR="001C0BCB">
        <w:rPr>
          <w:rFonts w:ascii="Times New Roman" w:hAnsi="Times New Roman" w:cs="Times New Roman"/>
          <w:sz w:val="24"/>
          <w:highlight w:val="yellow"/>
        </w:rPr>
        <w:t>h</w:t>
      </w:r>
      <w:r w:rsidR="001C0BCB" w:rsidRPr="00471A7F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and amikacin at 400 mg for 24 </w:t>
      </w:r>
      <w:r w:rsidR="001C0BCB">
        <w:rPr>
          <w:rFonts w:ascii="Times New Roman" w:hAnsi="Times New Roman" w:cs="Times New Roman"/>
          <w:sz w:val="24"/>
          <w:highlight w:val="yellow"/>
        </w:rPr>
        <w:t>h</w:t>
      </w:r>
      <w:r w:rsidR="001C0BCB" w:rsidRPr="00471A7F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were </w:t>
      </w:r>
      <w:r w:rsidR="00DC2DE3">
        <w:rPr>
          <w:rFonts w:ascii="Times New Roman" w:hAnsi="Times New Roman" w:cs="Times New Roman"/>
          <w:sz w:val="24"/>
          <w:highlight w:val="yellow"/>
        </w:rPr>
        <w:t>considered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 appropriate.</w:t>
      </w:r>
      <w:r w:rsidR="001F0B85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For urinary tract infections caused by </w:t>
      </w:r>
      <w:r w:rsidR="00631058">
        <w:rPr>
          <w:rFonts w:ascii="Times New Roman" w:hAnsi="Times New Roman" w:cs="Times New Roman"/>
          <w:sz w:val="24"/>
          <w:highlight w:val="yellow"/>
        </w:rPr>
        <w:t>g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ram-negative bacteria, gentamicin or tobramycin at 3 mg/kg for 24 </w:t>
      </w:r>
      <w:r w:rsidR="001C0BCB">
        <w:rPr>
          <w:rFonts w:ascii="Times New Roman" w:hAnsi="Times New Roman" w:cs="Times New Roman"/>
          <w:sz w:val="24"/>
          <w:highlight w:val="yellow"/>
        </w:rPr>
        <w:t>h</w:t>
      </w:r>
      <w:r w:rsidR="001C0BCB" w:rsidRPr="00471A7F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and amikacin at 10 mg/kg for 24 </w:t>
      </w:r>
      <w:r w:rsidR="001C0BCB">
        <w:rPr>
          <w:rFonts w:ascii="Times New Roman" w:hAnsi="Times New Roman" w:cs="Times New Roman"/>
          <w:sz w:val="24"/>
          <w:highlight w:val="yellow"/>
        </w:rPr>
        <w:t>h</w:t>
      </w:r>
      <w:r w:rsidR="001C0BCB" w:rsidRPr="00471A7F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were also </w:t>
      </w:r>
      <w:r w:rsidR="00DC2DE3">
        <w:rPr>
          <w:rFonts w:ascii="Times New Roman" w:hAnsi="Times New Roman" w:cs="Times New Roman"/>
          <w:sz w:val="24"/>
          <w:highlight w:val="yellow"/>
        </w:rPr>
        <w:t>considered</w:t>
      </w:r>
      <w:r w:rsidRPr="00471A7F">
        <w:rPr>
          <w:rFonts w:ascii="Times New Roman" w:hAnsi="Times New Roman" w:cs="Times New Roman"/>
          <w:sz w:val="24"/>
          <w:highlight w:val="yellow"/>
        </w:rPr>
        <w:t xml:space="preserve"> appropriate.</w:t>
      </w:r>
      <w:r w:rsidR="00741E33">
        <w:rPr>
          <w:rFonts w:ascii="Times New Roman" w:hAnsi="Times New Roman" w:cs="Times New Roman" w:hint="eastAsia"/>
          <w:sz w:val="24"/>
        </w:rPr>
        <w:t xml:space="preserve"> </w:t>
      </w:r>
      <w:r w:rsidRPr="00741E33">
        <w:rPr>
          <w:rFonts w:ascii="Times New Roman" w:hAnsi="Times New Roman" w:cs="Times New Roman"/>
          <w:sz w:val="24"/>
          <w:highlight w:val="yellow"/>
        </w:rPr>
        <w:t xml:space="preserve">In both cases, peak concentrations were not clearly defined, </w:t>
      </w:r>
      <w:r w:rsidR="001C0BCB">
        <w:rPr>
          <w:rFonts w:ascii="Times New Roman" w:hAnsi="Times New Roman" w:cs="Times New Roman"/>
          <w:sz w:val="24"/>
          <w:highlight w:val="yellow"/>
        </w:rPr>
        <w:t>but</w:t>
      </w:r>
      <w:r w:rsidR="001C0BCB" w:rsidRPr="00741E33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741E33">
        <w:rPr>
          <w:rFonts w:ascii="Times New Roman" w:hAnsi="Times New Roman" w:cs="Times New Roman"/>
          <w:sz w:val="24"/>
          <w:highlight w:val="yellow"/>
        </w:rPr>
        <w:t>trough concentrations were evaluated.</w:t>
      </w:r>
    </w:p>
    <w:p w14:paraId="4AA4298B" w14:textId="73448DF7" w:rsidR="002821A4" w:rsidRDefault="0057238D" w:rsidP="002821A4">
      <w:pPr>
        <w:rPr>
          <w:rFonts w:ascii="Times New Roman" w:hAnsi="Times New Roman" w:cs="Times New Roman"/>
          <w:sz w:val="24"/>
        </w:rPr>
      </w:pPr>
      <w:r w:rsidRPr="00FF4A63">
        <w:rPr>
          <w:rFonts w:ascii="Times New Roman" w:hAnsi="Times New Roman" w:cs="Times New Roman"/>
          <w:sz w:val="24"/>
          <w:highlight w:val="yellow"/>
        </w:rPr>
        <w:t xml:space="preserve">In this study, adjusted body weight </w:t>
      </w:r>
      <w:r w:rsidR="00140D3A">
        <w:rPr>
          <w:rFonts w:ascii="Times New Roman" w:hAnsi="Times New Roman" w:cs="Times New Roman"/>
          <w:sz w:val="24"/>
          <w:highlight w:val="yellow"/>
        </w:rPr>
        <w:t>wa</w:t>
      </w:r>
      <w:r w:rsidRPr="00FF4A63">
        <w:rPr>
          <w:rFonts w:ascii="Times New Roman" w:hAnsi="Times New Roman" w:cs="Times New Roman"/>
          <w:sz w:val="24"/>
          <w:highlight w:val="yellow"/>
        </w:rPr>
        <w:t xml:space="preserve">s used to assess dose adequacy in patients with ≥20% of </w:t>
      </w:r>
      <w:r w:rsidR="00140D3A">
        <w:rPr>
          <w:rFonts w:ascii="Times New Roman" w:hAnsi="Times New Roman" w:cs="Times New Roman"/>
          <w:sz w:val="24"/>
          <w:highlight w:val="yellow"/>
        </w:rPr>
        <w:t xml:space="preserve">their </w:t>
      </w:r>
      <w:r w:rsidRPr="00FF4A63">
        <w:rPr>
          <w:rFonts w:ascii="Times New Roman" w:hAnsi="Times New Roman" w:cs="Times New Roman"/>
          <w:sz w:val="24"/>
          <w:highlight w:val="yellow"/>
        </w:rPr>
        <w:t>ideal body weight (IBW)</w:t>
      </w:r>
      <w:r w:rsidR="00140D3A">
        <w:rPr>
          <w:rFonts w:ascii="Times New Roman" w:hAnsi="Times New Roman" w:cs="Times New Roman"/>
          <w:sz w:val="24"/>
          <w:highlight w:val="yellow"/>
        </w:rPr>
        <w:t xml:space="preserve">, as follows: </w:t>
      </w:r>
      <w:r w:rsidRPr="00FF4A63">
        <w:rPr>
          <w:rFonts w:ascii="Times New Roman" w:hAnsi="Times New Roman" w:cs="Times New Roman"/>
          <w:sz w:val="24"/>
          <w:highlight w:val="yellow"/>
        </w:rPr>
        <w:t>IBW = A + 0.91 x [height – 152.4]</w:t>
      </w:r>
      <w:r w:rsidR="00140D3A">
        <w:rPr>
          <w:rFonts w:ascii="Times New Roman" w:hAnsi="Times New Roman" w:cs="Times New Roman"/>
          <w:sz w:val="24"/>
          <w:highlight w:val="yellow"/>
        </w:rPr>
        <w:t>, where</w:t>
      </w:r>
      <w:r w:rsidRPr="00FF4A63">
        <w:rPr>
          <w:rFonts w:ascii="Times New Roman" w:hAnsi="Times New Roman" w:cs="Times New Roman"/>
          <w:sz w:val="24"/>
          <w:highlight w:val="yellow"/>
        </w:rPr>
        <w:t xml:space="preserve"> A is 50 for men and 49.5 for women</w:t>
      </w:r>
      <w:r w:rsidR="00140D3A">
        <w:rPr>
          <w:rFonts w:ascii="Times New Roman" w:hAnsi="Times New Roman" w:cs="Times New Roman"/>
          <w:sz w:val="24"/>
          <w:highlight w:val="yellow"/>
        </w:rPr>
        <w:t>;</w:t>
      </w:r>
      <w:r w:rsidRPr="00FF4A63">
        <w:rPr>
          <w:rFonts w:ascii="Times New Roman" w:hAnsi="Times New Roman" w:cs="Times New Roman" w:hint="eastAsia"/>
          <w:sz w:val="24"/>
          <w:highlight w:val="yellow"/>
        </w:rPr>
        <w:t xml:space="preserve"> </w:t>
      </w:r>
      <w:r w:rsidR="00140D3A">
        <w:rPr>
          <w:rFonts w:ascii="Times New Roman" w:hAnsi="Times New Roman" w:cs="Times New Roman"/>
          <w:sz w:val="24"/>
          <w:highlight w:val="yellow"/>
        </w:rPr>
        <w:t>and a</w:t>
      </w:r>
      <w:r w:rsidRPr="00FF4A63">
        <w:rPr>
          <w:rFonts w:ascii="Times New Roman" w:hAnsi="Times New Roman" w:cs="Times New Roman"/>
          <w:sz w:val="24"/>
          <w:highlight w:val="yellow"/>
        </w:rPr>
        <w:t>djusted body weight (kg) = IBW + [0.4 x (actual body weight - IBW)]</w:t>
      </w:r>
      <w:r w:rsidR="00140D3A">
        <w:rPr>
          <w:rFonts w:ascii="Times New Roman" w:hAnsi="Times New Roman" w:cs="Times New Roman"/>
          <w:sz w:val="24"/>
        </w:rPr>
        <w:t>.</w:t>
      </w:r>
    </w:p>
    <w:p w14:paraId="1FF0665D" w14:textId="709E476B" w:rsidR="0097715B" w:rsidRPr="0097715B" w:rsidRDefault="0057238D">
      <w:pPr>
        <w:rPr>
          <w:rFonts w:ascii="Times New Roman" w:hAnsi="Times New Roman" w:cs="Times New Roman"/>
          <w:sz w:val="24"/>
        </w:rPr>
      </w:pPr>
      <w:r w:rsidRPr="00493BE2">
        <w:rPr>
          <w:rFonts w:ascii="Times New Roman" w:hAnsi="Times New Roman" w:cs="Times New Roman" w:hint="eastAsia"/>
          <w:sz w:val="24"/>
          <w:highlight w:val="yellow"/>
        </w:rPr>
        <w:t>B</w:t>
      </w:r>
      <w:r w:rsidRPr="00493BE2">
        <w:rPr>
          <w:rFonts w:ascii="Times New Roman" w:hAnsi="Times New Roman" w:cs="Times New Roman"/>
          <w:sz w:val="24"/>
          <w:highlight w:val="yellow"/>
        </w:rPr>
        <w:t>ased on adopted formulation standards and clinical practices, appropriate dose tolerances were less than ±100 mg for amikacin and less than ±60 mg for gentamicin, tobramycin, and arbekacin.</w:t>
      </w:r>
    </w:p>
    <w:p w14:paraId="32CB4494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References: Sanford Guide to Antimicrobial Therapy and TDM Guidelines developed by the Japanese Society of Chemotherapy</w:t>
      </w:r>
    </w:p>
    <w:p w14:paraId="3B12BD67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游明朝" w:eastAsia="游明朝" w:hAnsi="游明朝" w:cs="游明朝"/>
          <w:sz w:val="24"/>
        </w:rPr>
        <w:br w:type="page"/>
      </w:r>
      <w:r w:rsidRPr="0057238D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S2.</w:t>
      </w:r>
      <w:r>
        <w:rPr>
          <w:rFonts w:ascii="Times New Roman" w:eastAsia="Times New Roman" w:hAnsi="Times New Roman" w:cs="Times New Roman"/>
          <w:sz w:val="24"/>
        </w:rPr>
        <w:t xml:space="preserve"> Appropriateness of aminoglycoside use</w:t>
      </w:r>
    </w:p>
    <w:tbl>
      <w:tblPr>
        <w:tblStyle w:val="a3"/>
        <w:tblW w:w="13142" w:type="dxa"/>
        <w:tblLook w:val="04A0" w:firstRow="1" w:lastRow="0" w:firstColumn="1" w:lastColumn="0" w:noHBand="0" w:noVBand="1"/>
      </w:tblPr>
      <w:tblGrid>
        <w:gridCol w:w="1656"/>
        <w:gridCol w:w="4388"/>
        <w:gridCol w:w="3475"/>
        <w:gridCol w:w="2341"/>
        <w:gridCol w:w="1282"/>
      </w:tblGrid>
      <w:tr w:rsidR="00451496" w14:paraId="2E8E4E17" w14:textId="77777777">
        <w:tc>
          <w:tcPr>
            <w:tcW w:w="1430" w:type="dxa"/>
          </w:tcPr>
          <w:p w14:paraId="58F8F7E0" w14:textId="77777777" w:rsidR="00454D83" w:rsidRDefault="00454D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505" w:type="dxa"/>
          </w:tcPr>
          <w:p w14:paraId="624A35F2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Clinical definition</w:t>
            </w:r>
          </w:p>
        </w:tc>
        <w:tc>
          <w:tcPr>
            <w:tcW w:w="3530" w:type="dxa"/>
          </w:tcPr>
          <w:p w14:paraId="5404827E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Example</w:t>
            </w:r>
          </w:p>
        </w:tc>
        <w:tc>
          <w:tcPr>
            <w:tcW w:w="2395" w:type="dxa"/>
          </w:tcPr>
          <w:p w14:paraId="4C0F0619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Duration</w:t>
            </w:r>
          </w:p>
        </w:tc>
        <w:tc>
          <w:tcPr>
            <w:tcW w:w="1282" w:type="dxa"/>
          </w:tcPr>
          <w:p w14:paraId="7769BD41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References</w:t>
            </w:r>
          </w:p>
        </w:tc>
      </w:tr>
      <w:tr w:rsidR="00451496" w14:paraId="311EB639" w14:textId="77777777">
        <w:trPr>
          <w:trHeight w:val="724"/>
        </w:trPr>
        <w:tc>
          <w:tcPr>
            <w:tcW w:w="1430" w:type="dxa"/>
            <w:vMerge w:val="restart"/>
          </w:tcPr>
          <w:p w14:paraId="24569C5A" w14:textId="29459DE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Recommend</w:t>
            </w:r>
            <w:r w:rsidR="00802F68">
              <w:rPr>
                <w:rFonts w:ascii="Times New Roman" w:eastAsia="Times New Roman" w:hAnsi="Times New Roman" w:cs="Times New Roman"/>
                <w:sz w:val="24"/>
              </w:rPr>
              <w:t>ed</w:t>
            </w:r>
          </w:p>
        </w:tc>
        <w:tc>
          <w:tcPr>
            <w:tcW w:w="4505" w:type="dxa"/>
            <w:vMerge w:val="restart"/>
          </w:tcPr>
          <w:p w14:paraId="29B8F3ED" w14:textId="77777777" w:rsidR="00454D83" w:rsidRDefault="0057238D">
            <w:pPr>
              <w:pStyle w:val="a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Listed as a first-line drug in global guidelines</w:t>
            </w:r>
          </w:p>
          <w:p w14:paraId="37728CA9" w14:textId="77777777" w:rsidR="00454D83" w:rsidRDefault="0057238D">
            <w:pPr>
              <w:pStyle w:val="aa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 alternatives available</w:t>
            </w:r>
          </w:p>
        </w:tc>
        <w:tc>
          <w:tcPr>
            <w:tcW w:w="3530" w:type="dxa"/>
          </w:tcPr>
          <w:p w14:paraId="408B06C3" w14:textId="280744E1" w:rsidR="00454D83" w:rsidRPr="006B1060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>Combination therapy with gentamicin for prosthetic valve endocarditis of Gram-positive cocci</w:t>
            </w:r>
          </w:p>
        </w:tc>
        <w:tc>
          <w:tcPr>
            <w:tcW w:w="2395" w:type="dxa"/>
          </w:tcPr>
          <w:p w14:paraId="308F38BD" w14:textId="2DBFF3E8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2 weeks</w:t>
            </w:r>
          </w:p>
          <w:p w14:paraId="01807298" w14:textId="37FCD47D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2 to 6 weeks for Enterococci</w:t>
            </w:r>
          </w:p>
        </w:tc>
        <w:tc>
          <w:tcPr>
            <w:tcW w:w="1282" w:type="dxa"/>
          </w:tcPr>
          <w:p w14:paraId="37B8F315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[1, 2]</w:t>
            </w:r>
          </w:p>
          <w:p w14:paraId="6674FD1A" w14:textId="77777777" w:rsidR="00454D83" w:rsidRPr="006B1060" w:rsidRDefault="00454D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51496" w14:paraId="2F126F03" w14:textId="77777777">
        <w:trPr>
          <w:trHeight w:val="723"/>
        </w:trPr>
        <w:tc>
          <w:tcPr>
            <w:tcW w:w="1430" w:type="dxa"/>
            <w:vMerge/>
            <w:tcBorders>
              <w:top w:val="nil"/>
              <w:bottom w:val="nil"/>
            </w:tcBorders>
          </w:tcPr>
          <w:p w14:paraId="02417224" w14:textId="77777777" w:rsidR="00454D83" w:rsidRDefault="00454D83"/>
        </w:tc>
        <w:tc>
          <w:tcPr>
            <w:tcW w:w="4505" w:type="dxa"/>
            <w:vMerge/>
            <w:tcBorders>
              <w:top w:val="nil"/>
              <w:bottom w:val="nil"/>
            </w:tcBorders>
          </w:tcPr>
          <w:p w14:paraId="23C482DB" w14:textId="77777777" w:rsidR="00454D83" w:rsidRDefault="00454D83"/>
        </w:tc>
        <w:tc>
          <w:tcPr>
            <w:tcW w:w="3530" w:type="dxa"/>
          </w:tcPr>
          <w:p w14:paraId="668DA2EE" w14:textId="57396DDE" w:rsidR="00454D83" w:rsidRPr="00940785" w:rsidRDefault="0057238D" w:rsidP="00940785">
            <w:pPr>
              <w:pStyle w:val="aa"/>
              <w:ind w:left="440" w:hanging="440"/>
              <w:rPr>
                <w:rFonts w:eastAsia="Times New Roman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 xml:space="preserve">Combination therapy for </w:t>
            </w:r>
            <w:r w:rsidR="007477BF" w:rsidRPr="006B1060">
              <w:rPr>
                <w:rFonts w:ascii="Times New Roman" w:eastAsia="Times New Roman" w:hAnsi="Times New Roman" w:cs="Times New Roman"/>
                <w:i/>
                <w:sz w:val="24"/>
              </w:rPr>
              <w:t>Mycobacterium abscessus</w:t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 xml:space="preserve"> infections</w:t>
            </w:r>
            <w:r w:rsidR="007477BF" w:rsidRPr="00940785">
              <w:tab/>
            </w:r>
          </w:p>
        </w:tc>
        <w:tc>
          <w:tcPr>
            <w:tcW w:w="2395" w:type="dxa"/>
          </w:tcPr>
          <w:p w14:paraId="62B0717B" w14:textId="797084A4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4 to 12 weeks</w:t>
            </w:r>
          </w:p>
        </w:tc>
        <w:tc>
          <w:tcPr>
            <w:tcW w:w="1282" w:type="dxa"/>
          </w:tcPr>
          <w:p w14:paraId="25FE608A" w14:textId="5608DF41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6B1060" w:rsidRPr="006B1060">
              <w:rPr>
                <w:rFonts w:ascii="Times New Roman" w:hAnsi="Times New Roman" w:cs="Times New Roman"/>
                <w:sz w:val="24"/>
              </w:rPr>
              <w:t>5</w:t>
            </w:r>
            <w:r w:rsidRPr="006B1060"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09CFBFBC" w14:textId="77777777">
        <w:trPr>
          <w:trHeight w:val="723"/>
        </w:trPr>
        <w:tc>
          <w:tcPr>
            <w:tcW w:w="1430" w:type="dxa"/>
            <w:vMerge/>
            <w:tcBorders>
              <w:top w:val="nil"/>
            </w:tcBorders>
          </w:tcPr>
          <w:p w14:paraId="7139A505" w14:textId="77777777" w:rsidR="00454D83" w:rsidRDefault="00454D83"/>
        </w:tc>
        <w:tc>
          <w:tcPr>
            <w:tcW w:w="4505" w:type="dxa"/>
            <w:vMerge/>
            <w:tcBorders>
              <w:top w:val="nil"/>
            </w:tcBorders>
          </w:tcPr>
          <w:p w14:paraId="4B7CB657" w14:textId="77777777" w:rsidR="00454D83" w:rsidRDefault="00454D83"/>
        </w:tc>
        <w:tc>
          <w:tcPr>
            <w:tcW w:w="3530" w:type="dxa"/>
          </w:tcPr>
          <w:p w14:paraId="0A6BF576" w14:textId="5138BEAE" w:rsidR="00454D83" w:rsidRPr="006B1060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>Infections caused by Gram-negative bacteria sensitive only to aminoglycosides</w:t>
            </w:r>
          </w:p>
        </w:tc>
        <w:tc>
          <w:tcPr>
            <w:tcW w:w="2395" w:type="dxa"/>
          </w:tcPr>
          <w:p w14:paraId="6AB458C7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Within 2 weeks</w:t>
            </w:r>
            <w:r w:rsidRPr="006B1060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282" w:type="dxa"/>
          </w:tcPr>
          <w:p w14:paraId="23BEAAE1" w14:textId="0BAEC889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556793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6B1060"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0A20451A" w14:textId="77777777" w:rsidTr="003E1073">
        <w:trPr>
          <w:trHeight w:val="1236"/>
        </w:trPr>
        <w:tc>
          <w:tcPr>
            <w:tcW w:w="1430" w:type="dxa"/>
            <w:vMerge w:val="restart"/>
          </w:tcPr>
          <w:p w14:paraId="01FB3284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Optional</w:t>
            </w:r>
          </w:p>
        </w:tc>
        <w:tc>
          <w:tcPr>
            <w:tcW w:w="4505" w:type="dxa"/>
            <w:vMerge w:val="restart"/>
          </w:tcPr>
          <w:p w14:paraId="1CCDB3AB" w14:textId="77777777" w:rsidR="00454D83" w:rsidRDefault="0057238D">
            <w:pPr>
              <w:pStyle w:val="a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Listed as a secondary option in guidelines, or not explicitly mentioned but used when other drugs are ineffective</w:t>
            </w:r>
          </w:p>
          <w:p w14:paraId="1A726611" w14:textId="77777777" w:rsidR="00454D83" w:rsidRDefault="0057238D">
            <w:pPr>
              <w:pStyle w:val="a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Use of aminoglycosides is justified based on the literature</w:t>
            </w:r>
          </w:p>
        </w:tc>
        <w:tc>
          <w:tcPr>
            <w:tcW w:w="3530" w:type="dxa"/>
          </w:tcPr>
          <w:p w14:paraId="31C25479" w14:textId="08F7FBAC" w:rsidR="00454D83" w:rsidRPr="006B1060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>Combination with cefazolin for open fractures (Gustilo classification III or higher)</w:t>
            </w:r>
          </w:p>
        </w:tc>
        <w:tc>
          <w:tcPr>
            <w:tcW w:w="2395" w:type="dxa"/>
          </w:tcPr>
          <w:p w14:paraId="072F6593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Within 24 h of wound closure</w:t>
            </w:r>
          </w:p>
          <w:p w14:paraId="4058740C" w14:textId="717D6044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If the wound cannot be closed within 72 h</w:t>
            </w:r>
          </w:p>
        </w:tc>
        <w:tc>
          <w:tcPr>
            <w:tcW w:w="1282" w:type="dxa"/>
          </w:tcPr>
          <w:p w14:paraId="1C68BA51" w14:textId="512CEC4F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556793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6B1060"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1C6496BB" w14:textId="77777777">
        <w:trPr>
          <w:trHeight w:val="643"/>
        </w:trPr>
        <w:tc>
          <w:tcPr>
            <w:tcW w:w="1430" w:type="dxa"/>
            <w:vMerge/>
            <w:tcBorders>
              <w:top w:val="nil"/>
            </w:tcBorders>
          </w:tcPr>
          <w:p w14:paraId="13079BB0" w14:textId="77777777" w:rsidR="00454D83" w:rsidRDefault="00454D83"/>
        </w:tc>
        <w:tc>
          <w:tcPr>
            <w:tcW w:w="4505" w:type="dxa"/>
            <w:vMerge/>
            <w:tcBorders>
              <w:top w:val="nil"/>
            </w:tcBorders>
          </w:tcPr>
          <w:p w14:paraId="25EC6CFB" w14:textId="77777777" w:rsidR="00454D83" w:rsidRDefault="00454D83"/>
        </w:tc>
        <w:tc>
          <w:tcPr>
            <w:tcW w:w="3530" w:type="dxa"/>
          </w:tcPr>
          <w:p w14:paraId="7A1D9BF1" w14:textId="2C7E9C86" w:rsidR="00454D83" w:rsidRPr="006B1060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>Febrile neutropenia not responding to carbapenem therapy</w:t>
            </w:r>
          </w:p>
        </w:tc>
        <w:tc>
          <w:tcPr>
            <w:tcW w:w="2395" w:type="dxa"/>
          </w:tcPr>
          <w:p w14:paraId="5CF466AF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Until clinically recovered and afebrile for 72 h</w:t>
            </w:r>
          </w:p>
        </w:tc>
        <w:tc>
          <w:tcPr>
            <w:tcW w:w="1282" w:type="dxa"/>
          </w:tcPr>
          <w:p w14:paraId="2714246A" w14:textId="1AF9766F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556793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6B1060"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70C828DA" w14:textId="77777777">
        <w:trPr>
          <w:trHeight w:val="643"/>
        </w:trPr>
        <w:tc>
          <w:tcPr>
            <w:tcW w:w="1430" w:type="dxa"/>
            <w:vMerge/>
            <w:tcBorders>
              <w:top w:val="nil"/>
            </w:tcBorders>
          </w:tcPr>
          <w:p w14:paraId="59F73AC8" w14:textId="77777777" w:rsidR="00454D83" w:rsidRDefault="00454D83"/>
        </w:tc>
        <w:tc>
          <w:tcPr>
            <w:tcW w:w="4505" w:type="dxa"/>
            <w:vMerge/>
            <w:tcBorders>
              <w:top w:val="nil"/>
            </w:tcBorders>
          </w:tcPr>
          <w:p w14:paraId="7C96E2FE" w14:textId="77777777" w:rsidR="00454D83" w:rsidRDefault="00454D83"/>
        </w:tc>
        <w:tc>
          <w:tcPr>
            <w:tcW w:w="3530" w:type="dxa"/>
          </w:tcPr>
          <w:p w14:paraId="438F3065" w14:textId="10478C83" w:rsidR="00454D83" w:rsidRPr="006B1060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 w:rsidR="007477BF" w:rsidRPr="006B1060">
              <w:rPr>
                <w:rFonts w:ascii="Times New Roman" w:eastAsia="Wingdings" w:hAnsi="Times New Roman" w:cs="Times New Roman"/>
                <w:sz w:val="24"/>
              </w:rPr>
              <w:tab/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 xml:space="preserve">Combination therapy for </w:t>
            </w:r>
            <w:r w:rsidR="007477BF" w:rsidRPr="006B1060">
              <w:rPr>
                <w:rFonts w:ascii="Times New Roman" w:eastAsia="Times New Roman" w:hAnsi="Times New Roman" w:cs="Times New Roman"/>
                <w:i/>
                <w:sz w:val="24"/>
              </w:rPr>
              <w:t>Pseudomonas aeruginosa</w:t>
            </w:r>
            <w:r w:rsidR="007477BF" w:rsidRPr="006B1060">
              <w:rPr>
                <w:rFonts w:ascii="Times New Roman" w:eastAsia="Times New Roman" w:hAnsi="Times New Roman" w:cs="Times New Roman"/>
                <w:sz w:val="24"/>
              </w:rPr>
              <w:t xml:space="preserve"> resistant to standard treatment</w:t>
            </w:r>
          </w:p>
        </w:tc>
        <w:tc>
          <w:tcPr>
            <w:tcW w:w="2395" w:type="dxa"/>
          </w:tcPr>
          <w:p w14:paraId="674071EC" w14:textId="77777777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Within 2 weeks</w:t>
            </w:r>
            <w:r w:rsidRPr="006B1060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282" w:type="dxa"/>
          </w:tcPr>
          <w:p w14:paraId="2E5F65C5" w14:textId="3319B4E5" w:rsidR="00454D83" w:rsidRPr="006B1060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 w:rsidRPr="006B1060"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556793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6B1060"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7D93B8F1" w14:textId="77777777">
        <w:trPr>
          <w:trHeight w:val="725"/>
        </w:trPr>
        <w:tc>
          <w:tcPr>
            <w:tcW w:w="1430" w:type="dxa"/>
            <w:vMerge w:val="restart"/>
          </w:tcPr>
          <w:p w14:paraId="49D4344C" w14:textId="3BEEC506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Not recommend</w:t>
            </w:r>
            <w:r w:rsidR="00802F68">
              <w:rPr>
                <w:rFonts w:ascii="Times New Roman" w:eastAsia="Times New Roman" w:hAnsi="Times New Roman" w:cs="Times New Roman"/>
                <w:sz w:val="24"/>
              </w:rPr>
              <w:t>ed</w:t>
            </w:r>
          </w:p>
        </w:tc>
        <w:tc>
          <w:tcPr>
            <w:tcW w:w="4505" w:type="dxa"/>
            <w:vMerge w:val="restart"/>
          </w:tcPr>
          <w:p w14:paraId="6CE7203F" w14:textId="77777777" w:rsidR="00454D83" w:rsidRDefault="0057238D">
            <w:pPr>
              <w:pStyle w:val="a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Safer and more effective alternatives, including β-lactam antibiotics, are available</w:t>
            </w:r>
          </w:p>
          <w:p w14:paraId="79CD0C84" w14:textId="77777777" w:rsidR="00454D83" w:rsidRDefault="0057238D">
            <w:pPr>
              <w:pStyle w:val="aa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Use without identifying the infection focus</w:t>
            </w:r>
          </w:p>
        </w:tc>
        <w:tc>
          <w:tcPr>
            <w:tcW w:w="3530" w:type="dxa"/>
          </w:tcPr>
          <w:p w14:paraId="4A661911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Infections caused by Enterobacteriaceae with good susceptibility</w:t>
            </w:r>
          </w:p>
        </w:tc>
        <w:tc>
          <w:tcPr>
            <w:tcW w:w="2395" w:type="dxa"/>
            <w:vMerge w:val="restart"/>
          </w:tcPr>
          <w:p w14:paraId="49DC776B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Within 2 weeks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1282" w:type="dxa"/>
            <w:vMerge w:val="restart"/>
          </w:tcPr>
          <w:p w14:paraId="29DE2056" w14:textId="61403098" w:rsidR="00454D83" w:rsidRDefault="0057238D">
            <w:pPr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[1</w:t>
            </w:r>
            <w:r w:rsidR="00556793"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]</w:t>
            </w:r>
          </w:p>
        </w:tc>
      </w:tr>
      <w:tr w:rsidR="00451496" w14:paraId="6567462D" w14:textId="77777777">
        <w:trPr>
          <w:trHeight w:val="725"/>
        </w:trPr>
        <w:tc>
          <w:tcPr>
            <w:tcW w:w="1430" w:type="dxa"/>
            <w:vMerge/>
            <w:tcBorders>
              <w:top w:val="nil"/>
            </w:tcBorders>
          </w:tcPr>
          <w:p w14:paraId="272AF741" w14:textId="77777777" w:rsidR="00454D83" w:rsidRDefault="00454D83"/>
        </w:tc>
        <w:tc>
          <w:tcPr>
            <w:tcW w:w="4505" w:type="dxa"/>
            <w:vMerge/>
            <w:tcBorders>
              <w:top w:val="nil"/>
            </w:tcBorders>
          </w:tcPr>
          <w:p w14:paraId="365C3C46" w14:textId="77777777" w:rsidR="00454D83" w:rsidRDefault="00454D83"/>
        </w:tc>
        <w:tc>
          <w:tcPr>
            <w:tcW w:w="3530" w:type="dxa"/>
          </w:tcPr>
          <w:p w14:paraId="0B812419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Administration based solely on the presence of fever</w:t>
            </w:r>
          </w:p>
        </w:tc>
        <w:tc>
          <w:tcPr>
            <w:tcW w:w="2395" w:type="dxa"/>
            <w:vMerge/>
            <w:tcBorders>
              <w:top w:val="nil"/>
            </w:tcBorders>
          </w:tcPr>
          <w:p w14:paraId="74527E50" w14:textId="77777777" w:rsidR="00454D83" w:rsidRDefault="00454D83"/>
        </w:tc>
        <w:tc>
          <w:tcPr>
            <w:tcW w:w="1282" w:type="dxa"/>
            <w:vMerge/>
            <w:tcBorders>
              <w:top w:val="nil"/>
            </w:tcBorders>
          </w:tcPr>
          <w:p w14:paraId="1BC4BBD9" w14:textId="77777777" w:rsidR="00454D83" w:rsidRDefault="00454D83"/>
        </w:tc>
      </w:tr>
    </w:tbl>
    <w:p w14:paraId="45FC1E17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</w:rPr>
        <w:t>Follow guidelines for deep abscesses</w:t>
      </w:r>
    </w:p>
    <w:p w14:paraId="741B27DA" w14:textId="77777777" w:rsidR="00454D83" w:rsidRDefault="0057238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 addition to these, the Sanford Guide to Antimicrobial Therapy was used as a reference (</w:t>
      </w:r>
      <w:hyperlink r:id="rId8" w:history="1">
        <w:r w:rsidR="00454D83">
          <w:rPr>
            <w:rStyle w:val="ad"/>
            <w:rFonts w:ascii="Times New Roman" w:eastAsia="Times New Roman" w:hAnsi="Times New Roman" w:cs="Times New Roman"/>
            <w:sz w:val="24"/>
          </w:rPr>
          <w:t>https://www.sanfordguide.com/</w:t>
        </w:r>
      </w:hyperlink>
      <w:r>
        <w:rPr>
          <w:rFonts w:ascii="Times New Roman" w:eastAsia="Times New Roman" w:hAnsi="Times New Roman" w:cs="Times New Roman"/>
          <w:sz w:val="24"/>
        </w:rPr>
        <w:t>, 2024.9.8).</w:t>
      </w:r>
    </w:p>
    <w:p w14:paraId="50D4CBAF" w14:textId="77777777" w:rsidR="00454D83" w:rsidRDefault="0057238D">
      <w:pPr>
        <w:widowControl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游明朝" w:eastAsia="游明朝" w:hAnsi="游明朝" w:cs="游明朝"/>
          <w:sz w:val="24"/>
        </w:rPr>
        <w:br w:type="page"/>
      </w:r>
      <w:r w:rsidRPr="0057238D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S3.</w:t>
      </w:r>
      <w:r>
        <w:rPr>
          <w:rFonts w:ascii="Times New Roman" w:eastAsia="Times New Roman" w:hAnsi="Times New Roman" w:cs="Times New Roman"/>
          <w:sz w:val="24"/>
        </w:rPr>
        <w:t xml:space="preserve"> Clinical endpoints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4"/>
        <w:gridCol w:w="2042"/>
        <w:gridCol w:w="8357"/>
      </w:tblGrid>
      <w:tr w:rsidR="00451496" w14:paraId="1C421435" w14:textId="77777777">
        <w:tc>
          <w:tcPr>
            <w:tcW w:w="2354" w:type="dxa"/>
          </w:tcPr>
          <w:p w14:paraId="0E96CB39" w14:textId="77777777" w:rsidR="00454D83" w:rsidRDefault="00454D8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42" w:type="dxa"/>
          </w:tcPr>
          <w:p w14:paraId="49FF0A98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Terms</w:t>
            </w:r>
          </w:p>
        </w:tc>
        <w:tc>
          <w:tcPr>
            <w:tcW w:w="8357" w:type="dxa"/>
          </w:tcPr>
          <w:p w14:paraId="58464E98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Definition</w:t>
            </w:r>
          </w:p>
        </w:tc>
      </w:tr>
      <w:tr w:rsidR="00451496" w14:paraId="36725C7F" w14:textId="77777777">
        <w:tc>
          <w:tcPr>
            <w:tcW w:w="2354" w:type="dxa"/>
            <w:vMerge w:val="restart"/>
          </w:tcPr>
          <w:p w14:paraId="2E0DF9D1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Clinical effectiveness</w:t>
            </w:r>
          </w:p>
        </w:tc>
        <w:tc>
          <w:tcPr>
            <w:tcW w:w="2042" w:type="dxa"/>
          </w:tcPr>
          <w:p w14:paraId="6935821E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Effective</w:t>
            </w:r>
          </w:p>
        </w:tc>
        <w:tc>
          <w:tcPr>
            <w:tcW w:w="8357" w:type="dxa"/>
          </w:tcPr>
          <w:p w14:paraId="44CDA5C5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Fever has resolved, localized infection has improved, or cultures are negative, and antimicrobial therapy has been completed</w:t>
            </w:r>
          </w:p>
          <w:p w14:paraId="205D4D7C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Improvement in inflammatory markers (procalcitonin, C-reactive protein, white blood cell count) and completion of the guideline dosing period (e.g., 2 weeks of gentamicin for streptococcal endocarditis)</w:t>
            </w:r>
          </w:p>
        </w:tc>
      </w:tr>
      <w:tr w:rsidR="00451496" w14:paraId="0C231C62" w14:textId="77777777">
        <w:tc>
          <w:tcPr>
            <w:tcW w:w="2354" w:type="dxa"/>
            <w:vMerge/>
            <w:tcBorders>
              <w:top w:val="nil"/>
              <w:bottom w:val="nil"/>
            </w:tcBorders>
          </w:tcPr>
          <w:p w14:paraId="5C5354CB" w14:textId="77777777" w:rsidR="00454D83" w:rsidRDefault="00454D83"/>
        </w:tc>
        <w:tc>
          <w:tcPr>
            <w:tcW w:w="2042" w:type="dxa"/>
          </w:tcPr>
          <w:p w14:paraId="03E8D5BA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Not effective</w:t>
            </w:r>
          </w:p>
        </w:tc>
        <w:tc>
          <w:tcPr>
            <w:tcW w:w="8357" w:type="dxa"/>
          </w:tcPr>
          <w:p w14:paraId="165BFC37" w14:textId="71E2F208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Persistent fever or local findings of infection (e.g., sputum or decreased oxygenation in the case of pneumonia) and a change from an aminoglycoside to another antibacterial or death</w:t>
            </w:r>
          </w:p>
          <w:p w14:paraId="61E793EF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Failure to complete the dosing period specified in the guidelines due to adverse events</w:t>
            </w:r>
          </w:p>
        </w:tc>
      </w:tr>
      <w:tr w:rsidR="00451496" w14:paraId="77778701" w14:textId="77777777">
        <w:tc>
          <w:tcPr>
            <w:tcW w:w="2354" w:type="dxa"/>
            <w:vMerge/>
            <w:tcBorders>
              <w:top w:val="nil"/>
            </w:tcBorders>
          </w:tcPr>
          <w:p w14:paraId="3A0485F0" w14:textId="77777777" w:rsidR="00454D83" w:rsidRDefault="00454D83"/>
        </w:tc>
        <w:tc>
          <w:tcPr>
            <w:tcW w:w="2042" w:type="dxa"/>
          </w:tcPr>
          <w:p w14:paraId="5A9313B7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Unnecessary use</w:t>
            </w:r>
          </w:p>
        </w:tc>
        <w:tc>
          <w:tcPr>
            <w:tcW w:w="8357" w:type="dxa"/>
          </w:tcPr>
          <w:p w14:paraId="576830EA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When the source of the organism or the focus of infection is identified, and the patient is switched from an aminoglycoside to another antimicrobial</w:t>
            </w:r>
          </w:p>
          <w:p w14:paraId="53296E41" w14:textId="77777777" w:rsidR="00454D83" w:rsidRDefault="0057238D">
            <w:pPr>
              <w:pStyle w:val="aa"/>
              <w:ind w:left="440" w:hanging="4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Wingdings" w:eastAsia="Wingdings" w:hAnsi="Wingdings" w:cs="Wingdings"/>
                <w:sz w:val="24"/>
              </w:rPr>
              <w:t>l</w:t>
            </w:r>
            <w:r>
              <w:rPr>
                <w:rFonts w:ascii="Wingdings" w:eastAsia="Wingdings" w:hAnsi="Wingdings" w:cs="Wingdings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Intent to use and intent to terminate are unknown</w:t>
            </w:r>
          </w:p>
        </w:tc>
      </w:tr>
      <w:tr w:rsidR="00451496" w14:paraId="09689F85" w14:textId="77777777">
        <w:tc>
          <w:tcPr>
            <w:tcW w:w="2354" w:type="dxa"/>
          </w:tcPr>
          <w:p w14:paraId="3F8337EF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Adverse events</w:t>
            </w:r>
          </w:p>
        </w:tc>
        <w:tc>
          <w:tcPr>
            <w:tcW w:w="2042" w:type="dxa"/>
          </w:tcPr>
          <w:p w14:paraId="2805AE5B" w14:textId="77777777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Renal impairment</w:t>
            </w:r>
          </w:p>
        </w:tc>
        <w:tc>
          <w:tcPr>
            <w:tcW w:w="8357" w:type="dxa"/>
          </w:tcPr>
          <w:p w14:paraId="7CFEAD6D" w14:textId="249663ED" w:rsidR="00454D83" w:rsidRDefault="0057238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Serum creatinine level increased by &gt;0.3 mg/dL from the start to the end of aminoglycoside use, or if the level increased by ≥1.5. Reference no. [1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] </w:t>
            </w:r>
          </w:p>
        </w:tc>
      </w:tr>
    </w:tbl>
    <w:p w14:paraId="0DBC6B2A" w14:textId="77777777" w:rsidR="00454D83" w:rsidRDefault="00454D83">
      <w:pPr>
        <w:rPr>
          <w:rFonts w:ascii="Times New Roman" w:eastAsia="Times New Roman" w:hAnsi="Times New Roman" w:cs="Times New Roman"/>
          <w:sz w:val="24"/>
        </w:rPr>
      </w:pPr>
    </w:p>
    <w:sectPr w:rsidR="00454D83" w:rsidSect="00B01C6D">
      <w:footerReference w:type="default" r:id="rId9"/>
      <w:pgSz w:w="16838" w:h="11906" w:orient="landscape"/>
      <w:pgMar w:top="567" w:right="1245" w:bottom="851" w:left="993" w:header="851" w:footer="2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EEAFA" w14:textId="77777777" w:rsidR="0057238D" w:rsidRDefault="0057238D">
      <w:r>
        <w:separator/>
      </w:r>
    </w:p>
  </w:endnote>
  <w:endnote w:type="continuationSeparator" w:id="0">
    <w:p w14:paraId="190871EB" w14:textId="77777777" w:rsidR="0057238D" w:rsidRDefault="00572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E9223" w14:textId="77777777" w:rsidR="00454D83" w:rsidRDefault="0057238D">
    <w:pPr>
      <w:pStyle w:val="ac"/>
      <w:jc w:val="center"/>
      <w:rPr>
        <w:rFonts w:ascii="Times New Roman" w:eastAsia="Times New Roman" w:hAnsi="Times New Roman" w:cs="Times New Roman"/>
        <w:sz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0D29281A" w14:textId="77777777" w:rsidR="00454D83" w:rsidRDefault="00454D8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17E53" w14:textId="77777777" w:rsidR="0057238D" w:rsidRDefault="0057238D">
      <w:r>
        <w:separator/>
      </w:r>
    </w:p>
  </w:footnote>
  <w:footnote w:type="continuationSeparator" w:id="0">
    <w:p w14:paraId="511F9BB8" w14:textId="77777777" w:rsidR="0057238D" w:rsidRDefault="00572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F3D25"/>
    <w:multiLevelType w:val="multilevel"/>
    <w:tmpl w:val="ECE80A6E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BE732F4"/>
    <w:multiLevelType w:val="multilevel"/>
    <w:tmpl w:val="FB94E5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21684550"/>
    <w:multiLevelType w:val="multilevel"/>
    <w:tmpl w:val="8C12F2F4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349731C"/>
    <w:multiLevelType w:val="multilevel"/>
    <w:tmpl w:val="7714A9FC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47582C84"/>
    <w:multiLevelType w:val="multilevel"/>
    <w:tmpl w:val="E40C2CC6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4E682E0E"/>
    <w:multiLevelType w:val="multilevel"/>
    <w:tmpl w:val="331E6C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5C4C1F20"/>
    <w:multiLevelType w:val="multilevel"/>
    <w:tmpl w:val="92425276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5C712110"/>
    <w:multiLevelType w:val="multilevel"/>
    <w:tmpl w:val="1E2CE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5E040325"/>
    <w:multiLevelType w:val="multilevel"/>
    <w:tmpl w:val="A85A215C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65791B22"/>
    <w:multiLevelType w:val="multilevel"/>
    <w:tmpl w:val="3CFA97B4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6A29736D"/>
    <w:multiLevelType w:val="multilevel"/>
    <w:tmpl w:val="CF50DA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7FF770B7"/>
    <w:multiLevelType w:val="multilevel"/>
    <w:tmpl w:val="C3F4EA12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78524812">
    <w:abstractNumId w:val="3"/>
  </w:num>
  <w:num w:numId="2" w16cid:durableId="910311595">
    <w:abstractNumId w:val="7"/>
  </w:num>
  <w:num w:numId="3" w16cid:durableId="97526636">
    <w:abstractNumId w:val="6"/>
  </w:num>
  <w:num w:numId="4" w16cid:durableId="1189023505">
    <w:abstractNumId w:val="0"/>
  </w:num>
  <w:num w:numId="5" w16cid:durableId="289944791">
    <w:abstractNumId w:val="5"/>
  </w:num>
  <w:num w:numId="6" w16cid:durableId="1866088856">
    <w:abstractNumId w:val="11"/>
  </w:num>
  <w:num w:numId="7" w16cid:durableId="1056509049">
    <w:abstractNumId w:val="9"/>
  </w:num>
  <w:num w:numId="8" w16cid:durableId="44522768">
    <w:abstractNumId w:val="8"/>
  </w:num>
  <w:num w:numId="9" w16cid:durableId="191110241">
    <w:abstractNumId w:val="4"/>
  </w:num>
  <w:num w:numId="10" w16cid:durableId="1113480917">
    <w:abstractNumId w:val="1"/>
  </w:num>
  <w:num w:numId="11" w16cid:durableId="1846242121">
    <w:abstractNumId w:val="2"/>
  </w:num>
  <w:num w:numId="12" w16cid:durableId="21062698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IwNzK0NDAytzA3NLBQ0lEKTi0uzszPAykwqgUA5xuZJSwAAAA="/>
  </w:docVars>
  <w:rsids>
    <w:rsidRoot w:val="00454D83"/>
    <w:rsid w:val="00012684"/>
    <w:rsid w:val="000B7528"/>
    <w:rsid w:val="000C2988"/>
    <w:rsid w:val="00140D3A"/>
    <w:rsid w:val="00172DE2"/>
    <w:rsid w:val="00183F6D"/>
    <w:rsid w:val="001C0BCB"/>
    <w:rsid w:val="001F0B85"/>
    <w:rsid w:val="002821A4"/>
    <w:rsid w:val="003E1073"/>
    <w:rsid w:val="003E2705"/>
    <w:rsid w:val="00403688"/>
    <w:rsid w:val="00451496"/>
    <w:rsid w:val="00454D83"/>
    <w:rsid w:val="00456DFD"/>
    <w:rsid w:val="00471A7F"/>
    <w:rsid w:val="00493BE2"/>
    <w:rsid w:val="004D07D8"/>
    <w:rsid w:val="004D6DCE"/>
    <w:rsid w:val="00506336"/>
    <w:rsid w:val="00552C72"/>
    <w:rsid w:val="00556793"/>
    <w:rsid w:val="0057238D"/>
    <w:rsid w:val="00631058"/>
    <w:rsid w:val="00654875"/>
    <w:rsid w:val="00670464"/>
    <w:rsid w:val="00680819"/>
    <w:rsid w:val="0068742F"/>
    <w:rsid w:val="006A5258"/>
    <w:rsid w:val="006B1060"/>
    <w:rsid w:val="006F1A8D"/>
    <w:rsid w:val="00741E33"/>
    <w:rsid w:val="007477BF"/>
    <w:rsid w:val="00776C8A"/>
    <w:rsid w:val="00802F68"/>
    <w:rsid w:val="00812EE5"/>
    <w:rsid w:val="0082571D"/>
    <w:rsid w:val="008F3833"/>
    <w:rsid w:val="009044B1"/>
    <w:rsid w:val="00940785"/>
    <w:rsid w:val="00951968"/>
    <w:rsid w:val="0097715B"/>
    <w:rsid w:val="009E1F9F"/>
    <w:rsid w:val="00A14C10"/>
    <w:rsid w:val="00AA62E1"/>
    <w:rsid w:val="00B01C6D"/>
    <w:rsid w:val="00B179DA"/>
    <w:rsid w:val="00B444EB"/>
    <w:rsid w:val="00B516E7"/>
    <w:rsid w:val="00B86202"/>
    <w:rsid w:val="00BB26EC"/>
    <w:rsid w:val="00C71905"/>
    <w:rsid w:val="00CC643E"/>
    <w:rsid w:val="00D405BB"/>
    <w:rsid w:val="00D92F6B"/>
    <w:rsid w:val="00DC2DE3"/>
    <w:rsid w:val="00DF1512"/>
    <w:rsid w:val="00DF322C"/>
    <w:rsid w:val="00E00AFD"/>
    <w:rsid w:val="00E47F1F"/>
    <w:rsid w:val="00E92BE3"/>
    <w:rsid w:val="00EC3AB0"/>
    <w:rsid w:val="00EF7071"/>
    <w:rsid w:val="00F84B9E"/>
    <w:rsid w:val="00FD049B"/>
    <w:rsid w:val="00FF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725D6A"/>
  <w15:docId w15:val="{FF274E5A-5E82-47F2-9263-720A094D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qFormat/>
    <w:pPr>
      <w:spacing w:before="160" w:after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21">
    <w:name w:val="Intense Emphasis"/>
    <w:basedOn w:val="a0"/>
    <w:qFormat/>
    <w:rPr>
      <w:i/>
      <w:color w:val="0F4761"/>
    </w:rPr>
  </w:style>
  <w:style w:type="paragraph" w:styleId="22">
    <w:name w:val="Intense Quote"/>
    <w:basedOn w:val="a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23">
    <w:name w:val="Intense Reference"/>
    <w:basedOn w:val="a0"/>
    <w:rPr>
      <w:b/>
      <w:color w:val="0F476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467886"/>
      <w:u w:val="single"/>
    </w:rPr>
  </w:style>
  <w:style w:type="character" w:customStyle="1" w:styleId="11">
    <w:name w:val="未解決のメンション1"/>
    <w:basedOn w:val="a0"/>
    <w:rPr>
      <w:color w:val="605E5C"/>
    </w:rPr>
  </w:style>
  <w:style w:type="paragraph" w:styleId="ae">
    <w:name w:val="Balloon Text"/>
    <w:basedOn w:val="a"/>
    <w:rPr>
      <w:rFonts w:ascii="Segoe UI" w:eastAsia="Segoe UI" w:hAnsi="Segoe UI" w:cs="Segoe UI"/>
      <w:sz w:val="18"/>
    </w:rPr>
  </w:style>
  <w:style w:type="paragraph" w:styleId="af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f0">
    <w:name w:val="annotation subject"/>
    <w:basedOn w:val="af"/>
    <w:rPr>
      <w:b/>
    </w:rPr>
  </w:style>
  <w:style w:type="paragraph" w:styleId="af1">
    <w:name w:val="Revision"/>
  </w:style>
  <w:style w:type="character" w:customStyle="1" w:styleId="UnresolvedMention1">
    <w:name w:val="Unresolved Mention1"/>
    <w:basedOn w:val="a0"/>
    <w:rPr>
      <w:color w:val="605E5C"/>
    </w:rPr>
  </w:style>
  <w:style w:type="character" w:customStyle="1" w:styleId="IssueNumber">
    <w:name w:val="Issue Number"/>
    <w:basedOn w:val="a0"/>
  </w:style>
  <w:style w:type="paragraph" w:styleId="af2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</w:style>
  <w:style w:type="character" w:customStyle="1" w:styleId="Conference">
    <w:name w:val="Conference"/>
    <w:basedOn w:val="a0"/>
  </w:style>
  <w:style w:type="character" w:customStyle="1" w:styleId="Label">
    <w:name w:val="Label"/>
    <w:basedOn w:val="a0"/>
    <w:rPr>
      <w:vertAlign w:val="baseline"/>
    </w:rPr>
  </w:style>
  <w:style w:type="character" w:customStyle="1" w:styleId="NameScientific">
    <w:name w:val="Name Scientific"/>
    <w:basedOn w:val="a0"/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Cross-reference">
    <w:name w:val="Cross-reference"/>
    <w:basedOn w:val="a0"/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</w:style>
  <w:style w:type="character" w:customStyle="1" w:styleId="GivenName">
    <w:name w:val="Given Name"/>
    <w:basedOn w:val="a0"/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Country">
    <w:name w:val="Country"/>
    <w:basedOn w:val="a0"/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PageNumbers">
    <w:name w:val="Page Numbers"/>
    <w:basedOn w:val="a0"/>
  </w:style>
  <w:style w:type="paragraph" w:styleId="af3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ind w:left="1440"/>
      <w:outlineLvl w:val="8"/>
    </w:pPr>
    <w:rPr>
      <w:sz w:val="22"/>
    </w:rPr>
  </w:style>
  <w:style w:type="character" w:customStyle="1" w:styleId="DatabaseLink">
    <w:name w:val="Database Link"/>
    <w:basedOn w:val="a0"/>
  </w:style>
  <w:style w:type="character" w:customStyle="1" w:styleId="Publisher">
    <w:name w:val="Publisher"/>
    <w:basedOn w:val="a0"/>
  </w:style>
  <w:style w:type="paragraph" w:styleId="af4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</w:style>
  <w:style w:type="character" w:customStyle="1" w:styleId="Organization">
    <w:name w:val="Organization"/>
    <w:basedOn w:val="a0"/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styleId="af5">
    <w:name w:val="Normal Indent"/>
    <w:basedOn w:val="a"/>
    <w:qFormat/>
    <w:pPr>
      <w:ind w:firstLine="480"/>
    </w:pPr>
    <w:rPr>
      <w:sz w:val="22"/>
    </w:rPr>
  </w:style>
  <w:style w:type="character" w:customStyle="1" w:styleId="Year">
    <w:name w:val="Year"/>
    <w:basedOn w:val="a0"/>
  </w:style>
  <w:style w:type="character" w:customStyle="1" w:styleId="Postcode">
    <w:name w:val="Postcode"/>
    <w:basedOn w:val="a0"/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GrantID">
    <w:name w:val="Grant ID"/>
    <w:basedOn w:val="a0"/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Miscellaneous">
    <w:name w:val="Miscellaneous"/>
    <w:basedOn w:val="a0"/>
  </w:style>
  <w:style w:type="character" w:customStyle="1" w:styleId="Edition">
    <w:name w:val="Edition"/>
    <w:basedOn w:val="a0"/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styleId="af6">
    <w:name w:val="footnote text"/>
    <w:basedOn w:val="a"/>
    <w:rPr>
      <w:rFonts w:ascii="Calibri" w:eastAsia="Calibri" w:hAnsi="Calibri" w:cs="Calibri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styleId="af7">
    <w:name w:val="endnote text"/>
    <w:basedOn w:val="a"/>
    <w:rPr>
      <w:rFonts w:ascii="Calibri" w:eastAsia="Calibri" w:hAnsi="Calibri" w:cs="Calibri"/>
    </w:rPr>
  </w:style>
  <w:style w:type="character" w:customStyle="1" w:styleId="GeneSequence">
    <w:name w:val="Gene Sequence"/>
    <w:basedOn w:val="a0"/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fordguid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onoda06503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康孝 篠田</cp:lastModifiedBy>
  <cp:revision>49</cp:revision>
  <dcterms:created xsi:type="dcterms:W3CDTF">2024-10-08T14:43:00Z</dcterms:created>
  <dcterms:modified xsi:type="dcterms:W3CDTF">2024-11-10T13:35:00Z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903cb24b2dee8ccbe277e4d1c61fa790f0d31a2fbc88da6417f1aae6e23429d5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19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0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212989d3-5e59-4a9a-ac34-2540e5773647.docx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MG-Session/On-20241007/I:0104899c-a61c-4a1a-8bb5-5c998df6d8e1</vt:lpwstr>
  </property>
  <property fmtid="{D5CDD505-2E9C-101B-9397-08002B2CF9AE}" pid="19" name="Merops processed date">
    <vt:lpwstr>2024/10/07 06:22:09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3</vt:lpwstr>
  </property>
  <property fmtid="{D5CDD505-2E9C-101B-9397-08002B2CF9AE}" pid="27" name="Merops word count">
    <vt:lpwstr>727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numerical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