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CC9" w:rsidRDefault="00D63B32" w:rsidP="00D63B32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Supplementary</w:t>
      </w:r>
      <w:r w:rsidRPr="00FB57A9">
        <w:rPr>
          <w:b/>
          <w:sz w:val="28"/>
          <w:szCs w:val="28"/>
        </w:rPr>
        <w:t xml:space="preserve"> </w:t>
      </w:r>
      <w:r w:rsidR="00D12CC9">
        <w:rPr>
          <w:b/>
          <w:sz w:val="28"/>
          <w:szCs w:val="28"/>
        </w:rPr>
        <w:t>Figure S2-S3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7"/>
      </w:tblGrid>
      <w:tr w:rsidR="00D12CC9" w:rsidRPr="005B4C09" w:rsidTr="00D12CC9">
        <w:trPr>
          <w:jc w:val="center"/>
        </w:trPr>
        <w:tc>
          <w:tcPr>
            <w:tcW w:w="10187" w:type="dxa"/>
            <w:shd w:val="clear" w:color="auto" w:fill="auto"/>
          </w:tcPr>
          <w:p w:rsidR="00D12CC9" w:rsidRPr="005B4C09" w:rsidRDefault="00D12CC9" w:rsidP="00CA7AC8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>
              <w:object w:dxaOrig="12105" w:dyaOrig="9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6.75pt;height:344.25pt" o:ole="">
                  <v:imagedata r:id="rId6" o:title=""/>
                </v:shape>
                <o:OLEObject Type="Embed" ProgID="PBrush" ShapeID="_x0000_i1025" DrawAspect="Content" ObjectID="_1719907236" r:id="rId7"/>
              </w:object>
            </w:r>
          </w:p>
        </w:tc>
      </w:tr>
      <w:tr w:rsidR="00D12CC9" w:rsidRPr="005B4C09" w:rsidTr="00D12CC9">
        <w:trPr>
          <w:jc w:val="center"/>
        </w:trPr>
        <w:tc>
          <w:tcPr>
            <w:tcW w:w="10187" w:type="dxa"/>
            <w:shd w:val="clear" w:color="auto" w:fill="auto"/>
          </w:tcPr>
          <w:p w:rsidR="00D12CC9" w:rsidRPr="005B4C09" w:rsidRDefault="00D12CC9" w:rsidP="00DA0A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2CC9">
              <w:rPr>
                <w:rFonts w:ascii="Times New Roman" w:hAnsi="Times New Roman"/>
                <w:b/>
                <w:sz w:val="20"/>
                <w:szCs w:val="20"/>
              </w:rPr>
              <w:t xml:space="preserve">Supplementary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Figure S2</w:t>
            </w:r>
            <w:r w:rsidRPr="00A517D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 xml:space="preserve"> The number of reads</w:t>
            </w:r>
            <w:r w:rsidR="00DA0AF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A0AFA" w:rsidRPr="00DA0AFA">
              <w:rPr>
                <w:rFonts w:ascii="Times New Roman" w:hAnsi="Times New Roman"/>
                <w:sz w:val="20"/>
                <w:szCs w:val="20"/>
              </w:rPr>
              <w:t>(expressed as total depth of coverage**)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 xml:space="preserve"> from </w:t>
            </w:r>
            <w:r w:rsidR="00DA0AFA">
              <w:rPr>
                <w:rFonts w:ascii="Times New Roman" w:hAnsi="Times New Roman"/>
                <w:sz w:val="20"/>
                <w:szCs w:val="20"/>
              </w:rPr>
              <w:t>the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 xml:space="preserve"> 7 metagenomes mapped</w:t>
            </w:r>
            <w:r w:rsidR="00DA0AFA">
              <w:rPr>
                <w:rFonts w:ascii="Times New Roman" w:hAnsi="Times New Roman"/>
                <w:sz w:val="20"/>
                <w:szCs w:val="20"/>
              </w:rPr>
              <w:t xml:space="preserve"> back to the 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 xml:space="preserve">reference </w:t>
            </w:r>
            <w:r w:rsidR="00DA0AFA">
              <w:rPr>
                <w:rFonts w:ascii="Times New Roman" w:hAnsi="Times New Roman"/>
                <w:sz w:val="20"/>
                <w:szCs w:val="20"/>
              </w:rPr>
              <w:t>sequences of the marker genes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 xml:space="preserve">. The </w:t>
            </w:r>
            <w:r w:rsidR="00DA0AFA">
              <w:rPr>
                <w:rFonts w:ascii="Times New Roman" w:hAnsi="Times New Roman"/>
                <w:sz w:val="20"/>
                <w:szCs w:val="20"/>
              </w:rPr>
              <w:t xml:space="preserve">genes reference sequences 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 xml:space="preserve">can be viewed in </w:t>
            </w:r>
            <w:r>
              <w:rPr>
                <w:rFonts w:ascii="Times New Roman" w:hAnsi="Times New Roman"/>
                <w:sz w:val="20"/>
                <w:szCs w:val="20"/>
              </w:rPr>
              <w:t>the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945EC">
              <w:rPr>
                <w:rFonts w:ascii="Times New Roman" w:hAnsi="Times New Roman"/>
                <w:sz w:val="20"/>
                <w:szCs w:val="20"/>
                <w:highlight w:val="cyan"/>
              </w:rPr>
              <w:t xml:space="preserve">Additional file </w:t>
            </w:r>
            <w:r w:rsidR="00DA0AFA">
              <w:rPr>
                <w:rFonts w:ascii="Times New Roman" w:hAnsi="Times New Roman"/>
                <w:sz w:val="20"/>
                <w:szCs w:val="20"/>
                <w:highlight w:val="cyan"/>
              </w:rPr>
              <w:t>5</w:t>
            </w:r>
            <w:r w:rsidRPr="00F945EC">
              <w:rPr>
                <w:rFonts w:ascii="Times New Roman" w:hAnsi="Times New Roman"/>
                <w:sz w:val="20"/>
                <w:szCs w:val="20"/>
                <w:highlight w:val="cyan"/>
              </w:rPr>
              <w:t>: Table S</w:t>
            </w:r>
            <w:r w:rsidR="00DA0AFA">
              <w:rPr>
                <w:rFonts w:ascii="Times New Roman" w:hAnsi="Times New Roman"/>
                <w:sz w:val="20"/>
                <w:szCs w:val="20"/>
                <w:highlight w:val="cyan"/>
              </w:rPr>
              <w:t>10</w:t>
            </w:r>
            <w:r w:rsidRPr="00F945EC">
              <w:rPr>
                <w:rFonts w:ascii="Times New Roman" w:hAnsi="Times New Roman"/>
                <w:sz w:val="20"/>
                <w:szCs w:val="20"/>
                <w:highlight w:val="cyan"/>
              </w:rPr>
              <w:t>.</w:t>
            </w:r>
          </w:p>
        </w:tc>
      </w:tr>
      <w:tr w:rsidR="00D12CC9" w:rsidRPr="005B4C09" w:rsidTr="00D12CC9">
        <w:trPr>
          <w:jc w:val="center"/>
        </w:trPr>
        <w:tc>
          <w:tcPr>
            <w:tcW w:w="10187" w:type="dxa"/>
            <w:shd w:val="clear" w:color="auto" w:fill="auto"/>
          </w:tcPr>
          <w:p w:rsidR="00D12CC9" w:rsidRPr="00FE4333" w:rsidRDefault="00D12CC9" w:rsidP="00CA7AC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12CC9">
              <w:rPr>
                <w:rFonts w:ascii="Times New Roman" w:hAnsi="Times New Roman"/>
                <w:b/>
                <w:sz w:val="20"/>
                <w:szCs w:val="20"/>
              </w:rPr>
              <w:t>**</w:t>
            </w:r>
            <w:r w:rsidRPr="00FE4333">
              <w:rPr>
                <w:rFonts w:ascii="Times New Roman" w:hAnsi="Times New Roman"/>
                <w:b/>
              </w:rPr>
              <w:t xml:space="preserve"> </w:t>
            </w:r>
            <w:r w:rsidRPr="00D12CC9">
              <w:rPr>
                <w:rFonts w:ascii="Times New Roman" w:hAnsi="Times New Roman"/>
                <w:sz w:val="20"/>
                <w:szCs w:val="20"/>
              </w:rPr>
              <w:t xml:space="preserve">On the y axes, the </w:t>
            </w:r>
            <w:r w:rsidR="00DA0AFA">
              <w:rPr>
                <w:rFonts w:ascii="Times New Roman" w:hAnsi="Times New Roman"/>
                <w:b/>
                <w:i/>
                <w:sz w:val="20"/>
                <w:szCs w:val="20"/>
              </w:rPr>
              <w:t>t</w:t>
            </w:r>
            <w:r w:rsidRPr="00D12CC9">
              <w:rPr>
                <w:rFonts w:ascii="Times New Roman" w:hAnsi="Times New Roman"/>
                <w:b/>
                <w:i/>
                <w:sz w:val="20"/>
                <w:szCs w:val="20"/>
              </w:rPr>
              <w:t>otal depth of coverage</w:t>
            </w:r>
            <w:r w:rsidRPr="00D12CC9">
              <w:rPr>
                <w:rFonts w:ascii="Times New Roman" w:hAnsi="Times New Roman"/>
                <w:sz w:val="20"/>
                <w:szCs w:val="20"/>
              </w:rPr>
              <w:t xml:space="preserve"> is defined as the number of bases mapped to the sequences divided by the sequence's size.</w:t>
            </w:r>
          </w:p>
        </w:tc>
      </w:tr>
      <w:tr w:rsidR="00D12CC9" w:rsidRPr="005B4C09" w:rsidTr="00D12CC9">
        <w:trPr>
          <w:jc w:val="center"/>
        </w:trPr>
        <w:tc>
          <w:tcPr>
            <w:tcW w:w="10187" w:type="dxa"/>
            <w:shd w:val="clear" w:color="auto" w:fill="auto"/>
          </w:tcPr>
          <w:p w:rsidR="00D12CC9" w:rsidRPr="005B4C09" w:rsidRDefault="00D12CC9" w:rsidP="00CA7AC8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>
              <w:object w:dxaOrig="12135" w:dyaOrig="9075">
                <v:shape id="_x0000_i1026" type="#_x0000_t75" style="width:459.75pt;height:344.25pt" o:ole="">
                  <v:imagedata r:id="rId8" o:title=""/>
                </v:shape>
                <o:OLEObject Type="Embed" ProgID="PBrush" ShapeID="_x0000_i1026" DrawAspect="Content" ObjectID="_1719907237" r:id="rId9"/>
              </w:object>
            </w:r>
          </w:p>
        </w:tc>
      </w:tr>
      <w:tr w:rsidR="00D12CC9" w:rsidRPr="005B4C09" w:rsidTr="00D12CC9">
        <w:trPr>
          <w:jc w:val="center"/>
        </w:trPr>
        <w:tc>
          <w:tcPr>
            <w:tcW w:w="10187" w:type="dxa"/>
            <w:shd w:val="clear" w:color="auto" w:fill="auto"/>
          </w:tcPr>
          <w:p w:rsidR="00D12CC9" w:rsidRPr="00A517DE" w:rsidRDefault="00D12CC9" w:rsidP="007659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12CC9">
              <w:rPr>
                <w:rFonts w:ascii="Times New Roman" w:hAnsi="Times New Roman"/>
                <w:b/>
                <w:sz w:val="20"/>
                <w:szCs w:val="20"/>
              </w:rPr>
              <w:t xml:space="preserve">Supplementary </w:t>
            </w:r>
            <w:r w:rsidRPr="00A517DE">
              <w:rPr>
                <w:rFonts w:ascii="Times New Roman" w:hAnsi="Times New Roman"/>
                <w:b/>
                <w:sz w:val="20"/>
                <w:szCs w:val="20"/>
              </w:rPr>
              <w:t xml:space="preserve">Figure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S3</w:t>
            </w:r>
            <w:r w:rsidRPr="00A517D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 xml:space="preserve"> The overall number of reads per metagenome/sample mapped to the reference sequences of all considered</w:t>
            </w:r>
            <w:r w:rsidR="00DA0AFA">
              <w:rPr>
                <w:rFonts w:ascii="Times New Roman" w:hAnsi="Times New Roman"/>
                <w:sz w:val="20"/>
                <w:szCs w:val="20"/>
              </w:rPr>
              <w:t xml:space="preserve"> marker 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>genes (nitrogen fixation (</w:t>
            </w:r>
            <w:proofErr w:type="spellStart"/>
            <w:r w:rsidRPr="00A517DE">
              <w:rPr>
                <w:rFonts w:ascii="Times New Roman" w:hAnsi="Times New Roman"/>
                <w:i/>
                <w:sz w:val="20"/>
                <w:szCs w:val="20"/>
              </w:rPr>
              <w:t>nifH</w:t>
            </w:r>
            <w:proofErr w:type="spellEnd"/>
            <w:r w:rsidRPr="00A517DE">
              <w:rPr>
                <w:rFonts w:ascii="Times New Roman" w:hAnsi="Times New Roman"/>
                <w:i/>
                <w:sz w:val="20"/>
                <w:szCs w:val="20"/>
              </w:rPr>
              <w:t>/D/K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>), carbon fixation (</w:t>
            </w:r>
            <w:proofErr w:type="spellStart"/>
            <w:r w:rsidRPr="00A517DE">
              <w:rPr>
                <w:rFonts w:ascii="Times New Roman" w:hAnsi="Times New Roman"/>
                <w:i/>
                <w:sz w:val="20"/>
                <w:szCs w:val="20"/>
              </w:rPr>
              <w:t>cbbL</w:t>
            </w:r>
            <w:proofErr w:type="spellEnd"/>
            <w:r w:rsidRPr="00A517DE">
              <w:rPr>
                <w:rFonts w:ascii="Times New Roman" w:hAnsi="Times New Roman"/>
                <w:i/>
                <w:sz w:val="20"/>
                <w:szCs w:val="20"/>
              </w:rPr>
              <w:t>/S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517DE">
              <w:rPr>
                <w:rFonts w:ascii="Times New Roman" w:hAnsi="Times New Roman"/>
                <w:i/>
                <w:sz w:val="20"/>
                <w:szCs w:val="20"/>
              </w:rPr>
              <w:t>aclA</w:t>
            </w:r>
            <w:proofErr w:type="spellEnd"/>
            <w:r w:rsidRPr="00A517DE">
              <w:rPr>
                <w:rFonts w:ascii="Times New Roman" w:hAnsi="Times New Roman"/>
                <w:i/>
                <w:sz w:val="20"/>
                <w:szCs w:val="20"/>
              </w:rPr>
              <w:t>/B</w:t>
            </w:r>
            <w:r w:rsidRPr="00A517D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517DE">
              <w:rPr>
                <w:rFonts w:ascii="Times New Roman" w:hAnsi="Times New Roman"/>
                <w:i/>
                <w:sz w:val="20"/>
                <w:szCs w:val="20"/>
              </w:rPr>
              <w:t>acsA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>cooS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A517DE">
              <w:rPr>
                <w:rFonts w:ascii="Times New Roman" w:hAnsi="Times New Roman"/>
                <w:i/>
                <w:sz w:val="20"/>
                <w:szCs w:val="20"/>
              </w:rPr>
              <w:t>/B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="00DA0AF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D12CC9" w:rsidRDefault="00D12CC9" w:rsidP="00D63B32">
      <w:pPr>
        <w:spacing w:line="240" w:lineRule="auto"/>
        <w:jc w:val="center"/>
        <w:rPr>
          <w:b/>
          <w:sz w:val="28"/>
          <w:szCs w:val="28"/>
        </w:rPr>
      </w:pPr>
    </w:p>
    <w:p w:rsidR="00566734" w:rsidRDefault="00566734" w:rsidP="00D63B32">
      <w:pPr>
        <w:spacing w:line="240" w:lineRule="auto"/>
        <w:jc w:val="center"/>
        <w:rPr>
          <w:b/>
          <w:sz w:val="28"/>
          <w:szCs w:val="28"/>
        </w:rPr>
        <w:sectPr w:rsidR="00566734" w:rsidSect="00D12CC9">
          <w:footerReference w:type="default" r:id="rId10"/>
          <w:pgSz w:w="15840" w:h="12240" w:orient="landscape"/>
          <w:pgMar w:top="1531" w:right="1418" w:bottom="1418" w:left="1418" w:header="720" w:footer="720" w:gutter="0"/>
          <w:cols w:space="720"/>
          <w:docGrid w:linePitch="360"/>
        </w:sectPr>
      </w:pPr>
    </w:p>
    <w:p w:rsidR="00D12CC9" w:rsidRDefault="00D12CC9" w:rsidP="00D63B32">
      <w:pPr>
        <w:spacing w:line="240" w:lineRule="auto"/>
        <w:jc w:val="center"/>
        <w:rPr>
          <w:b/>
          <w:sz w:val="28"/>
          <w:szCs w:val="28"/>
        </w:rPr>
      </w:pPr>
    </w:p>
    <w:p w:rsidR="00D63B32" w:rsidRDefault="00D12CC9" w:rsidP="00D63B32">
      <w:pPr>
        <w:spacing w:line="240" w:lineRule="auto"/>
        <w:jc w:val="center"/>
        <w:rPr>
          <w:b/>
          <w:sz w:val="28"/>
          <w:szCs w:val="28"/>
        </w:rPr>
      </w:pPr>
      <w:r w:rsidRPr="00D12CC9">
        <w:rPr>
          <w:b/>
          <w:sz w:val="28"/>
          <w:szCs w:val="28"/>
        </w:rPr>
        <w:t xml:space="preserve">Supplementary </w:t>
      </w:r>
      <w:r w:rsidR="00D63B32" w:rsidRPr="00FB57A9">
        <w:rPr>
          <w:b/>
          <w:sz w:val="28"/>
          <w:szCs w:val="28"/>
        </w:rPr>
        <w:t>Tables</w:t>
      </w:r>
      <w:r w:rsidR="003463CD">
        <w:rPr>
          <w:b/>
          <w:sz w:val="28"/>
          <w:szCs w:val="28"/>
        </w:rPr>
        <w:t xml:space="preserve"> S10</w:t>
      </w:r>
    </w:p>
    <w:p w:rsidR="00D63B32" w:rsidRDefault="00D63B32" w:rsidP="00D63B32">
      <w:pPr>
        <w:spacing w:line="240" w:lineRule="auto"/>
        <w:jc w:val="center"/>
        <w:rPr>
          <w:b/>
          <w:sz w:val="28"/>
          <w:szCs w:val="28"/>
        </w:rPr>
      </w:pPr>
    </w:p>
    <w:p w:rsidR="00D12CC9" w:rsidRDefault="000C65D6" w:rsidP="00D63B32">
      <w:pPr>
        <w:pStyle w:val="Standard"/>
        <w:spacing w:after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Table S10</w:t>
      </w:r>
      <w:r w:rsidR="00D63B32" w:rsidRPr="00694092">
        <w:rPr>
          <w:rFonts w:asciiTheme="minorHAnsi" w:hAnsiTheme="minorHAnsi"/>
          <w:b/>
          <w:sz w:val="22"/>
          <w:szCs w:val="22"/>
        </w:rPr>
        <w:t xml:space="preserve">. </w:t>
      </w:r>
      <w:bookmarkStart w:id="0" w:name="_GoBack"/>
      <w:r w:rsidR="00D63B32" w:rsidRPr="00D63B32">
        <w:rPr>
          <w:rFonts w:asciiTheme="minorHAnsi" w:hAnsiTheme="minorHAnsi"/>
          <w:sz w:val="22"/>
          <w:szCs w:val="22"/>
        </w:rPr>
        <w:t xml:space="preserve">Reference sequences for the marker genes used in predicting nitrogen and carbon fixation potential in sediments of </w:t>
      </w:r>
      <w:proofErr w:type="spellStart"/>
      <w:r w:rsidR="00D63B32" w:rsidRPr="00D63B32">
        <w:rPr>
          <w:rFonts w:asciiTheme="minorHAnsi" w:hAnsiTheme="minorHAnsi"/>
          <w:sz w:val="22"/>
          <w:szCs w:val="22"/>
        </w:rPr>
        <w:t>Movile</w:t>
      </w:r>
      <w:proofErr w:type="spellEnd"/>
      <w:r w:rsidR="00D63B32" w:rsidRPr="00D63B32">
        <w:rPr>
          <w:rFonts w:asciiTheme="minorHAnsi" w:hAnsiTheme="minorHAnsi"/>
          <w:sz w:val="22"/>
          <w:szCs w:val="22"/>
        </w:rPr>
        <w:t xml:space="preserve"> Cave</w:t>
      </w:r>
      <w:r w:rsidR="00D63B32">
        <w:rPr>
          <w:rFonts w:asciiTheme="minorHAnsi" w:hAnsiTheme="minorHAnsi"/>
          <w:sz w:val="22"/>
          <w:szCs w:val="22"/>
        </w:rPr>
        <w:t xml:space="preserve"> based on the </w:t>
      </w:r>
      <w:proofErr w:type="spellStart"/>
      <w:r w:rsidR="00D63B32">
        <w:rPr>
          <w:rFonts w:asciiTheme="minorHAnsi" w:hAnsiTheme="minorHAnsi"/>
          <w:sz w:val="22"/>
          <w:szCs w:val="22"/>
        </w:rPr>
        <w:t>metagenomic</w:t>
      </w:r>
      <w:proofErr w:type="spellEnd"/>
      <w:r w:rsidR="00D63B32">
        <w:rPr>
          <w:rFonts w:asciiTheme="minorHAnsi" w:hAnsiTheme="minorHAnsi"/>
          <w:sz w:val="22"/>
          <w:szCs w:val="22"/>
        </w:rPr>
        <w:t xml:space="preserve"> read mapping analysis.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57"/>
        <w:gridCol w:w="1115"/>
        <w:gridCol w:w="1560"/>
        <w:gridCol w:w="2973"/>
      </w:tblGrid>
      <w:tr w:rsidR="00D63B32" w:rsidRPr="00D63B32" w:rsidTr="004C7598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bookmarkEnd w:id="0"/>
          <w:p w:rsidR="00D63B32" w:rsidRPr="00D63B32" w:rsidRDefault="00D63B32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Pathway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63B32" w:rsidRPr="004F5464" w:rsidRDefault="00D63B32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F5464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63B32" w:rsidRPr="00D63B32" w:rsidRDefault="004F5464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KEGG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O</w:t>
            </w:r>
            <w:r w:rsidR="00D63B32"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rthology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63B32" w:rsidRPr="00D63B32" w:rsidRDefault="00D63B32" w:rsidP="00D63B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KEGG Organism/CDS entry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Nitrogen metabolism</w:t>
            </w:r>
          </w:p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Nitrogen fixation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nifH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D12CC9" w:rsidRPr="00D63B32" w:rsidRDefault="00C559AC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563C1"/>
                <w:sz w:val="20"/>
                <w:szCs w:val="20"/>
                <w:u w:val="single"/>
              </w:rPr>
            </w:pPr>
            <w:hyperlink r:id="rId11" w:history="1">
              <w:r w:rsidR="00D12CC9" w:rsidRPr="00D63B32">
                <w:rPr>
                  <w:rFonts w:eastAsia="Times New Roman" w:cs="Times New Roman"/>
                  <w:color w:val="0563C1"/>
                  <w:sz w:val="20"/>
                  <w:szCs w:val="20"/>
                  <w:u w:val="single"/>
                </w:rPr>
                <w:t>K02588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kpv:KPNIH29_17525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ppol:X809_05005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ppoy:RE92_06765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mmad:MMJJ_01420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mmad:MMJJ_09380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dsd:GD606_12195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dsd:GD606_19425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cbut:ATN24_18575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avn:Avin_49000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avn:Avin_01380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nifD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D12CC9" w:rsidRPr="00D63B32" w:rsidRDefault="00C559AC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563C1"/>
                <w:sz w:val="20"/>
                <w:szCs w:val="20"/>
                <w:u w:val="single"/>
              </w:rPr>
            </w:pPr>
            <w:hyperlink r:id="rId12" w:history="1">
              <w:r w:rsidR="00D12CC9" w:rsidRPr="00D63B32">
                <w:rPr>
                  <w:rFonts w:eastAsia="Times New Roman" w:cs="Times New Roman"/>
                  <w:color w:val="0563C1"/>
                  <w:sz w:val="20"/>
                  <w:szCs w:val="20"/>
                  <w:u w:val="single"/>
                </w:rPr>
                <w:t>K02586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kpv:KPNIH29_17530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ppol:X809_05010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ppoy:RE92_06760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mmad:MMJJ_01390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dsd:GD606_12210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dsd:GD606_19410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cbut:ATN24_18590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avn:Avin_48990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avn:Avin_01390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nifK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D12CC9" w:rsidRPr="00D63B32" w:rsidRDefault="00C559AC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563C1"/>
                <w:sz w:val="20"/>
                <w:szCs w:val="20"/>
                <w:u w:val="single"/>
              </w:rPr>
            </w:pPr>
            <w:hyperlink r:id="rId13" w:history="1">
              <w:r w:rsidR="00D12CC9" w:rsidRPr="00D63B32">
                <w:rPr>
                  <w:rFonts w:eastAsia="Times New Roman" w:cs="Times New Roman"/>
                  <w:color w:val="0563C1"/>
                  <w:sz w:val="20"/>
                  <w:szCs w:val="20"/>
                  <w:u w:val="single"/>
                </w:rPr>
                <w:t>K02591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kpv:KPNIH29_17535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ppol:X809_05015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mmad:MMJJ_01380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dsd:GD606_12220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dsd:GD606_19405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cbut:ATN24_18595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4F5464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12CC9" w:rsidRPr="00D63B32" w:rsidRDefault="00D12CC9" w:rsidP="00D6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avn:Avin_01400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12CC9" w:rsidRPr="00D63B32" w:rsidRDefault="00D12CC9" w:rsidP="00CA7AC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12CC9" w:rsidRPr="004F5464" w:rsidRDefault="00D12CC9" w:rsidP="00CA7AC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12CC9" w:rsidRPr="00D63B32" w:rsidRDefault="00D12CC9" w:rsidP="00CA7AC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12CC9" w:rsidRPr="00D63B32" w:rsidRDefault="00D12CC9" w:rsidP="00CA7AC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Pathway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F5464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12CC9" w:rsidRPr="00D63B32" w:rsidRDefault="004F5464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KEGG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O</w:t>
            </w:r>
            <w:r w:rsidR="00D12CC9"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rthology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KEGG Organism/CDS entry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Carbone metabolism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cbbL</w:t>
            </w:r>
            <w:proofErr w:type="spellEnd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rbcL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D12CC9" w:rsidRPr="00D63B32" w:rsidRDefault="00C559AC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563C1"/>
                <w:sz w:val="20"/>
                <w:szCs w:val="20"/>
                <w:u w:val="single"/>
              </w:rPr>
            </w:pPr>
            <w:hyperlink r:id="rId14" w:history="1">
              <w:r w:rsidR="00D12CC9" w:rsidRPr="00D63B32">
                <w:rPr>
                  <w:rFonts w:eastAsia="Times New Roman" w:cs="Times New Roman"/>
                  <w:color w:val="0563C1"/>
                  <w:sz w:val="20"/>
                  <w:szCs w:val="20"/>
                  <w:u w:val="single"/>
                </w:rPr>
                <w:t>K01601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mox:DAMO_2165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Carbon fixation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mca:MCA2743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metu:GNH96_04105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Calvin–Benson–</w:t>
            </w:r>
            <w:proofErr w:type="spellStart"/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Bassham</w:t>
            </w:r>
            <w:proofErr w:type="spellEnd"/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cycle (CBB)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mmai:sS8_2433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msl:Msil_1195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mtun:MTUNDRAET4_0602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reh:H16_B1395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afr:AFE_1691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afr:AFE_2155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afr:AFE_3051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paut:Pdca_16240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cbbS</w:t>
            </w:r>
            <w:proofErr w:type="spellEnd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rbcS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D12CC9" w:rsidRPr="00D63B32" w:rsidRDefault="00C559AC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563C1"/>
                <w:sz w:val="20"/>
                <w:szCs w:val="20"/>
                <w:u w:val="single"/>
              </w:rPr>
            </w:pPr>
            <w:hyperlink r:id="rId15" w:history="1">
              <w:r w:rsidR="00D12CC9" w:rsidRPr="00D63B32">
                <w:rPr>
                  <w:rFonts w:eastAsia="Times New Roman" w:cs="Times New Roman"/>
                  <w:color w:val="0563C1"/>
                  <w:sz w:val="20"/>
                  <w:szCs w:val="20"/>
                  <w:u w:val="single"/>
                </w:rPr>
                <w:t>K01602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mox:DAMO_2166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mca:MCA2744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metu:GNH96_04100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mmai:sS8_2432 K01602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msl:Msil_1196 K01602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mtun:MTUNDRAET4_0601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reh:H16_B1394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afr:AFE_1690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afr:AFE_3052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paut:Pdca_16250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Reverse tricarboxylic acid cycle (</w:t>
            </w:r>
            <w:proofErr w:type="spellStart"/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rTCA</w:t>
            </w:r>
            <w:proofErr w:type="spellEnd"/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aclA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D12CC9" w:rsidRPr="00D63B32" w:rsidRDefault="00C559AC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563C1"/>
                <w:sz w:val="20"/>
                <w:szCs w:val="20"/>
                <w:u w:val="single"/>
              </w:rPr>
            </w:pPr>
            <w:hyperlink r:id="rId16" w:history="1">
              <w:r w:rsidR="00D12CC9" w:rsidRPr="00D63B32">
                <w:rPr>
                  <w:rFonts w:eastAsia="Times New Roman" w:cs="Times New Roman"/>
                  <w:color w:val="0563C1"/>
                  <w:sz w:val="20"/>
                  <w:szCs w:val="20"/>
                  <w:u w:val="single"/>
                </w:rPr>
                <w:t>K15230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spal:FM071_07485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ssei:FJR45_08955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sku:Sulku_0667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smul:SMUL_0067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sinu:IMZ28_08250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cmed:FE773_04940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cte:CT1088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cpc:Cpar_1009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cph:Cpha266_1306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cli:Clim_1231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sul:SYO3AOP1_1055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tam:Theam_1021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dte:Dester_1134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aclB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D12CC9" w:rsidRPr="00D63B32" w:rsidRDefault="00C559AC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563C1"/>
                <w:sz w:val="20"/>
                <w:szCs w:val="20"/>
                <w:u w:val="single"/>
              </w:rPr>
            </w:pPr>
            <w:hyperlink r:id="rId17" w:history="1">
              <w:r w:rsidR="00D12CC9" w:rsidRPr="00D63B32">
                <w:rPr>
                  <w:rFonts w:eastAsia="Times New Roman" w:cs="Times New Roman"/>
                  <w:color w:val="0563C1"/>
                  <w:sz w:val="20"/>
                  <w:szCs w:val="20"/>
                  <w:u w:val="single"/>
                </w:rPr>
                <w:t>K15231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spal:FM071_07490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ssei:FJR45_08960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sku:Sulku_0666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smul:SMUL_0066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sinu:IMZ28_08255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cmed:FE773_04935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cte:CT1089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cpc:Cpar_1008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cph:Cpha266_1307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cli:Clim_1232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sul:SYO3AOP1_1056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tam:Theam_1022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dte:Dester_1135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Wood-</w:t>
            </w:r>
            <w:proofErr w:type="spellStart"/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Ljungdahl</w:t>
            </w:r>
            <w:proofErr w:type="spellEnd"/>
            <w:r w:rsidRPr="00D63B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(WL) pathway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acsA</w:t>
            </w:r>
            <w:proofErr w:type="spellEnd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cooS</w:t>
            </w:r>
            <w:proofErr w:type="spellEnd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D12CC9" w:rsidRPr="00D63B32" w:rsidRDefault="00C559AC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563C1"/>
                <w:sz w:val="20"/>
                <w:szCs w:val="20"/>
                <w:u w:val="single"/>
              </w:rPr>
            </w:pPr>
            <w:hyperlink r:id="rId18" w:history="1">
              <w:r w:rsidR="00D12CC9" w:rsidRPr="00D63B32">
                <w:rPr>
                  <w:rFonts w:eastAsia="Times New Roman" w:cs="Times New Roman"/>
                  <w:color w:val="0563C1"/>
                  <w:sz w:val="20"/>
                  <w:szCs w:val="20"/>
                  <w:u w:val="single"/>
                </w:rPr>
                <w:t>K00198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dbk:DGMP_17830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dbk:DGMP_17900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dal:Dalk_2379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dal:Dalk_0680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dalk:DSCA_26710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dalk:DSCA_27610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dalk:DSCA_28100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dek:DSLASN_16750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dek:DSLASN_29000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dek:DSLASN_47710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dti:Desti_0232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clj:CLJU_c09110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clj:CLJU_c17910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clj:CLJU_c37670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cck:Ccar_07140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cck:Ccar_08590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cck:Ccar_18845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cck:Ccar_23090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pbif:KXZ80_13960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pbif:KXZ80_14960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cdf:CD630_01740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cdf:CD630_07160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roc:HF520_11320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tem:JW646_03340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tem:JW646_10835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tem:JW646_19155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dsy:DSY4442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dsy:DSY4173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dsy:DSY2630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dsy:DSY1653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dhd:Dhaf_3792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dhd:Dhaf_1166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dhd:Dhaf_0882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dhd:Dhaf_2798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dai:Desaci_0709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dai:Desaci_0260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dai:Desaci_2975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drs:DEHRE_00735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aacx:DEACI_2511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aacx:DEACI_0147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aacx:DEACI_1162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awo:Awo_c10740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cthm:CFE_0653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cthm:CFE_1617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cthm:CFE_1666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cthm:CFE_0163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cthm:CFE_0173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cthm:CFE_1919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chy:CHY_0736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chy:CHY_0034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chy:CHY_0085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chy:CHY_1824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mta:Moth_1972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mta:Moth_1203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adg:Adeg_0335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aar:Acear_0983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aar:Acear_1305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toc:Toce_0761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toc:Toce_0335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toc:Toce_0800 sted:SPTER_06840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sted:SPTER_13670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sted:SPTER_01630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bpit:BPIT_02260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jet:L3J17_07160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tpi:TREPR_3069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dtp:JZK55_05490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F5464"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  <w:t>acsB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D12CC9" w:rsidRPr="00D63B32" w:rsidRDefault="00C559AC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563C1"/>
                <w:sz w:val="20"/>
                <w:szCs w:val="20"/>
                <w:u w:val="single"/>
              </w:rPr>
            </w:pPr>
            <w:hyperlink r:id="rId19" w:history="1">
              <w:r w:rsidR="00D12CC9" w:rsidRPr="00D63B32">
                <w:rPr>
                  <w:rFonts w:eastAsia="Times New Roman" w:cs="Times New Roman"/>
                  <w:color w:val="0563C1"/>
                  <w:sz w:val="20"/>
                  <w:szCs w:val="20"/>
                  <w:u w:val="single"/>
                </w:rPr>
                <w:t>K14138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dbk:DGMP_17890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dal:Dalk_0681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dalk:DSCA_26720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dek:DSLASN_16760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dti:Desti_0231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clj:CLJU_c37550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cck:Ccar_18785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pbif:KXZ80_13900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cdf:CD630_07280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roc:HF520_11260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tem:JW646_10895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dsy:DSY1652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dhd:Dhaf_2797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dai:Desaci_2974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drs:DEHRE_00705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aacx:DEACI_2512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awo:Awo_c33680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cthm:CFE_1665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chy:CHY_1222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mta:Moth_1202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adg:Adeg_0336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aar:Acear_1304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toc:Toce_0813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sted:SPTER_05160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bpit:BPIT_02250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jet:L3J17_07150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tpi:TREPR_3067</w:t>
            </w:r>
          </w:p>
        </w:tc>
      </w:tr>
      <w:tr w:rsidR="00D12CC9" w:rsidRPr="00D63B32" w:rsidTr="004C7598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4F5464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D12CC9" w:rsidRPr="00D63B32" w:rsidRDefault="00D12CC9" w:rsidP="00D12CC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63B32">
              <w:rPr>
                <w:rFonts w:eastAsia="Times New Roman" w:cs="Times New Roman"/>
                <w:color w:val="000000"/>
                <w:sz w:val="20"/>
                <w:szCs w:val="20"/>
              </w:rPr>
              <w:t>dtp:JZK55_05480</w:t>
            </w:r>
          </w:p>
        </w:tc>
      </w:tr>
    </w:tbl>
    <w:p w:rsidR="00D63B32" w:rsidRPr="00694092" w:rsidRDefault="00D63B32" w:rsidP="00D63B32">
      <w:pPr>
        <w:pStyle w:val="Standard"/>
        <w:spacing w:after="240"/>
        <w:rPr>
          <w:rFonts w:asciiTheme="minorHAnsi" w:hAnsiTheme="minorHAnsi"/>
          <w:sz w:val="22"/>
          <w:szCs w:val="22"/>
        </w:rPr>
      </w:pPr>
    </w:p>
    <w:p w:rsidR="00D63B32" w:rsidRPr="00FB57A9" w:rsidRDefault="00D63B32" w:rsidP="00D63B32">
      <w:pPr>
        <w:spacing w:line="240" w:lineRule="auto"/>
        <w:jc w:val="center"/>
        <w:rPr>
          <w:b/>
          <w:sz w:val="28"/>
          <w:szCs w:val="28"/>
        </w:rPr>
      </w:pPr>
    </w:p>
    <w:p w:rsidR="00581567" w:rsidRDefault="00581567"/>
    <w:sectPr w:rsidR="00581567" w:rsidSect="00D12CC9">
      <w:pgSz w:w="15840" w:h="12240" w:orient="landscape"/>
      <w:pgMar w:top="1531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9AC" w:rsidRDefault="00C559AC" w:rsidP="00D12CC9">
      <w:pPr>
        <w:spacing w:after="0" w:line="240" w:lineRule="auto"/>
      </w:pPr>
      <w:r>
        <w:separator/>
      </w:r>
    </w:p>
  </w:endnote>
  <w:endnote w:type="continuationSeparator" w:id="0">
    <w:p w:rsidR="00C559AC" w:rsidRDefault="00C559AC" w:rsidP="00D12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931235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2CC9" w:rsidRDefault="00D12C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65D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12CC9" w:rsidRDefault="00D12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9AC" w:rsidRDefault="00C559AC" w:rsidP="00D12CC9">
      <w:pPr>
        <w:spacing w:after="0" w:line="240" w:lineRule="auto"/>
      </w:pPr>
      <w:r>
        <w:separator/>
      </w:r>
    </w:p>
  </w:footnote>
  <w:footnote w:type="continuationSeparator" w:id="0">
    <w:p w:rsidR="00C559AC" w:rsidRDefault="00C559AC" w:rsidP="00D12C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3tLQwNbEwMzIztDRW0lEKTi0uzszPAykwqgUArVfKNywAAAA="/>
  </w:docVars>
  <w:rsids>
    <w:rsidRoot w:val="00234C87"/>
    <w:rsid w:val="000C65D6"/>
    <w:rsid w:val="00234C87"/>
    <w:rsid w:val="003463CD"/>
    <w:rsid w:val="004C7598"/>
    <w:rsid w:val="004F5464"/>
    <w:rsid w:val="00566734"/>
    <w:rsid w:val="00581567"/>
    <w:rsid w:val="0076593B"/>
    <w:rsid w:val="00C23ED6"/>
    <w:rsid w:val="00C44B50"/>
    <w:rsid w:val="00C559AC"/>
    <w:rsid w:val="00D12CC9"/>
    <w:rsid w:val="00D63B32"/>
    <w:rsid w:val="00DA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E9FA53-B6B1-4807-8510-473FD64C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3B32"/>
    <w:rPr>
      <w:color w:val="0563C1" w:themeColor="hyperlink"/>
      <w:u w:val="single"/>
    </w:rPr>
  </w:style>
  <w:style w:type="paragraph" w:customStyle="1" w:styleId="Standard">
    <w:name w:val="Standard"/>
    <w:rsid w:val="00D63B32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bidi="hi-IN"/>
    </w:rPr>
  </w:style>
  <w:style w:type="paragraph" w:customStyle="1" w:styleId="xl65">
    <w:name w:val="xl65"/>
    <w:basedOn w:val="Normal"/>
    <w:rsid w:val="00D63B32"/>
    <w:pP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D63B32"/>
    <w:pP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D63B32"/>
    <w:pP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D63B32"/>
    <w:pP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D63B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D63B32"/>
    <w:pP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1">
    <w:name w:val="xl71"/>
    <w:basedOn w:val="Normal"/>
    <w:rsid w:val="00D63B32"/>
    <w:pPr>
      <w:shd w:val="clear" w:color="000000" w:fill="F4B08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2">
    <w:name w:val="xl72"/>
    <w:basedOn w:val="Normal"/>
    <w:rsid w:val="00D63B32"/>
    <w:pP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3">
    <w:name w:val="xl73"/>
    <w:basedOn w:val="Normal"/>
    <w:rsid w:val="00D63B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4">
    <w:name w:val="xl74"/>
    <w:basedOn w:val="Normal"/>
    <w:rsid w:val="00D63B32"/>
    <w:pP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5">
    <w:name w:val="xl75"/>
    <w:basedOn w:val="Normal"/>
    <w:rsid w:val="00D63B32"/>
    <w:pPr>
      <w:pBdr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6">
    <w:name w:val="xl76"/>
    <w:basedOn w:val="Normal"/>
    <w:rsid w:val="00D63B32"/>
    <w:pPr>
      <w:pBdr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D63B32"/>
    <w:pPr>
      <w:pBdr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D63B32"/>
    <w:pPr>
      <w:pBdr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D63B32"/>
    <w:pPr>
      <w:pBdr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D63B32"/>
    <w:pPr>
      <w:pBdr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D63B32"/>
    <w:pPr>
      <w:pBdr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D63B32"/>
    <w:pPr>
      <w:pBdr>
        <w:bottom w:val="single" w:sz="8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D63B32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4">
    <w:name w:val="xl84"/>
    <w:basedOn w:val="Normal"/>
    <w:rsid w:val="00D63B32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D63B32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D63B32"/>
    <w:pPr>
      <w:pBdr>
        <w:top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7">
    <w:name w:val="xl87"/>
    <w:basedOn w:val="Normal"/>
    <w:rsid w:val="00D63B32"/>
    <w:pPr>
      <w:pBdr>
        <w:top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88">
    <w:name w:val="xl88"/>
    <w:basedOn w:val="Normal"/>
    <w:rsid w:val="00D63B32"/>
    <w:pPr>
      <w:pBdr>
        <w:top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D63B32"/>
    <w:pPr>
      <w:pBdr>
        <w:top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0">
    <w:name w:val="xl90"/>
    <w:basedOn w:val="Normal"/>
    <w:rsid w:val="00D63B32"/>
    <w:pPr>
      <w:pBdr>
        <w:top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91">
    <w:name w:val="xl91"/>
    <w:basedOn w:val="Normal"/>
    <w:rsid w:val="00D63B32"/>
    <w:pPr>
      <w:pBdr>
        <w:top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D63B32"/>
    <w:pPr>
      <w:pBdr>
        <w:top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3">
    <w:name w:val="xl93"/>
    <w:basedOn w:val="Normal"/>
    <w:rsid w:val="00D63B32"/>
    <w:pPr>
      <w:pBdr>
        <w:top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94">
    <w:name w:val="xl94"/>
    <w:basedOn w:val="Normal"/>
    <w:rsid w:val="00D63B32"/>
    <w:pPr>
      <w:pBdr>
        <w:top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D63B32"/>
    <w:pPr>
      <w:pBdr>
        <w:top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6">
    <w:name w:val="xl96"/>
    <w:basedOn w:val="Normal"/>
    <w:rsid w:val="00D63B32"/>
    <w:pPr>
      <w:pBdr>
        <w:top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97">
    <w:name w:val="xl97"/>
    <w:basedOn w:val="Normal"/>
    <w:rsid w:val="00D63B32"/>
    <w:pPr>
      <w:pBdr>
        <w:top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D63B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Normal"/>
    <w:rsid w:val="00D63B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Normal"/>
    <w:rsid w:val="00D63B32"/>
    <w:pPr>
      <w:pBdr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D63B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591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D63B32"/>
    <w:pPr>
      <w:pBdr>
        <w:left w:val="single" w:sz="4" w:space="0" w:color="auto"/>
        <w:right w:val="single" w:sz="4" w:space="0" w:color="auto"/>
      </w:pBdr>
      <w:shd w:val="clear" w:color="000000" w:fill="C6591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D63B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6591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2C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CC9"/>
  </w:style>
  <w:style w:type="paragraph" w:styleId="Footer">
    <w:name w:val="footer"/>
    <w:basedOn w:val="Normal"/>
    <w:link w:val="FooterChar"/>
    <w:uiPriority w:val="99"/>
    <w:unhideWhenUsed/>
    <w:rsid w:val="00D12C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kegg.jp/entry/ko:K02591" TargetMode="External"/><Relationship Id="rId18" Type="http://schemas.openxmlformats.org/officeDocument/2006/relationships/hyperlink" Target="https://www.kegg.jp/entry/ko:K00198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hyperlink" Target="https://www.kegg.jp/entry/ko:K02586" TargetMode="External"/><Relationship Id="rId17" Type="http://schemas.openxmlformats.org/officeDocument/2006/relationships/hyperlink" Target="https://www.kegg.jp/entry/ko:K152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kegg.jp/entry/ko:K1523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kegg.jp/entry/ko:K02588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kegg.jp/entry/ko:K01602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kegg.jp/entry/ko:K14138" TargetMode="Externa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hyperlink" Target="https://www.kegg.jp/entry/ko:K016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Chiciudean</dc:creator>
  <cp:keywords/>
  <dc:description/>
  <cp:lastModifiedBy>Iulia Chiciudean</cp:lastModifiedBy>
  <cp:revision>7</cp:revision>
  <dcterms:created xsi:type="dcterms:W3CDTF">2022-07-20T14:10:00Z</dcterms:created>
  <dcterms:modified xsi:type="dcterms:W3CDTF">2022-07-21T08:14:00Z</dcterms:modified>
</cp:coreProperties>
</file>