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942" w:rsidRPr="004A257F" w:rsidRDefault="00023942" w:rsidP="006149A5">
      <w:pPr>
        <w:pStyle w:val="Title"/>
        <w:spacing w:line="480" w:lineRule="auto"/>
        <w:rPr>
          <w:sz w:val="40"/>
        </w:rPr>
      </w:pPr>
      <w:bookmarkStart w:id="0" w:name="_GoBack"/>
      <w:r w:rsidRPr="004A257F">
        <w:rPr>
          <w:sz w:val="40"/>
        </w:rPr>
        <w:t>Subtropical coastal microbiome variations due to massive river run-off after a cyclonic event</w:t>
      </w:r>
    </w:p>
    <w:p w:rsidR="00023942" w:rsidRPr="004A257F" w:rsidRDefault="00023942" w:rsidP="006149A5">
      <w:pPr>
        <w:spacing w:line="480" w:lineRule="auto"/>
        <w:jc w:val="both"/>
        <w:rPr>
          <w:b/>
          <w:sz w:val="24"/>
          <w:lang w:eastAsia="fr-FR"/>
        </w:rPr>
      </w:pPr>
      <w:proofErr w:type="spellStart"/>
      <w:r w:rsidRPr="004A257F">
        <w:rPr>
          <w:b/>
          <w:sz w:val="24"/>
          <w:lang w:eastAsia="fr-FR"/>
        </w:rPr>
        <w:t>Authors</w:t>
      </w:r>
      <w:proofErr w:type="spellEnd"/>
      <w:r w:rsidRPr="004A257F">
        <w:rPr>
          <w:b/>
          <w:sz w:val="24"/>
          <w:lang w:eastAsia="fr-FR"/>
        </w:rPr>
        <w:t xml:space="preserve">: </w:t>
      </w:r>
    </w:p>
    <w:p w:rsidR="00023942" w:rsidRPr="004A257F" w:rsidRDefault="00023942" w:rsidP="006149A5">
      <w:pPr>
        <w:spacing w:line="480" w:lineRule="auto"/>
        <w:jc w:val="both"/>
        <w:rPr>
          <w:sz w:val="28"/>
          <w:vertAlign w:val="superscript"/>
        </w:rPr>
      </w:pPr>
      <w:r w:rsidRPr="004A257F">
        <w:rPr>
          <w:sz w:val="28"/>
        </w:rPr>
        <w:t>M.Meyneng</w:t>
      </w:r>
      <w:r w:rsidRPr="004A257F">
        <w:rPr>
          <w:sz w:val="28"/>
          <w:vertAlign w:val="superscript"/>
        </w:rPr>
        <w:t>1</w:t>
      </w:r>
      <w:r w:rsidRPr="004A257F">
        <w:rPr>
          <w:sz w:val="28"/>
        </w:rPr>
        <w:t>, H. Lemonnier</w:t>
      </w:r>
      <w:r w:rsidRPr="004A257F">
        <w:rPr>
          <w:sz w:val="28"/>
          <w:vertAlign w:val="superscript"/>
        </w:rPr>
        <w:t>2</w:t>
      </w:r>
      <w:r w:rsidRPr="004A257F">
        <w:rPr>
          <w:sz w:val="28"/>
        </w:rPr>
        <w:t>, R. Le Gendre</w:t>
      </w:r>
      <w:r w:rsidRPr="004A257F">
        <w:rPr>
          <w:sz w:val="28"/>
          <w:vertAlign w:val="superscript"/>
        </w:rPr>
        <w:t>2</w:t>
      </w:r>
      <w:r w:rsidRPr="004A257F">
        <w:rPr>
          <w:sz w:val="28"/>
        </w:rPr>
        <w:t>, G. Plougo</w:t>
      </w:r>
      <w:r w:rsidR="000702CD" w:rsidRPr="004A257F">
        <w:rPr>
          <w:sz w:val="28"/>
        </w:rPr>
        <w:t>u</w:t>
      </w:r>
      <w:r w:rsidRPr="004A257F">
        <w:rPr>
          <w:sz w:val="28"/>
        </w:rPr>
        <w:t>len</w:t>
      </w:r>
      <w:r w:rsidRPr="004A257F">
        <w:rPr>
          <w:sz w:val="28"/>
          <w:vertAlign w:val="superscript"/>
        </w:rPr>
        <w:t>2</w:t>
      </w:r>
      <w:r w:rsidRPr="004A257F">
        <w:rPr>
          <w:sz w:val="28"/>
        </w:rPr>
        <w:t>, F. Antypas</w:t>
      </w:r>
      <w:r w:rsidRPr="004A257F">
        <w:rPr>
          <w:sz w:val="28"/>
          <w:vertAlign w:val="superscript"/>
        </w:rPr>
        <w:t>2</w:t>
      </w:r>
      <w:r w:rsidRPr="004A257F">
        <w:rPr>
          <w:sz w:val="28"/>
        </w:rPr>
        <w:t>, D. Ansquer</w:t>
      </w:r>
      <w:r w:rsidRPr="004A257F">
        <w:rPr>
          <w:sz w:val="28"/>
          <w:vertAlign w:val="superscript"/>
        </w:rPr>
        <w:t>2</w:t>
      </w:r>
      <w:r w:rsidRPr="004A257F">
        <w:rPr>
          <w:sz w:val="28"/>
        </w:rPr>
        <w:t>, J. Serghine</w:t>
      </w:r>
      <w:r w:rsidR="00515590" w:rsidRPr="004A257F">
        <w:rPr>
          <w:sz w:val="28"/>
          <w:vertAlign w:val="superscript"/>
        </w:rPr>
        <w:t>1</w:t>
      </w:r>
      <w:r w:rsidRPr="004A257F">
        <w:rPr>
          <w:sz w:val="28"/>
        </w:rPr>
        <w:t>,</w:t>
      </w:r>
      <w:r w:rsidR="00515590" w:rsidRPr="004A257F">
        <w:rPr>
          <w:sz w:val="28"/>
        </w:rPr>
        <w:t xml:space="preserve"> S. Schmitt</w:t>
      </w:r>
      <w:r w:rsidR="00515590" w:rsidRPr="004A257F">
        <w:rPr>
          <w:sz w:val="28"/>
          <w:vertAlign w:val="superscript"/>
        </w:rPr>
        <w:t>1</w:t>
      </w:r>
      <w:r w:rsidR="00515590" w:rsidRPr="004A257F">
        <w:rPr>
          <w:sz w:val="28"/>
        </w:rPr>
        <w:t>,</w:t>
      </w:r>
      <w:r w:rsidRPr="004A257F">
        <w:rPr>
          <w:sz w:val="28"/>
        </w:rPr>
        <w:t xml:space="preserve"> R. Siano</w:t>
      </w:r>
      <w:r w:rsidRPr="004A257F">
        <w:rPr>
          <w:sz w:val="28"/>
          <w:vertAlign w:val="superscript"/>
        </w:rPr>
        <w:t>1</w:t>
      </w:r>
    </w:p>
    <w:p w:rsidR="00023942" w:rsidRPr="004A257F" w:rsidRDefault="00023942" w:rsidP="006149A5">
      <w:pPr>
        <w:spacing w:line="480" w:lineRule="auto"/>
        <w:jc w:val="both"/>
        <w:rPr>
          <w:sz w:val="28"/>
          <w:lang w:val="en-US"/>
        </w:rPr>
      </w:pPr>
      <w:r w:rsidRPr="004A257F">
        <w:rPr>
          <w:sz w:val="28"/>
          <w:vertAlign w:val="superscript"/>
          <w:lang w:val="en-US"/>
        </w:rPr>
        <w:t xml:space="preserve">1 </w:t>
      </w:r>
      <w:r w:rsidRPr="004A257F">
        <w:rPr>
          <w:sz w:val="28"/>
          <w:lang w:val="en-US"/>
        </w:rPr>
        <w:t xml:space="preserve">IFREMER, DYNECO, BP70, </w:t>
      </w:r>
      <w:proofErr w:type="spellStart"/>
      <w:r w:rsidRPr="004A257F">
        <w:rPr>
          <w:sz w:val="28"/>
          <w:lang w:val="en-US"/>
        </w:rPr>
        <w:t>Plouzané</w:t>
      </w:r>
      <w:proofErr w:type="spellEnd"/>
      <w:r w:rsidRPr="004A257F">
        <w:rPr>
          <w:sz w:val="28"/>
          <w:lang w:val="en-US"/>
        </w:rPr>
        <w:t>, France</w:t>
      </w:r>
    </w:p>
    <w:p w:rsidR="00023942" w:rsidRPr="004A257F" w:rsidRDefault="00023942" w:rsidP="006149A5">
      <w:pPr>
        <w:spacing w:line="480" w:lineRule="auto"/>
        <w:jc w:val="both"/>
        <w:rPr>
          <w:sz w:val="28"/>
          <w:lang w:val="en-US"/>
        </w:rPr>
      </w:pPr>
      <w:r w:rsidRPr="004A257F">
        <w:rPr>
          <w:sz w:val="28"/>
          <w:vertAlign w:val="superscript"/>
          <w:lang w:val="en-US"/>
        </w:rPr>
        <w:t>2</w:t>
      </w:r>
      <w:r w:rsidRPr="004A257F">
        <w:rPr>
          <w:sz w:val="28"/>
          <w:lang w:val="en-US"/>
        </w:rPr>
        <w:t xml:space="preserve"> IFREMER, LEAD, BP2059, 98846 Nouméa, New Caledonia</w:t>
      </w:r>
    </w:p>
    <w:p w:rsidR="00023942" w:rsidRPr="004A257F" w:rsidRDefault="00023942" w:rsidP="006149A5">
      <w:pPr>
        <w:spacing w:line="480" w:lineRule="auto"/>
        <w:jc w:val="both"/>
        <w:rPr>
          <w:b/>
          <w:sz w:val="24"/>
          <w:lang w:val="en-US"/>
        </w:rPr>
      </w:pPr>
      <w:r w:rsidRPr="004A257F">
        <w:rPr>
          <w:b/>
          <w:sz w:val="24"/>
          <w:lang w:val="en-US"/>
        </w:rPr>
        <w:t xml:space="preserve">Mail addresses: </w:t>
      </w:r>
    </w:p>
    <w:p w:rsidR="00023942" w:rsidRPr="004A257F" w:rsidRDefault="00023942" w:rsidP="006149A5">
      <w:pPr>
        <w:spacing w:line="480" w:lineRule="auto"/>
        <w:jc w:val="both"/>
        <w:rPr>
          <w:sz w:val="28"/>
          <w:lang w:val="en-US"/>
        </w:rPr>
      </w:pPr>
      <w:r w:rsidRPr="004A257F">
        <w:rPr>
          <w:sz w:val="28"/>
          <w:lang w:val="en-US"/>
        </w:rPr>
        <w:t xml:space="preserve">Corresponding authors: </w:t>
      </w:r>
      <w:hyperlink r:id="rId5" w:history="1">
        <w:r w:rsidR="00B077D7" w:rsidRPr="004A257F">
          <w:rPr>
            <w:rStyle w:val="Hyperlink"/>
            <w:color w:val="auto"/>
            <w:sz w:val="28"/>
            <w:lang w:val="en-US"/>
          </w:rPr>
          <w:t>raffaele.siano@ifremer.fr</w:t>
        </w:r>
      </w:hyperlink>
      <w:r w:rsidR="00B077D7" w:rsidRPr="004A257F">
        <w:rPr>
          <w:sz w:val="28"/>
          <w:lang w:val="en-US"/>
        </w:rPr>
        <w:t xml:space="preserve"> </w:t>
      </w:r>
    </w:p>
    <w:p w:rsidR="00226CA9" w:rsidRPr="004A257F" w:rsidRDefault="00226CA9" w:rsidP="006149A5">
      <w:pPr>
        <w:spacing w:line="480" w:lineRule="auto"/>
        <w:jc w:val="both"/>
        <w:rPr>
          <w:sz w:val="28"/>
          <w:lang w:val="en-US"/>
        </w:rPr>
      </w:pPr>
    </w:p>
    <w:p w:rsidR="00226CA9" w:rsidRPr="004A257F" w:rsidRDefault="00226CA9" w:rsidP="006149A5">
      <w:pPr>
        <w:spacing w:line="480" w:lineRule="auto"/>
        <w:jc w:val="both"/>
        <w:rPr>
          <w:sz w:val="28"/>
          <w:lang w:val="en-US"/>
        </w:rPr>
      </w:pPr>
    </w:p>
    <w:p w:rsidR="00226CA9" w:rsidRPr="004A257F" w:rsidRDefault="00226CA9" w:rsidP="006149A5">
      <w:pPr>
        <w:spacing w:line="480" w:lineRule="auto"/>
        <w:jc w:val="both"/>
        <w:rPr>
          <w:sz w:val="28"/>
          <w:lang w:val="en-US"/>
        </w:rPr>
      </w:pPr>
    </w:p>
    <w:p w:rsidR="00226CA9" w:rsidRPr="004A257F" w:rsidRDefault="00226CA9" w:rsidP="006149A5">
      <w:pPr>
        <w:spacing w:line="480" w:lineRule="auto"/>
        <w:jc w:val="both"/>
        <w:rPr>
          <w:sz w:val="28"/>
          <w:lang w:val="en-US"/>
        </w:rPr>
      </w:pPr>
    </w:p>
    <w:p w:rsidR="00226CA9" w:rsidRPr="004A257F" w:rsidRDefault="00226CA9" w:rsidP="006149A5">
      <w:pPr>
        <w:spacing w:line="480" w:lineRule="auto"/>
        <w:jc w:val="both"/>
        <w:rPr>
          <w:sz w:val="28"/>
          <w:lang w:val="en-US"/>
        </w:rPr>
      </w:pPr>
    </w:p>
    <w:p w:rsidR="00226CA9" w:rsidRPr="004A257F" w:rsidRDefault="00226CA9" w:rsidP="006149A5">
      <w:pPr>
        <w:spacing w:line="480" w:lineRule="auto"/>
        <w:jc w:val="both"/>
        <w:rPr>
          <w:sz w:val="28"/>
          <w:lang w:val="en-US"/>
        </w:rPr>
      </w:pPr>
    </w:p>
    <w:p w:rsidR="00226CA9" w:rsidRPr="004A257F" w:rsidRDefault="00226CA9" w:rsidP="006149A5">
      <w:pPr>
        <w:spacing w:line="480" w:lineRule="auto"/>
        <w:jc w:val="both"/>
        <w:rPr>
          <w:sz w:val="28"/>
          <w:lang w:val="en-US"/>
        </w:rPr>
      </w:pPr>
    </w:p>
    <w:p w:rsidR="00C03DA3" w:rsidRPr="004A257F" w:rsidRDefault="00C03DA3" w:rsidP="006149A5">
      <w:pPr>
        <w:spacing w:line="480" w:lineRule="auto"/>
        <w:jc w:val="both"/>
        <w:rPr>
          <w:sz w:val="28"/>
          <w:lang w:val="en-US"/>
        </w:rPr>
      </w:pPr>
    </w:p>
    <w:p w:rsidR="008838EB" w:rsidRPr="004A257F" w:rsidRDefault="00ED1ABC" w:rsidP="00517D31">
      <w:pPr>
        <w:spacing w:line="480" w:lineRule="auto"/>
        <w:jc w:val="both"/>
        <w:rPr>
          <w:b/>
          <w:sz w:val="28"/>
          <w:lang w:val="en-US"/>
        </w:rPr>
      </w:pPr>
      <w:r w:rsidRPr="004A257F">
        <w:rPr>
          <w:b/>
          <w:sz w:val="28"/>
          <w:lang w:val="en-US"/>
        </w:rPr>
        <w:lastRenderedPageBreak/>
        <w:t>Additional file 2</w:t>
      </w:r>
    </w:p>
    <w:p w:rsidR="00C03DA3" w:rsidRPr="004A257F" w:rsidRDefault="00C03DA3" w:rsidP="00C03DA3">
      <w:pPr>
        <w:rPr>
          <w:b/>
          <w:szCs w:val="24"/>
          <w:lang w:val="en-US"/>
        </w:rPr>
      </w:pPr>
      <w:r w:rsidRPr="004A257F">
        <w:rPr>
          <w:b/>
          <w:szCs w:val="24"/>
          <w:lang w:val="en-US"/>
        </w:rPr>
        <w:t>Choice of ecological descriptors</w:t>
      </w:r>
    </w:p>
    <w:p w:rsidR="00C03DA3" w:rsidRPr="004A257F" w:rsidRDefault="00C03DA3" w:rsidP="009E0670">
      <w:pPr>
        <w:spacing w:after="0" w:line="480" w:lineRule="auto"/>
        <w:ind w:firstLine="708"/>
        <w:jc w:val="both"/>
        <w:rPr>
          <w:rFonts w:cstheme="minorHAnsi"/>
          <w:szCs w:val="24"/>
          <w:lang w:val="en-US"/>
        </w:rPr>
      </w:pPr>
      <w:r w:rsidRPr="004A257F">
        <w:rPr>
          <w:rFonts w:cstheme="minorHAnsi"/>
          <w:szCs w:val="24"/>
          <w:lang w:val="en-US"/>
        </w:rPr>
        <w:t>The whole dataset of the 21 measured environmental parameters are available in Additional file 3. Some of them were significantly correlated with each other in all datasets as shown in Fig. S3</w:t>
      </w:r>
      <w:r w:rsidRPr="004A257F">
        <w:rPr>
          <w:szCs w:val="24"/>
          <w:lang w:val="en-US"/>
        </w:rPr>
        <w:t xml:space="preserve"> (see below</w:t>
      </w:r>
      <w:r w:rsidRPr="004A257F">
        <w:rPr>
          <w:rFonts w:cstheme="minorHAnsi"/>
          <w:szCs w:val="24"/>
          <w:lang w:val="en-US"/>
        </w:rPr>
        <w:t>). Eight parameters were chosen as key descriptors. Salinity and water temperature were chosen to characterize the hydrology of the sampled waters. The particulate compartment was represented by POC (</w:t>
      </w:r>
      <w:r w:rsidRPr="004A257F">
        <w:rPr>
          <w:rFonts w:ascii="Calibri" w:eastAsia="Calibri" w:hAnsi="Calibri" w:cs="Calibri"/>
          <w:szCs w:val="24"/>
          <w:lang w:val="en-US"/>
        </w:rPr>
        <w:t>particulate organic carbon</w:t>
      </w:r>
      <w:r w:rsidRPr="004A257F">
        <w:rPr>
          <w:rFonts w:cstheme="minorHAnsi"/>
          <w:szCs w:val="24"/>
          <w:lang w:val="en-US"/>
        </w:rPr>
        <w:t xml:space="preserve">), an indicator of </w:t>
      </w:r>
      <w:r w:rsidRPr="004A257F">
        <w:rPr>
          <w:rFonts w:ascii="Calibri" w:eastAsia="Calibri" w:hAnsi="Calibri" w:cs="Calibri"/>
          <w:szCs w:val="24"/>
          <w:lang w:val="en-US"/>
        </w:rPr>
        <w:t xml:space="preserve">the </w:t>
      </w:r>
      <w:r w:rsidRPr="004A257F">
        <w:rPr>
          <w:rFonts w:cstheme="minorHAnsi"/>
          <w:szCs w:val="24"/>
          <w:lang w:val="en-US"/>
        </w:rPr>
        <w:t>quantity of POM and Ni (</w:t>
      </w:r>
      <w:r w:rsidRPr="004A257F">
        <w:rPr>
          <w:rFonts w:ascii="Calibri" w:eastAsia="Calibri" w:hAnsi="Calibri" w:cs="Calibri"/>
          <w:szCs w:val="24"/>
          <w:lang w:val="en-US"/>
        </w:rPr>
        <w:t>particulate nickel</w:t>
      </w:r>
      <w:r w:rsidRPr="004A257F">
        <w:rPr>
          <w:rFonts w:cstheme="minorHAnsi"/>
          <w:szCs w:val="24"/>
          <w:lang w:val="en-US"/>
        </w:rPr>
        <w:t xml:space="preserve">) concentrations. Ni was positively correlated with the majority of other particulate metal concentrations (Spearman coefficient of 0.99 with </w:t>
      </w:r>
      <w:r w:rsidRPr="004A257F">
        <w:rPr>
          <w:rFonts w:ascii="Calibri" w:eastAsia="Calibri" w:hAnsi="Calibri" w:cs="Calibri"/>
          <w:szCs w:val="24"/>
          <w:lang w:val="en-US"/>
        </w:rPr>
        <w:t>chrome</w:t>
      </w:r>
      <w:r w:rsidRPr="004A257F">
        <w:rPr>
          <w:rFonts w:cstheme="minorHAnsi"/>
          <w:szCs w:val="24"/>
          <w:lang w:val="en-US"/>
        </w:rPr>
        <w:t xml:space="preserve">, 0.96 with </w:t>
      </w:r>
      <w:r w:rsidRPr="004A257F">
        <w:rPr>
          <w:rFonts w:ascii="Calibri" w:eastAsia="Calibri" w:hAnsi="Calibri" w:cs="Calibri"/>
          <w:szCs w:val="24"/>
          <w:lang w:val="en-US"/>
        </w:rPr>
        <w:t>iron</w:t>
      </w:r>
      <w:r w:rsidRPr="004A257F">
        <w:rPr>
          <w:rFonts w:cstheme="minorHAnsi"/>
          <w:szCs w:val="24"/>
          <w:lang w:val="en-US"/>
        </w:rPr>
        <w:t xml:space="preserve">, 0.95 with </w:t>
      </w:r>
      <w:r w:rsidRPr="004A257F">
        <w:rPr>
          <w:rFonts w:ascii="Calibri" w:eastAsia="Calibri" w:hAnsi="Calibri" w:cs="Calibri"/>
          <w:szCs w:val="24"/>
          <w:lang w:val="en-US"/>
        </w:rPr>
        <w:t>manganese</w:t>
      </w:r>
      <w:r w:rsidRPr="004A257F">
        <w:rPr>
          <w:rFonts w:cstheme="minorHAnsi"/>
          <w:szCs w:val="24"/>
          <w:lang w:val="en-US"/>
        </w:rPr>
        <w:t xml:space="preserve"> and 0.84 with </w:t>
      </w:r>
      <w:r w:rsidRPr="004A257F">
        <w:rPr>
          <w:rFonts w:ascii="Calibri" w:eastAsia="Calibri" w:hAnsi="Calibri" w:cs="Calibri"/>
          <w:szCs w:val="24"/>
          <w:lang w:val="en-US"/>
        </w:rPr>
        <w:t>cobalt</w:t>
      </w:r>
      <w:r w:rsidRPr="004A257F">
        <w:rPr>
          <w:rFonts w:cstheme="minorHAnsi"/>
          <w:szCs w:val="24"/>
          <w:lang w:val="en-US"/>
        </w:rPr>
        <w:t>)</w:t>
      </w:r>
      <w:r w:rsidRPr="004A257F">
        <w:rPr>
          <w:rFonts w:ascii="Calibri" w:eastAsia="Calibri" w:hAnsi="Calibri" w:cs="Calibri"/>
          <w:szCs w:val="24"/>
          <w:lang w:val="en-US"/>
        </w:rPr>
        <w:t>;</w:t>
      </w:r>
      <w:r w:rsidRPr="004A257F">
        <w:rPr>
          <w:rFonts w:cstheme="minorHAnsi"/>
          <w:szCs w:val="24"/>
          <w:lang w:val="en-US"/>
        </w:rPr>
        <w:t xml:space="preserve"> therefore</w:t>
      </w:r>
      <w:r w:rsidRPr="004A257F">
        <w:rPr>
          <w:rFonts w:ascii="Calibri" w:eastAsia="Calibri" w:hAnsi="Calibri" w:cs="Calibri"/>
          <w:szCs w:val="24"/>
          <w:lang w:val="en-US"/>
        </w:rPr>
        <w:t>,</w:t>
      </w:r>
      <w:r w:rsidRPr="004A257F">
        <w:rPr>
          <w:rFonts w:cstheme="minorHAnsi"/>
          <w:szCs w:val="24"/>
          <w:lang w:val="en-US"/>
        </w:rPr>
        <w:t xml:space="preserve"> it was chosen to represent metal concentrations in the water column. The DOM was characterized by S1 (Spearman coefficient of -0.87 with a350), in addition to HIX (Humification Index), BIX (Biological Index) and DON (Dissolved Organic Nitrogen).</w:t>
      </w:r>
    </w:p>
    <w:p w:rsidR="00550373" w:rsidRPr="004A257F" w:rsidRDefault="00550373" w:rsidP="009E0670">
      <w:pPr>
        <w:spacing w:after="0" w:line="480" w:lineRule="auto"/>
        <w:ind w:firstLine="708"/>
        <w:jc w:val="both"/>
        <w:rPr>
          <w:rFonts w:cstheme="minorHAnsi"/>
          <w:szCs w:val="24"/>
          <w:lang w:val="en-US"/>
        </w:rPr>
      </w:pPr>
    </w:p>
    <w:p w:rsidR="00C03DA3" w:rsidRPr="004A257F" w:rsidRDefault="00C03DA3" w:rsidP="00C03DA3">
      <w:pPr>
        <w:rPr>
          <w:b/>
          <w:szCs w:val="24"/>
          <w:lang w:val="en-US"/>
        </w:rPr>
      </w:pPr>
      <w:r w:rsidRPr="004A257F">
        <w:rPr>
          <w:b/>
          <w:szCs w:val="24"/>
          <w:lang w:val="en-US"/>
        </w:rPr>
        <w:t>Spatial gradient illustrated by community composition</w:t>
      </w:r>
    </w:p>
    <w:p w:rsidR="00550373" w:rsidRPr="004A257F" w:rsidRDefault="007901AF" w:rsidP="00FF29B8">
      <w:pPr>
        <w:spacing w:line="480" w:lineRule="auto"/>
        <w:ind w:firstLine="708"/>
        <w:jc w:val="both"/>
        <w:rPr>
          <w:szCs w:val="24"/>
          <w:lang w:val="en-US"/>
        </w:rPr>
      </w:pPr>
      <w:r w:rsidRPr="004A257F">
        <w:rPr>
          <w:rFonts w:ascii="Calibri" w:eastAsia="Calibri" w:hAnsi="Calibri" w:cs="Times New Roman"/>
          <w:szCs w:val="24"/>
          <w:lang w:val="en-US"/>
        </w:rPr>
        <w:t>The spatial gradient visible in several environmental parameters</w:t>
      </w:r>
      <w:r w:rsidR="000274A8" w:rsidRPr="004A257F">
        <w:rPr>
          <w:rFonts w:ascii="Calibri" w:eastAsia="Calibri" w:hAnsi="Calibri" w:cs="Times New Roman"/>
          <w:szCs w:val="24"/>
          <w:lang w:val="en-US"/>
        </w:rPr>
        <w:t xml:space="preserve"> was also illustrated by the community composition. </w:t>
      </w:r>
      <w:r w:rsidR="00C03DA3" w:rsidRPr="004A257F">
        <w:rPr>
          <w:rFonts w:ascii="Calibri" w:eastAsia="Calibri" w:hAnsi="Calibri" w:cs="Times New Roman"/>
          <w:szCs w:val="24"/>
          <w:lang w:val="en-US"/>
        </w:rPr>
        <w:t>The proportion</w:t>
      </w:r>
      <w:r w:rsidR="00C03DA3" w:rsidRPr="004A257F">
        <w:rPr>
          <w:szCs w:val="24"/>
          <w:lang w:val="en-US"/>
        </w:rPr>
        <w:t xml:space="preserve"> of </w:t>
      </w:r>
      <w:proofErr w:type="spellStart"/>
      <w:r w:rsidR="00C03DA3" w:rsidRPr="004A257F">
        <w:rPr>
          <w:szCs w:val="24"/>
          <w:lang w:val="en-US"/>
        </w:rPr>
        <w:t>Cercozoa</w:t>
      </w:r>
      <w:proofErr w:type="spellEnd"/>
      <w:r w:rsidR="00C03DA3" w:rsidRPr="004A257F">
        <w:rPr>
          <w:szCs w:val="24"/>
          <w:lang w:val="en-US"/>
        </w:rPr>
        <w:t xml:space="preserve"> was higher in coastal stations</w:t>
      </w:r>
      <w:r w:rsidR="00C03DA3" w:rsidRPr="004A257F">
        <w:rPr>
          <w:rFonts w:ascii="Calibri" w:eastAsia="Calibri" w:hAnsi="Calibri" w:cs="Times New Roman"/>
          <w:szCs w:val="24"/>
          <w:lang w:val="en-US"/>
        </w:rPr>
        <w:t>,</w:t>
      </w:r>
      <w:r w:rsidR="00C03DA3" w:rsidRPr="004A257F">
        <w:rPr>
          <w:szCs w:val="24"/>
          <w:lang w:val="en-US"/>
        </w:rPr>
        <w:t xml:space="preserve"> with 6.2 ± 5.5% for pico-, 3.6 ± 4.7% for </w:t>
      </w:r>
      <w:proofErr w:type="spellStart"/>
      <w:r w:rsidR="00C03DA3" w:rsidRPr="004A257F">
        <w:rPr>
          <w:szCs w:val="24"/>
          <w:lang w:val="en-US"/>
        </w:rPr>
        <w:t>nano</w:t>
      </w:r>
      <w:proofErr w:type="spellEnd"/>
      <w:r w:rsidR="00C03DA3" w:rsidRPr="004A257F">
        <w:rPr>
          <w:szCs w:val="24"/>
          <w:lang w:val="en-US"/>
        </w:rPr>
        <w:t xml:space="preserve">- and 1.5 ± 2.3% for micro-protist communities against 2.4 ± 0.9%, 0.9 ± 0.5% and 0.5 ± 0.9% on average in middle and offshore stations. </w:t>
      </w:r>
      <w:r w:rsidR="00C03DA3" w:rsidRPr="004A257F">
        <w:rPr>
          <w:rFonts w:ascii="Calibri" w:eastAsia="Calibri" w:hAnsi="Calibri" w:cs="Times New Roman"/>
          <w:szCs w:val="24"/>
          <w:lang w:val="en-US"/>
        </w:rPr>
        <w:t>The same</w:t>
      </w:r>
      <w:r w:rsidR="00C03DA3" w:rsidRPr="004A257F">
        <w:rPr>
          <w:szCs w:val="24"/>
          <w:lang w:val="en-US"/>
        </w:rPr>
        <w:t xml:space="preserve"> pattern</w:t>
      </w:r>
      <w:r w:rsidR="00C03DA3" w:rsidRPr="004A257F">
        <w:rPr>
          <w:rFonts w:ascii="Calibri" w:eastAsia="Calibri" w:hAnsi="Calibri" w:cs="Times New Roman"/>
          <w:szCs w:val="24"/>
          <w:lang w:val="en-US"/>
        </w:rPr>
        <w:t xml:space="preserve"> was observed </w:t>
      </w:r>
      <w:r w:rsidR="00C03DA3" w:rsidRPr="004A257F">
        <w:rPr>
          <w:szCs w:val="24"/>
          <w:lang w:val="en-US"/>
        </w:rPr>
        <w:t xml:space="preserve">for </w:t>
      </w:r>
      <w:proofErr w:type="spellStart"/>
      <w:r w:rsidR="00C03DA3" w:rsidRPr="004A257F">
        <w:rPr>
          <w:szCs w:val="24"/>
          <w:lang w:val="en-US"/>
        </w:rPr>
        <w:t>Ochrophyta</w:t>
      </w:r>
      <w:proofErr w:type="spellEnd"/>
      <w:r w:rsidR="00C03DA3" w:rsidRPr="004A257F">
        <w:rPr>
          <w:szCs w:val="24"/>
          <w:lang w:val="en-US"/>
        </w:rPr>
        <w:t xml:space="preserve"> with </w:t>
      </w:r>
      <w:proofErr w:type="spellStart"/>
      <w:r w:rsidR="00C03DA3" w:rsidRPr="004A257F">
        <w:rPr>
          <w:szCs w:val="24"/>
          <w:lang w:val="en-US"/>
        </w:rPr>
        <w:t>nano</w:t>
      </w:r>
      <w:proofErr w:type="spellEnd"/>
      <w:r w:rsidR="00C03DA3" w:rsidRPr="004A257F">
        <w:rPr>
          <w:szCs w:val="24"/>
          <w:lang w:val="en-US"/>
        </w:rPr>
        <w:t>- and micro-protists communities,</w:t>
      </w:r>
      <w:r w:rsidR="00C03DA3" w:rsidRPr="004A257F">
        <w:rPr>
          <w:rFonts w:ascii="Calibri" w:eastAsia="Calibri" w:hAnsi="Calibri" w:cs="Times New Roman"/>
          <w:szCs w:val="24"/>
          <w:lang w:val="en-US"/>
        </w:rPr>
        <w:t xml:space="preserve"> which were</w:t>
      </w:r>
      <w:r w:rsidR="00C03DA3" w:rsidRPr="004A257F">
        <w:rPr>
          <w:szCs w:val="24"/>
          <w:lang w:val="en-US"/>
        </w:rPr>
        <w:t xml:space="preserve"> 23 ± 19% and 18 ± 9.3%</w:t>
      </w:r>
      <w:r w:rsidR="00C03DA3" w:rsidRPr="004A257F">
        <w:rPr>
          <w:rFonts w:ascii="Calibri" w:eastAsia="Calibri" w:hAnsi="Calibri" w:cs="Times New Roman"/>
          <w:szCs w:val="24"/>
          <w:lang w:val="en-US"/>
        </w:rPr>
        <w:t xml:space="preserve"> at the</w:t>
      </w:r>
      <w:r w:rsidR="00C03DA3" w:rsidRPr="004A257F">
        <w:rPr>
          <w:szCs w:val="24"/>
          <w:lang w:val="en-US"/>
        </w:rPr>
        <w:t xml:space="preserve"> coastal stations </w:t>
      </w:r>
      <w:r w:rsidR="00C03DA3" w:rsidRPr="004A257F">
        <w:rPr>
          <w:rFonts w:ascii="Calibri" w:eastAsia="Calibri" w:hAnsi="Calibri" w:cs="Times New Roman"/>
          <w:szCs w:val="24"/>
          <w:lang w:val="en-US"/>
        </w:rPr>
        <w:t>and</w:t>
      </w:r>
      <w:r w:rsidR="00C03DA3" w:rsidRPr="004A257F">
        <w:rPr>
          <w:szCs w:val="24"/>
          <w:lang w:val="en-US"/>
        </w:rPr>
        <w:t xml:space="preserve"> 7.7 ± 3.3% and 7.5 ± 6.45% </w:t>
      </w:r>
      <w:r w:rsidR="00C03DA3" w:rsidRPr="004A257F">
        <w:rPr>
          <w:rFonts w:ascii="Calibri" w:eastAsia="Calibri" w:hAnsi="Calibri" w:cs="Times New Roman"/>
          <w:szCs w:val="24"/>
          <w:lang w:val="en-US"/>
        </w:rPr>
        <w:t>at the</w:t>
      </w:r>
      <w:r w:rsidR="00C03DA3" w:rsidRPr="004A257F">
        <w:rPr>
          <w:szCs w:val="24"/>
          <w:lang w:val="en-US"/>
        </w:rPr>
        <w:t xml:space="preserve"> middle and offshore stations</w:t>
      </w:r>
      <w:r w:rsidR="00C03DA3" w:rsidRPr="004A257F">
        <w:rPr>
          <w:rFonts w:ascii="Calibri" w:eastAsia="Calibri" w:hAnsi="Calibri" w:cs="Times New Roman"/>
          <w:szCs w:val="24"/>
          <w:lang w:val="en-US"/>
        </w:rPr>
        <w:t>, respectively. In contrast</w:t>
      </w:r>
      <w:r w:rsidR="00C03DA3" w:rsidRPr="004A257F">
        <w:rPr>
          <w:szCs w:val="24"/>
          <w:lang w:val="en-US"/>
        </w:rPr>
        <w:t xml:space="preserve">, Radiolaria were more dominant at middle and offshore stations, with 9.8 ± 5.6% for pico-, 2.4 ± 4.2% for </w:t>
      </w:r>
      <w:proofErr w:type="spellStart"/>
      <w:r w:rsidR="00C03DA3" w:rsidRPr="004A257F">
        <w:rPr>
          <w:szCs w:val="24"/>
          <w:lang w:val="en-US"/>
        </w:rPr>
        <w:t>nano</w:t>
      </w:r>
      <w:proofErr w:type="spellEnd"/>
      <w:r w:rsidR="00C03DA3" w:rsidRPr="004A257F">
        <w:rPr>
          <w:szCs w:val="24"/>
          <w:lang w:val="en-US"/>
        </w:rPr>
        <w:t>- and 3.8 ± 2.9% for micro-protist communities against 1.2 ± 1.3%, 0.4 ± 0.4% and 1.6 ± 1.6% in coastal stations</w:t>
      </w:r>
      <w:r w:rsidR="00C03DA3" w:rsidRPr="004A257F">
        <w:rPr>
          <w:rFonts w:ascii="Calibri" w:eastAsia="Calibri" w:hAnsi="Calibri" w:cs="Times New Roman"/>
          <w:szCs w:val="24"/>
          <w:lang w:val="en-US"/>
        </w:rPr>
        <w:t>, respectively</w:t>
      </w:r>
      <w:r w:rsidR="00C03DA3" w:rsidRPr="004A257F">
        <w:rPr>
          <w:szCs w:val="24"/>
          <w:lang w:val="en-US"/>
        </w:rPr>
        <w:t xml:space="preserve">. This gradient was also visible for some bacterial phyla, as </w:t>
      </w:r>
      <w:proofErr w:type="spellStart"/>
      <w:r w:rsidR="00C03DA3" w:rsidRPr="004A257F">
        <w:rPr>
          <w:szCs w:val="24"/>
          <w:lang w:val="en-US"/>
        </w:rPr>
        <w:t>Planctomycetota</w:t>
      </w:r>
      <w:proofErr w:type="spellEnd"/>
      <w:r w:rsidR="00C03DA3" w:rsidRPr="004A257F">
        <w:rPr>
          <w:szCs w:val="24"/>
          <w:lang w:val="en-US"/>
        </w:rPr>
        <w:t xml:space="preserve"> that showed higher relative abundance in middle and offshore stations in 20-3 µm</w:t>
      </w:r>
      <w:bookmarkStart w:id="1" w:name="_Hlk120468594"/>
      <w:r w:rsidR="00C03DA3" w:rsidRPr="004A257F">
        <w:rPr>
          <w:szCs w:val="24"/>
          <w:lang w:val="en-US"/>
        </w:rPr>
        <w:t xml:space="preserve"> PAB with 14.4 ± </w:t>
      </w:r>
      <w:bookmarkEnd w:id="1"/>
      <w:r w:rsidR="00C03DA3" w:rsidRPr="004A257F">
        <w:rPr>
          <w:szCs w:val="24"/>
          <w:lang w:val="en-US"/>
        </w:rPr>
        <w:t xml:space="preserve">8.6% against only 5.9 ± 4.0% in coastal stations. </w:t>
      </w:r>
      <w:r w:rsidR="00C03DA3" w:rsidRPr="004A257F">
        <w:rPr>
          <w:rFonts w:ascii="Calibri" w:eastAsia="Calibri" w:hAnsi="Calibri" w:cs="Times New Roman"/>
          <w:szCs w:val="24"/>
          <w:lang w:val="en-US"/>
        </w:rPr>
        <w:t>Photoautotrophs</w:t>
      </w:r>
      <w:r w:rsidR="00C03DA3" w:rsidRPr="004A257F">
        <w:rPr>
          <w:szCs w:val="24"/>
          <w:lang w:val="en-US"/>
        </w:rPr>
        <w:t xml:space="preserve"> decreased to the </w:t>
      </w:r>
      <w:r w:rsidR="00C03DA3" w:rsidRPr="004A257F">
        <w:rPr>
          <w:szCs w:val="24"/>
          <w:lang w:val="en-US"/>
        </w:rPr>
        <w:lastRenderedPageBreak/>
        <w:t xml:space="preserve">offshore stations with -24 ± 20% on average for pico- (except for </w:t>
      </w:r>
      <w:r w:rsidR="00C03DA3" w:rsidRPr="004A257F">
        <w:rPr>
          <w:rFonts w:ascii="Calibri" w:eastAsia="Calibri" w:hAnsi="Calibri" w:cs="Times New Roman"/>
          <w:szCs w:val="24"/>
          <w:lang w:val="en-US"/>
        </w:rPr>
        <w:t xml:space="preserve">the </w:t>
      </w:r>
      <w:r w:rsidR="00C03DA3" w:rsidRPr="004A257F">
        <w:rPr>
          <w:szCs w:val="24"/>
          <w:lang w:val="en-US"/>
        </w:rPr>
        <w:t xml:space="preserve">Pirogues transect in December) and -30 ± 21% for micro-protists. </w:t>
      </w:r>
    </w:p>
    <w:p w:rsidR="00FF29B8" w:rsidRPr="004A257F" w:rsidRDefault="00FF29B8" w:rsidP="00FF29B8">
      <w:pPr>
        <w:spacing w:line="480" w:lineRule="auto"/>
        <w:ind w:firstLine="708"/>
        <w:jc w:val="both"/>
        <w:rPr>
          <w:szCs w:val="24"/>
          <w:lang w:val="en-US"/>
        </w:rPr>
      </w:pPr>
    </w:p>
    <w:p w:rsidR="00226CA9" w:rsidRPr="004A257F" w:rsidRDefault="00A806DC" w:rsidP="006149A5">
      <w:pPr>
        <w:spacing w:line="480" w:lineRule="auto"/>
        <w:jc w:val="both"/>
        <w:rPr>
          <w:b/>
          <w:lang w:val="en-US"/>
        </w:rPr>
      </w:pPr>
      <w:r w:rsidRPr="004A257F">
        <w:rPr>
          <w:b/>
          <w:lang w:val="en-US"/>
        </w:rPr>
        <w:t>Supplementary figures</w:t>
      </w:r>
      <w:r w:rsidR="00550373" w:rsidRPr="004A257F">
        <w:rPr>
          <w:b/>
          <w:lang w:val="en-US"/>
        </w:rPr>
        <w:t xml:space="preserve"> and table</w:t>
      </w:r>
    </w:p>
    <w:tbl>
      <w:tblPr>
        <w:tblStyle w:val="PlainTable2"/>
        <w:tblW w:w="0" w:type="auto"/>
        <w:tblLook w:val="04A0" w:firstRow="1" w:lastRow="0" w:firstColumn="1" w:lastColumn="0" w:noHBand="0" w:noVBand="1"/>
      </w:tblPr>
      <w:tblGrid>
        <w:gridCol w:w="1355"/>
        <w:gridCol w:w="872"/>
        <w:gridCol w:w="1755"/>
        <w:gridCol w:w="2456"/>
        <w:gridCol w:w="1278"/>
        <w:gridCol w:w="721"/>
      </w:tblGrid>
      <w:tr w:rsidR="004A257F" w:rsidRPr="004A257F" w:rsidTr="00226CA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auto"/>
            </w:tcBorders>
            <w:shd w:val="clear" w:color="auto" w:fill="FBE4D5" w:themeFill="accent2" w:themeFillTint="33"/>
          </w:tcPr>
          <w:p w:rsidR="00226CA9" w:rsidRPr="004A257F" w:rsidRDefault="00226CA9" w:rsidP="00126D53">
            <w:pPr>
              <w:spacing w:line="480" w:lineRule="auto"/>
              <w:jc w:val="both"/>
              <w:rPr>
                <w:lang w:val="en-GB"/>
              </w:rPr>
            </w:pPr>
            <w:r w:rsidRPr="004A257F">
              <w:rPr>
                <w:lang w:val="en-GB"/>
              </w:rPr>
              <w:t>Season</w:t>
            </w:r>
          </w:p>
        </w:tc>
        <w:tc>
          <w:tcPr>
            <w:tcW w:w="0" w:type="auto"/>
            <w:shd w:val="clear" w:color="auto" w:fill="FBE4D5" w:themeFill="accent2" w:themeFillTint="33"/>
          </w:tcPr>
          <w:p w:rsidR="00226CA9" w:rsidRPr="004A257F" w:rsidRDefault="00226CA9" w:rsidP="00126D53">
            <w:pPr>
              <w:spacing w:line="480" w:lineRule="auto"/>
              <w:jc w:val="both"/>
              <w:cnfStyle w:val="100000000000" w:firstRow="1" w:lastRow="0" w:firstColumn="0" w:lastColumn="0" w:oddVBand="0" w:evenVBand="0" w:oddHBand="0" w:evenHBand="0" w:firstRowFirstColumn="0" w:firstRowLastColumn="0" w:lastRowFirstColumn="0" w:lastRowLastColumn="0"/>
              <w:rPr>
                <w:lang w:val="en-GB"/>
              </w:rPr>
            </w:pPr>
            <w:r w:rsidRPr="004A257F">
              <w:rPr>
                <w:lang w:val="en-GB"/>
              </w:rPr>
              <w:t>Station</w:t>
            </w:r>
          </w:p>
        </w:tc>
        <w:tc>
          <w:tcPr>
            <w:tcW w:w="0" w:type="auto"/>
            <w:shd w:val="clear" w:color="auto" w:fill="FBE4D5" w:themeFill="accent2" w:themeFillTint="33"/>
          </w:tcPr>
          <w:p w:rsidR="00226CA9" w:rsidRPr="004A257F" w:rsidRDefault="00226CA9" w:rsidP="00126D53">
            <w:pPr>
              <w:spacing w:line="480" w:lineRule="auto"/>
              <w:jc w:val="both"/>
              <w:cnfStyle w:val="100000000000" w:firstRow="1" w:lastRow="0" w:firstColumn="0" w:lastColumn="0" w:oddVBand="0" w:evenVBand="0" w:oddHBand="0" w:evenHBand="0" w:firstRowFirstColumn="0" w:firstRowLastColumn="0" w:lastRowFirstColumn="0" w:lastRowLastColumn="0"/>
              <w:rPr>
                <w:lang w:val="en-GB"/>
              </w:rPr>
            </w:pPr>
            <w:r w:rsidRPr="004A257F">
              <w:rPr>
                <w:lang w:val="en-GB"/>
              </w:rPr>
              <w:t>Site</w:t>
            </w:r>
          </w:p>
        </w:tc>
        <w:tc>
          <w:tcPr>
            <w:tcW w:w="0" w:type="auto"/>
            <w:shd w:val="clear" w:color="auto" w:fill="FBE4D5" w:themeFill="accent2" w:themeFillTint="33"/>
          </w:tcPr>
          <w:p w:rsidR="00226CA9" w:rsidRPr="004A257F" w:rsidRDefault="00226CA9" w:rsidP="00126D53">
            <w:pPr>
              <w:spacing w:line="480" w:lineRule="auto"/>
              <w:jc w:val="both"/>
              <w:cnfStyle w:val="100000000000" w:firstRow="1" w:lastRow="0" w:firstColumn="0" w:lastColumn="0" w:oddVBand="0" w:evenVBand="0" w:oddHBand="0" w:evenHBand="0" w:firstRowFirstColumn="0" w:firstRowLastColumn="0" w:lastRowFirstColumn="0" w:lastRowLastColumn="0"/>
              <w:rPr>
                <w:lang w:val="en-GB"/>
              </w:rPr>
            </w:pPr>
            <w:r w:rsidRPr="004A257F">
              <w:rPr>
                <w:lang w:val="en-GB"/>
              </w:rPr>
              <w:t>Coordinates</w:t>
            </w:r>
          </w:p>
        </w:tc>
        <w:tc>
          <w:tcPr>
            <w:tcW w:w="0" w:type="auto"/>
            <w:shd w:val="clear" w:color="auto" w:fill="FBE4D5" w:themeFill="accent2" w:themeFillTint="33"/>
          </w:tcPr>
          <w:p w:rsidR="00226CA9" w:rsidRPr="004A257F" w:rsidRDefault="00226CA9" w:rsidP="00126D53">
            <w:pPr>
              <w:spacing w:line="480" w:lineRule="auto"/>
              <w:jc w:val="both"/>
              <w:cnfStyle w:val="100000000000" w:firstRow="1" w:lastRow="0" w:firstColumn="0" w:lastColumn="0" w:oddVBand="0" w:evenVBand="0" w:oddHBand="0" w:evenHBand="0" w:firstRowFirstColumn="0" w:firstRowLastColumn="0" w:lastRowFirstColumn="0" w:lastRowLastColumn="0"/>
              <w:rPr>
                <w:lang w:val="en-GB"/>
              </w:rPr>
            </w:pPr>
            <w:r w:rsidRPr="004A257F">
              <w:rPr>
                <w:lang w:val="en-GB"/>
              </w:rPr>
              <w:t>Date</w:t>
            </w:r>
          </w:p>
        </w:tc>
        <w:tc>
          <w:tcPr>
            <w:tcW w:w="0" w:type="auto"/>
            <w:tcBorders>
              <w:top w:val="single" w:sz="4" w:space="0" w:color="7F7F7F" w:themeColor="text1" w:themeTint="80"/>
              <w:right w:val="single" w:sz="4" w:space="0" w:color="auto"/>
            </w:tcBorders>
            <w:shd w:val="clear" w:color="auto" w:fill="FBE4D5" w:themeFill="accent2" w:themeFillTint="33"/>
          </w:tcPr>
          <w:p w:rsidR="00226CA9" w:rsidRPr="004A257F" w:rsidRDefault="00226CA9" w:rsidP="00126D53">
            <w:pPr>
              <w:spacing w:line="480" w:lineRule="auto"/>
              <w:jc w:val="both"/>
              <w:cnfStyle w:val="100000000000" w:firstRow="1" w:lastRow="0" w:firstColumn="0" w:lastColumn="0" w:oddVBand="0" w:evenVBand="0" w:oddHBand="0" w:evenHBand="0" w:firstRowFirstColumn="0" w:firstRowLastColumn="0" w:lastRowFirstColumn="0" w:lastRowLastColumn="0"/>
              <w:rPr>
                <w:lang w:val="en-GB"/>
              </w:rPr>
            </w:pPr>
            <w:r w:rsidRPr="004A257F">
              <w:rPr>
                <w:lang w:val="en-GB"/>
              </w:rPr>
              <w:t>Hour</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r w:rsidRPr="004A257F">
              <w:rPr>
                <w:lang w:val="en-GB"/>
              </w:rPr>
              <w:t>Dry season</w:t>
            </w: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A</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Dumbéa bay</w:t>
            </w:r>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22°12,436S  166°23,635E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09/23/2019</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10:37</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12/08/2020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8:20</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B</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roofErr w:type="spellStart"/>
            <w:r w:rsidRPr="004A257F">
              <w:rPr>
                <w:lang w:val="en-GB"/>
              </w:rPr>
              <w:t>Moïse</w:t>
            </w:r>
            <w:proofErr w:type="spellEnd"/>
            <w:r w:rsidRPr="004A257F">
              <w:rPr>
                <w:lang w:val="en-GB"/>
              </w:rPr>
              <w:t xml:space="preserve"> station</w:t>
            </w:r>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22°15,808S  166°19,585E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09/23/2019</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10:07</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12/08/2020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9:05</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C</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Dumbéa pass</w:t>
            </w:r>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22°19,373S  166°17,760E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09/23/2019</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9:30</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12/08/2020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9:35</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D</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Coulée bay</w:t>
            </w:r>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22°15,297S  166°32,724E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09/24/2019</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10:09</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12/09/2020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8:15</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E</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Sainte Marie bay</w:t>
            </w:r>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22°17,162S  166°27,780E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09/24/2019</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10:39</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12/09/2020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8:50</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F</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 xml:space="preserve">Grande </w:t>
            </w:r>
            <w:proofErr w:type="spellStart"/>
            <w:r w:rsidRPr="004A257F">
              <w:rPr>
                <w:lang w:val="en-GB"/>
              </w:rPr>
              <w:t>Rade</w:t>
            </w:r>
            <w:proofErr w:type="spellEnd"/>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22°15,299S  166°25,494E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09/24/2019</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11:13</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12/09/2020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9:25</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G</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Pirogue bay</w:t>
            </w:r>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22°18,834S  166°40,660E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09/25/2019</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8:28</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12/10/2020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8:00</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H</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Lagoon</w:t>
            </w:r>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22°24,035S  166°34,913E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09/25/2019</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9:02</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12/10/2020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8:25</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I</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roofErr w:type="spellStart"/>
            <w:r w:rsidRPr="004A257F">
              <w:rPr>
                <w:lang w:val="en-GB"/>
              </w:rPr>
              <w:t>Boulari</w:t>
            </w:r>
            <w:proofErr w:type="spellEnd"/>
            <w:r w:rsidRPr="004A257F">
              <w:rPr>
                <w:lang w:val="en-GB"/>
              </w:rPr>
              <w:t xml:space="preserve"> pass</w:t>
            </w:r>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22°27,342S  166°31,150E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09/25/2019</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9:28</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12/10/2020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9:00</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r w:rsidRPr="004A257F">
              <w:rPr>
                <w:lang w:val="en-GB"/>
              </w:rPr>
              <w:t>Post cyclone</w:t>
            </w: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DB</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Dumbéa Bay</w:t>
            </w:r>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22°19,554S  166°41,583E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02/12/2020</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14:39</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02/13/2020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9:33</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02/14/2020</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9:50</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02/15/2020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8:47</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02/16/2020</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8:30</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02/17/2020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7:48</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val="restart"/>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GR</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 xml:space="preserve">Grande </w:t>
            </w:r>
            <w:proofErr w:type="spellStart"/>
            <w:r w:rsidRPr="004A257F">
              <w:rPr>
                <w:lang w:val="en-GB"/>
              </w:rPr>
              <w:t>Rade</w:t>
            </w:r>
            <w:proofErr w:type="spellEnd"/>
          </w:p>
        </w:tc>
        <w:tc>
          <w:tcPr>
            <w:tcW w:w="0" w:type="auto"/>
            <w:vMerge w:val="restart"/>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22°24'661S 166°37'593E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02/12/2020</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14:54</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02/13/2020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10:05</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02/14/2020</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10:07</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02/15/2020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9:15</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02/16/2020</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8:55</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vMerge/>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02/17/2020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8:03</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B1-D2</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Buoy 1 trajectory</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22°21,157S  166°22,329E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02/13/2020</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8:37</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B1-D3</w:t>
            </w: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22°19,203S  166°32,398E</w:t>
            </w: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02/14/2020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8:34</w:t>
            </w:r>
          </w:p>
        </w:tc>
      </w:tr>
      <w:tr w:rsidR="004A257F" w:rsidRPr="004A257F" w:rsidTr="00226C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tcBorders>
              <w:left w:val="single" w:sz="4" w:space="0" w:color="auto"/>
              <w:right w:val="single" w:sz="4" w:space="0" w:color="auto"/>
            </w:tcBorders>
            <w:shd w:val="clear" w:color="auto" w:fill="E7E6E6" w:themeFill="background2"/>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B2-D3</w:t>
            </w:r>
          </w:p>
        </w:tc>
        <w:tc>
          <w:tcPr>
            <w:tcW w:w="0" w:type="auto"/>
            <w:vMerge w:val="restart"/>
            <w:tcBorders>
              <w:lef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Buoy 2 trajectory</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22°17,259S  166°20,429E</w:t>
            </w:r>
          </w:p>
        </w:tc>
        <w:tc>
          <w:tcPr>
            <w:tcW w:w="0" w:type="auto"/>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02/14/2020</w:t>
            </w:r>
          </w:p>
        </w:tc>
        <w:tc>
          <w:tcPr>
            <w:tcW w:w="0" w:type="auto"/>
            <w:tcBorders>
              <w:right w:val="single" w:sz="4" w:space="0" w:color="auto"/>
            </w:tcBorders>
          </w:tcPr>
          <w:p w:rsidR="00226CA9" w:rsidRPr="004A257F" w:rsidRDefault="00226CA9" w:rsidP="00126D53">
            <w:pPr>
              <w:spacing w:line="480" w:lineRule="auto"/>
              <w:jc w:val="both"/>
              <w:cnfStyle w:val="000000100000" w:firstRow="0" w:lastRow="0" w:firstColumn="0" w:lastColumn="0" w:oddVBand="0" w:evenVBand="0" w:oddHBand="1" w:evenHBand="0" w:firstRowFirstColumn="0" w:firstRowLastColumn="0" w:lastRowFirstColumn="0" w:lastRowLastColumn="0"/>
              <w:rPr>
                <w:lang w:val="en-GB"/>
              </w:rPr>
            </w:pPr>
            <w:r w:rsidRPr="004A257F">
              <w:rPr>
                <w:lang w:val="en-GB"/>
              </w:rPr>
              <w:t>9:20</w:t>
            </w:r>
          </w:p>
        </w:tc>
      </w:tr>
      <w:tr w:rsidR="004A257F" w:rsidRPr="004A257F" w:rsidTr="00226CA9">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rPr>
                <w:lang w:val="en-GB"/>
              </w:rPr>
            </w:pPr>
          </w:p>
        </w:tc>
        <w:tc>
          <w:tcPr>
            <w:tcW w:w="0" w:type="auto"/>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E7E6E6" w:themeFill="background2"/>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B2-D4</w:t>
            </w:r>
          </w:p>
        </w:tc>
        <w:tc>
          <w:tcPr>
            <w:tcW w:w="0" w:type="auto"/>
            <w:vMerge/>
            <w:tcBorders>
              <w:lef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22°19,157S  166°19,176E</w:t>
            </w:r>
          </w:p>
        </w:tc>
        <w:tc>
          <w:tcPr>
            <w:tcW w:w="0" w:type="auto"/>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02/15/2020</w:t>
            </w:r>
          </w:p>
        </w:tc>
        <w:tc>
          <w:tcPr>
            <w:tcW w:w="0" w:type="auto"/>
            <w:tcBorders>
              <w:top w:val="single" w:sz="4" w:space="0" w:color="7F7F7F" w:themeColor="text1" w:themeTint="80"/>
              <w:bottom w:val="single" w:sz="4" w:space="0" w:color="7F7F7F" w:themeColor="text1" w:themeTint="80"/>
              <w:right w:val="single" w:sz="4" w:space="0" w:color="auto"/>
            </w:tcBorders>
          </w:tcPr>
          <w:p w:rsidR="00226CA9" w:rsidRPr="004A257F" w:rsidRDefault="00226CA9" w:rsidP="00126D53">
            <w:pPr>
              <w:spacing w:line="480" w:lineRule="auto"/>
              <w:jc w:val="both"/>
              <w:cnfStyle w:val="000000000000" w:firstRow="0" w:lastRow="0" w:firstColumn="0" w:lastColumn="0" w:oddVBand="0" w:evenVBand="0" w:oddHBand="0" w:evenHBand="0" w:firstRowFirstColumn="0" w:firstRowLastColumn="0" w:lastRowFirstColumn="0" w:lastRowLastColumn="0"/>
              <w:rPr>
                <w:lang w:val="en-GB"/>
              </w:rPr>
            </w:pPr>
            <w:r w:rsidRPr="004A257F">
              <w:rPr>
                <w:lang w:val="en-GB"/>
              </w:rPr>
              <w:t>8:00</w:t>
            </w:r>
          </w:p>
        </w:tc>
      </w:tr>
    </w:tbl>
    <w:p w:rsidR="00226CA9" w:rsidRPr="004A257F" w:rsidRDefault="00226CA9" w:rsidP="00226CA9">
      <w:pPr>
        <w:spacing w:line="480" w:lineRule="auto"/>
        <w:jc w:val="both"/>
        <w:rPr>
          <w:b/>
          <w:bCs/>
          <w:lang w:val="en-US"/>
        </w:rPr>
      </w:pPr>
    </w:p>
    <w:p w:rsidR="00226CA9" w:rsidRPr="004A257F" w:rsidRDefault="00226CA9" w:rsidP="00226CA9">
      <w:pPr>
        <w:tabs>
          <w:tab w:val="left" w:pos="3040"/>
        </w:tabs>
        <w:spacing w:line="480" w:lineRule="auto"/>
        <w:jc w:val="both"/>
        <w:rPr>
          <w:lang w:val="en-US"/>
        </w:rPr>
      </w:pPr>
      <w:r w:rsidRPr="004A257F">
        <w:rPr>
          <w:b/>
          <w:lang w:val="en-GB"/>
        </w:rPr>
        <w:t xml:space="preserve">Table S1: </w:t>
      </w:r>
      <w:r w:rsidRPr="004A257F">
        <w:rPr>
          <w:lang w:val="en-GB"/>
        </w:rPr>
        <w:t>Details of all sampl</w:t>
      </w:r>
      <w:r w:rsidR="008838EB" w:rsidRPr="004A257F">
        <w:rPr>
          <w:lang w:val="en-GB"/>
        </w:rPr>
        <w:t xml:space="preserve">ing </w:t>
      </w:r>
      <w:r w:rsidR="00A36529" w:rsidRPr="004A257F">
        <w:rPr>
          <w:lang w:val="en-GB"/>
        </w:rPr>
        <w:t>stations.</w:t>
      </w:r>
      <w:r w:rsidR="008838EB" w:rsidRPr="004A257F">
        <w:rPr>
          <w:lang w:val="en-GB"/>
        </w:rPr>
        <w:t xml:space="preserve"> </w:t>
      </w:r>
    </w:p>
    <w:p w:rsidR="00226CA9" w:rsidRPr="004A257F" w:rsidRDefault="00226CA9" w:rsidP="006149A5">
      <w:pPr>
        <w:spacing w:line="480" w:lineRule="auto"/>
        <w:jc w:val="both"/>
        <w:rPr>
          <w:b/>
          <w:bCs/>
          <w:lang w:val="en-US"/>
        </w:rPr>
      </w:pPr>
    </w:p>
    <w:p w:rsidR="00AE0F98" w:rsidRPr="004A257F" w:rsidRDefault="00AE0F98" w:rsidP="006149A5">
      <w:pPr>
        <w:spacing w:line="480" w:lineRule="auto"/>
        <w:jc w:val="both"/>
        <w:rPr>
          <w:b/>
          <w:bCs/>
          <w:lang w:val="en-US"/>
        </w:rPr>
      </w:pPr>
    </w:p>
    <w:p w:rsidR="00AE0F98" w:rsidRPr="004A257F" w:rsidRDefault="00AE0F98" w:rsidP="006149A5">
      <w:pPr>
        <w:spacing w:line="480" w:lineRule="auto"/>
        <w:jc w:val="both"/>
        <w:rPr>
          <w:b/>
          <w:bCs/>
          <w:lang w:val="en-US"/>
        </w:rPr>
      </w:pPr>
    </w:p>
    <w:p w:rsidR="00AE0F98" w:rsidRPr="004A257F" w:rsidRDefault="00AE0F98" w:rsidP="006149A5">
      <w:pPr>
        <w:spacing w:line="480" w:lineRule="auto"/>
        <w:jc w:val="both"/>
        <w:rPr>
          <w:b/>
          <w:bCs/>
          <w:lang w:val="en-US"/>
        </w:rPr>
      </w:pPr>
    </w:p>
    <w:p w:rsidR="00AE0F98" w:rsidRPr="004A257F" w:rsidRDefault="00AE0F98" w:rsidP="006149A5">
      <w:pPr>
        <w:spacing w:line="480" w:lineRule="auto"/>
        <w:jc w:val="both"/>
        <w:rPr>
          <w:b/>
          <w:bCs/>
          <w:lang w:val="en-US"/>
        </w:rPr>
      </w:pPr>
    </w:p>
    <w:p w:rsidR="00AE0F98" w:rsidRPr="004A257F" w:rsidRDefault="00AE0F98" w:rsidP="006149A5">
      <w:pPr>
        <w:spacing w:line="480" w:lineRule="auto"/>
        <w:jc w:val="both"/>
        <w:rPr>
          <w:b/>
          <w:bCs/>
          <w:lang w:val="en-US"/>
        </w:rPr>
      </w:pPr>
    </w:p>
    <w:p w:rsidR="00AE0F98" w:rsidRPr="004A257F" w:rsidRDefault="00AE0F98" w:rsidP="006149A5">
      <w:pPr>
        <w:spacing w:line="480" w:lineRule="auto"/>
        <w:jc w:val="both"/>
        <w:rPr>
          <w:b/>
          <w:bCs/>
          <w:lang w:val="en-US"/>
        </w:rPr>
      </w:pPr>
      <w:r w:rsidRPr="004A257F">
        <w:rPr>
          <w:b/>
          <w:noProof/>
          <w:lang w:val="en-US"/>
        </w:rPr>
        <w:drawing>
          <wp:inline distT="0" distB="0" distL="0" distR="0" wp14:anchorId="5D461FA5" wp14:editId="6638F20D">
            <wp:extent cx="5760720" cy="545719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3_TIF.tif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5457190"/>
                    </a:xfrm>
                    <a:prstGeom prst="rect">
                      <a:avLst/>
                    </a:prstGeom>
                  </pic:spPr>
                </pic:pic>
              </a:graphicData>
            </a:graphic>
          </wp:inline>
        </w:drawing>
      </w:r>
    </w:p>
    <w:p w:rsidR="00AE0F98" w:rsidRPr="004A257F" w:rsidRDefault="00AE0F98" w:rsidP="00AE0F98">
      <w:pPr>
        <w:spacing w:after="0" w:line="240" w:lineRule="auto"/>
        <w:jc w:val="both"/>
        <w:rPr>
          <w:b/>
          <w:bCs/>
          <w:lang w:val="en-US"/>
        </w:rPr>
      </w:pPr>
      <w:r w:rsidRPr="004A257F">
        <w:rPr>
          <w:b/>
          <w:bCs/>
          <w:lang w:val="en-US"/>
        </w:rPr>
        <w:t>Fig. S1:</w:t>
      </w:r>
      <w:r w:rsidRPr="004A257F">
        <w:rPr>
          <w:bCs/>
          <w:lang w:val="en-US"/>
        </w:rPr>
        <w:t xml:space="preserve"> Accumulation curves of (A) 18S and (B) 16S markers before the database cleaning, representing the number of ASV depending on the read number of each samp</w:t>
      </w:r>
      <w:r w:rsidR="005B5065" w:rsidRPr="004A257F">
        <w:rPr>
          <w:bCs/>
          <w:lang w:val="en-US"/>
        </w:rPr>
        <w:t>le.</w:t>
      </w:r>
    </w:p>
    <w:p w:rsidR="00AE0F98" w:rsidRPr="004A257F" w:rsidRDefault="00AE0F98" w:rsidP="006149A5">
      <w:pPr>
        <w:spacing w:line="480" w:lineRule="auto"/>
        <w:jc w:val="both"/>
        <w:rPr>
          <w:b/>
          <w:bCs/>
          <w:lang w:val="en-US"/>
        </w:rPr>
      </w:pPr>
    </w:p>
    <w:p w:rsidR="00AE0F98" w:rsidRPr="004A257F" w:rsidRDefault="00AE0F98" w:rsidP="006149A5">
      <w:pPr>
        <w:spacing w:line="480" w:lineRule="auto"/>
        <w:jc w:val="both"/>
        <w:rPr>
          <w:b/>
          <w:bCs/>
          <w:lang w:val="en-US"/>
        </w:rPr>
      </w:pPr>
    </w:p>
    <w:p w:rsidR="00AE0F98" w:rsidRPr="004A257F" w:rsidRDefault="00AE0F98" w:rsidP="006149A5">
      <w:pPr>
        <w:spacing w:line="480" w:lineRule="auto"/>
        <w:jc w:val="both"/>
        <w:rPr>
          <w:b/>
          <w:bCs/>
          <w:lang w:val="en-US"/>
        </w:rPr>
      </w:pPr>
    </w:p>
    <w:p w:rsidR="00AE0F98" w:rsidRPr="004A257F" w:rsidRDefault="00AE0F98" w:rsidP="006149A5">
      <w:pPr>
        <w:spacing w:line="480" w:lineRule="auto"/>
        <w:jc w:val="both"/>
        <w:rPr>
          <w:b/>
          <w:bCs/>
          <w:lang w:val="en-US"/>
        </w:rPr>
      </w:pPr>
    </w:p>
    <w:p w:rsidR="00AE0F98" w:rsidRPr="004A257F" w:rsidRDefault="00AE0F98" w:rsidP="006149A5">
      <w:pPr>
        <w:spacing w:line="480" w:lineRule="auto"/>
        <w:jc w:val="both"/>
        <w:rPr>
          <w:b/>
          <w:bCs/>
          <w:lang w:val="en-US"/>
        </w:rPr>
      </w:pPr>
    </w:p>
    <w:p w:rsidR="00AE0F98" w:rsidRPr="004A257F" w:rsidRDefault="00AE0F98" w:rsidP="006149A5">
      <w:pPr>
        <w:spacing w:line="480" w:lineRule="auto"/>
        <w:jc w:val="both"/>
        <w:rPr>
          <w:b/>
          <w:bCs/>
          <w:lang w:val="en-US"/>
        </w:rPr>
      </w:pPr>
    </w:p>
    <w:p w:rsidR="009D406D" w:rsidRPr="004A257F" w:rsidRDefault="00E64DA4" w:rsidP="009E0670">
      <w:pPr>
        <w:spacing w:after="0" w:line="240" w:lineRule="auto"/>
        <w:jc w:val="both"/>
        <w:rPr>
          <w:lang w:val="en-US"/>
        </w:rPr>
      </w:pPr>
      <w:r w:rsidRPr="004A257F">
        <w:rPr>
          <w:b/>
          <w:noProof/>
          <w:lang w:val="en-US"/>
        </w:rPr>
        <w:drawing>
          <wp:inline distT="0" distB="0" distL="0" distR="0">
            <wp:extent cx="5760720" cy="6064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2_TIF.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6064250"/>
                    </a:xfrm>
                    <a:prstGeom prst="rect">
                      <a:avLst/>
                    </a:prstGeom>
                  </pic:spPr>
                </pic:pic>
              </a:graphicData>
            </a:graphic>
          </wp:inline>
        </w:drawing>
      </w:r>
      <w:r w:rsidR="00023942" w:rsidRPr="004A257F">
        <w:rPr>
          <w:b/>
          <w:lang w:val="en-US"/>
        </w:rPr>
        <w:t>Fig. S</w:t>
      </w:r>
      <w:r w:rsidR="00AE0F98" w:rsidRPr="004A257F">
        <w:rPr>
          <w:b/>
          <w:lang w:val="en-US"/>
        </w:rPr>
        <w:t>2</w:t>
      </w:r>
      <w:r w:rsidR="009D406D" w:rsidRPr="004A257F">
        <w:rPr>
          <w:b/>
          <w:lang w:val="en-US"/>
        </w:rPr>
        <w:t xml:space="preserve">: </w:t>
      </w:r>
      <w:r w:rsidR="009D406D" w:rsidRPr="004A257F">
        <w:rPr>
          <w:lang w:val="en-US"/>
        </w:rPr>
        <w:t>Meteorological conditions with (A) cumulative rain on year 2019 and 2020, (B) localization of fixed stations close to the study site</w:t>
      </w:r>
      <w:r w:rsidR="00AC4FAD" w:rsidRPr="004A257F">
        <w:rPr>
          <w:lang w:val="en-US"/>
        </w:rPr>
        <w:t xml:space="preserve"> and</w:t>
      </w:r>
      <w:r w:rsidR="009D406D" w:rsidRPr="004A257F">
        <w:rPr>
          <w:lang w:val="en-US"/>
        </w:rPr>
        <w:t xml:space="preserve"> (C) wind regime during and after Ues</w:t>
      </w:r>
      <w:r w:rsidR="00AC4FAD" w:rsidRPr="004A257F">
        <w:rPr>
          <w:lang w:val="en-US"/>
        </w:rPr>
        <w:t>i cyclone on the Nouméa station.</w:t>
      </w:r>
    </w:p>
    <w:p w:rsidR="00F117C2" w:rsidRPr="004A257F" w:rsidRDefault="00F117C2" w:rsidP="006149A5">
      <w:pPr>
        <w:spacing w:line="480" w:lineRule="auto"/>
        <w:jc w:val="both"/>
        <w:rPr>
          <w:b/>
          <w:lang w:val="en-US"/>
        </w:rPr>
      </w:pPr>
    </w:p>
    <w:p w:rsidR="00F117C2" w:rsidRPr="004A257F" w:rsidRDefault="00F117C2" w:rsidP="009E0670">
      <w:pPr>
        <w:spacing w:after="0" w:line="240" w:lineRule="auto"/>
        <w:jc w:val="both"/>
        <w:rPr>
          <w:b/>
          <w:lang w:val="en-GB"/>
        </w:rPr>
      </w:pPr>
      <w:r w:rsidRPr="004A257F">
        <w:rPr>
          <w:b/>
          <w:lang w:val="en-GB"/>
        </w:rPr>
        <w:br w:type="page"/>
      </w:r>
    </w:p>
    <w:p w:rsidR="00F117C2" w:rsidRPr="004A257F" w:rsidRDefault="00E64DA4" w:rsidP="006149A5">
      <w:pPr>
        <w:spacing w:line="480" w:lineRule="auto"/>
        <w:jc w:val="both"/>
        <w:rPr>
          <w:b/>
          <w:lang w:val="en-GB"/>
        </w:rPr>
      </w:pPr>
      <w:r w:rsidRPr="004A257F">
        <w:rPr>
          <w:b/>
          <w:noProof/>
          <w:lang w:val="en-US"/>
        </w:rPr>
        <w:drawing>
          <wp:inline distT="0" distB="0" distL="0" distR="0">
            <wp:extent cx="5760720" cy="57607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4_TIF.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rsidR="00655B02" w:rsidRPr="004A257F" w:rsidRDefault="008175AE" w:rsidP="009E0670">
      <w:pPr>
        <w:spacing w:after="0" w:line="240" w:lineRule="auto"/>
        <w:jc w:val="both"/>
        <w:rPr>
          <w:b/>
          <w:lang w:val="en-GB"/>
        </w:rPr>
      </w:pPr>
      <w:r w:rsidRPr="004A257F">
        <w:rPr>
          <w:b/>
          <w:lang w:val="en-GB"/>
        </w:rPr>
        <w:t xml:space="preserve">Fig. </w:t>
      </w:r>
      <w:r w:rsidR="00023942" w:rsidRPr="004A257F">
        <w:rPr>
          <w:b/>
          <w:lang w:val="en-GB"/>
        </w:rPr>
        <w:t>S</w:t>
      </w:r>
      <w:r w:rsidR="00527D2E" w:rsidRPr="004A257F">
        <w:rPr>
          <w:b/>
          <w:lang w:val="en-GB"/>
        </w:rPr>
        <w:t>3</w:t>
      </w:r>
      <w:r w:rsidRPr="004A257F">
        <w:rPr>
          <w:b/>
          <w:lang w:val="en-GB"/>
        </w:rPr>
        <w:t>:</w:t>
      </w:r>
      <w:r w:rsidRPr="004A257F">
        <w:rPr>
          <w:lang w:val="en-GB"/>
        </w:rPr>
        <w:t xml:space="preserve"> </w:t>
      </w:r>
      <w:r w:rsidR="009C32FF" w:rsidRPr="004A257F">
        <w:rPr>
          <w:lang w:val="en-GB"/>
        </w:rPr>
        <w:t>Correlation matrix of 2</w:t>
      </w:r>
      <w:r w:rsidR="00730A61" w:rsidRPr="004A257F">
        <w:rPr>
          <w:lang w:val="en-GB"/>
        </w:rPr>
        <w:t>1</w:t>
      </w:r>
      <w:r w:rsidRPr="004A257F">
        <w:rPr>
          <w:lang w:val="en-GB"/>
        </w:rPr>
        <w:t xml:space="preserve"> environmental variables, based on spearman</w:t>
      </w:r>
      <w:r w:rsidR="007011AA" w:rsidRPr="004A257F">
        <w:rPr>
          <w:lang w:val="en-GB"/>
        </w:rPr>
        <w:t xml:space="preserve"> coefficient (</w:t>
      </w:r>
      <w:r w:rsidR="0079681D" w:rsidRPr="004A257F">
        <w:rPr>
          <w:lang w:val="en-GB"/>
        </w:rPr>
        <w:t xml:space="preserve">grey boxes represent </w:t>
      </w:r>
      <w:r w:rsidR="007011AA" w:rsidRPr="004A257F">
        <w:rPr>
          <w:lang w:val="en-GB"/>
        </w:rPr>
        <w:t>non-significate correlation</w:t>
      </w:r>
      <w:r w:rsidR="0079681D" w:rsidRPr="004A257F">
        <w:rPr>
          <w:lang w:val="en-GB"/>
        </w:rPr>
        <w:t>s</w:t>
      </w:r>
      <w:r w:rsidR="007011AA" w:rsidRPr="004A257F">
        <w:rPr>
          <w:lang w:val="en-GB"/>
        </w:rPr>
        <w:t xml:space="preserve">, with p-value &gt; 0.05). </w:t>
      </w:r>
      <w:r w:rsidR="00B17FD4" w:rsidRPr="004A257F">
        <w:rPr>
          <w:lang w:val="en-GB"/>
        </w:rPr>
        <w:t>The eight chosen descriptors are specified in bold.</w:t>
      </w:r>
    </w:p>
    <w:p w:rsidR="007C2EC8" w:rsidRPr="004A257F" w:rsidRDefault="007C2EC8" w:rsidP="006149A5">
      <w:pPr>
        <w:spacing w:line="480" w:lineRule="auto"/>
        <w:jc w:val="both"/>
        <w:rPr>
          <w:lang w:val="en-US"/>
        </w:rPr>
      </w:pPr>
    </w:p>
    <w:p w:rsidR="00332396" w:rsidRPr="004A257F" w:rsidRDefault="00332396" w:rsidP="006149A5">
      <w:pPr>
        <w:spacing w:line="480" w:lineRule="auto"/>
        <w:jc w:val="both"/>
        <w:rPr>
          <w:b/>
          <w:lang w:val="en-US"/>
        </w:rPr>
      </w:pPr>
      <w:r w:rsidRPr="004A257F">
        <w:rPr>
          <w:b/>
          <w:lang w:val="en-US"/>
        </w:rPr>
        <w:br w:type="page"/>
      </w:r>
    </w:p>
    <w:p w:rsidR="007C2EC8" w:rsidRPr="004A257F" w:rsidRDefault="00E64DA4" w:rsidP="006149A5">
      <w:pPr>
        <w:spacing w:line="480" w:lineRule="auto"/>
        <w:jc w:val="both"/>
        <w:rPr>
          <w:b/>
          <w:lang w:val="en-US"/>
        </w:rPr>
      </w:pPr>
      <w:r w:rsidRPr="004A257F">
        <w:rPr>
          <w:b/>
          <w:noProof/>
          <w:lang w:val="en-US"/>
        </w:rPr>
        <w:drawing>
          <wp:inline distT="0" distB="0" distL="0" distR="0">
            <wp:extent cx="5760720" cy="40671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5_TIF.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067175"/>
                    </a:xfrm>
                    <a:prstGeom prst="rect">
                      <a:avLst/>
                    </a:prstGeom>
                  </pic:spPr>
                </pic:pic>
              </a:graphicData>
            </a:graphic>
          </wp:inline>
        </w:drawing>
      </w:r>
    </w:p>
    <w:p w:rsidR="007011AA" w:rsidRPr="004A257F" w:rsidRDefault="00023942" w:rsidP="009E0670">
      <w:pPr>
        <w:spacing w:after="0" w:line="240" w:lineRule="auto"/>
        <w:jc w:val="both"/>
        <w:rPr>
          <w:lang w:val="en-US"/>
        </w:rPr>
      </w:pPr>
      <w:r w:rsidRPr="004A257F">
        <w:rPr>
          <w:b/>
          <w:lang w:val="en-US"/>
        </w:rPr>
        <w:t>Fig. S</w:t>
      </w:r>
      <w:r w:rsidR="00527D2E" w:rsidRPr="004A257F">
        <w:rPr>
          <w:b/>
          <w:lang w:val="en-US"/>
        </w:rPr>
        <w:t>4</w:t>
      </w:r>
      <w:r w:rsidR="007011AA" w:rsidRPr="004A257F">
        <w:rPr>
          <w:lang w:val="en-US"/>
        </w:rPr>
        <w:t>: Non-metric dimensional scaling (</w:t>
      </w:r>
      <w:proofErr w:type="spellStart"/>
      <w:r w:rsidR="007011AA" w:rsidRPr="004A257F">
        <w:rPr>
          <w:lang w:val="en-US"/>
        </w:rPr>
        <w:t>nMDS</w:t>
      </w:r>
      <w:proofErr w:type="spellEnd"/>
      <w:r w:rsidR="007011AA" w:rsidRPr="004A257F">
        <w:rPr>
          <w:lang w:val="en-US"/>
        </w:rPr>
        <w:t>) performed on Bray-Curtis dissimilarities of (A) protists and (B) bacterial communities of all samples.</w:t>
      </w:r>
    </w:p>
    <w:p w:rsidR="007C2EC8" w:rsidRPr="004A257F" w:rsidRDefault="007C2EC8" w:rsidP="006149A5">
      <w:pPr>
        <w:spacing w:line="480" w:lineRule="auto"/>
        <w:jc w:val="both"/>
        <w:rPr>
          <w:lang w:val="en-US"/>
        </w:rPr>
      </w:pPr>
    </w:p>
    <w:p w:rsidR="007C2EC8" w:rsidRPr="004A257F" w:rsidRDefault="007C2EC8" w:rsidP="006149A5">
      <w:pPr>
        <w:spacing w:line="480" w:lineRule="auto"/>
        <w:jc w:val="both"/>
        <w:rPr>
          <w:lang w:val="en-US"/>
        </w:rPr>
      </w:pPr>
    </w:p>
    <w:p w:rsidR="007C2EC8" w:rsidRPr="004A257F" w:rsidRDefault="007C2EC8" w:rsidP="006149A5">
      <w:pPr>
        <w:spacing w:line="480" w:lineRule="auto"/>
        <w:jc w:val="both"/>
        <w:rPr>
          <w:lang w:val="en-US"/>
        </w:rPr>
      </w:pPr>
    </w:p>
    <w:p w:rsidR="00067C60" w:rsidRPr="004A257F" w:rsidRDefault="00067C60" w:rsidP="006149A5">
      <w:pPr>
        <w:spacing w:line="480" w:lineRule="auto"/>
        <w:jc w:val="both"/>
        <w:rPr>
          <w:lang w:val="en-US"/>
        </w:rPr>
      </w:pPr>
    </w:p>
    <w:p w:rsidR="00067C60" w:rsidRPr="004A257F" w:rsidRDefault="00067C60" w:rsidP="006149A5">
      <w:pPr>
        <w:spacing w:line="480" w:lineRule="auto"/>
        <w:jc w:val="both"/>
        <w:rPr>
          <w:lang w:val="en-US"/>
        </w:rPr>
      </w:pPr>
    </w:p>
    <w:p w:rsidR="00067C60" w:rsidRPr="004A257F" w:rsidRDefault="00067C60" w:rsidP="006149A5">
      <w:pPr>
        <w:spacing w:line="480" w:lineRule="auto"/>
        <w:jc w:val="both"/>
        <w:rPr>
          <w:lang w:val="en-US"/>
        </w:rPr>
      </w:pPr>
    </w:p>
    <w:p w:rsidR="00A97EFE" w:rsidRPr="004A257F" w:rsidRDefault="00332396" w:rsidP="006149A5">
      <w:pPr>
        <w:spacing w:line="480" w:lineRule="auto"/>
        <w:jc w:val="both"/>
        <w:rPr>
          <w:lang w:val="en-US"/>
        </w:rPr>
      </w:pPr>
      <w:r w:rsidRPr="004A257F">
        <w:rPr>
          <w:lang w:val="en-US"/>
        </w:rPr>
        <w:br w:type="page"/>
      </w:r>
    </w:p>
    <w:p w:rsidR="00067C60" w:rsidRPr="004A257F" w:rsidRDefault="00E64DA4" w:rsidP="006149A5">
      <w:pPr>
        <w:spacing w:line="480" w:lineRule="auto"/>
        <w:jc w:val="both"/>
        <w:rPr>
          <w:lang w:val="en-US"/>
        </w:rPr>
      </w:pPr>
      <w:r w:rsidRPr="004A257F">
        <w:rPr>
          <w:noProof/>
          <w:lang w:val="en-US"/>
        </w:rPr>
        <w:drawing>
          <wp:inline distT="0" distB="0" distL="0" distR="0">
            <wp:extent cx="5760720" cy="7579360"/>
            <wp:effectExtent l="0" t="0" r="0"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6_TIF.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7579360"/>
                    </a:xfrm>
                    <a:prstGeom prst="rect">
                      <a:avLst/>
                    </a:prstGeom>
                  </pic:spPr>
                </pic:pic>
              </a:graphicData>
            </a:graphic>
          </wp:inline>
        </w:drawing>
      </w:r>
    </w:p>
    <w:p w:rsidR="006149A5" w:rsidRPr="004A257F" w:rsidRDefault="00023942" w:rsidP="009E0670">
      <w:pPr>
        <w:spacing w:after="0" w:line="240" w:lineRule="auto"/>
        <w:jc w:val="both"/>
        <w:rPr>
          <w:lang w:val="en-US"/>
        </w:rPr>
      </w:pPr>
      <w:r w:rsidRPr="004A257F">
        <w:rPr>
          <w:b/>
          <w:lang w:val="en-US"/>
        </w:rPr>
        <w:t>Fig. S</w:t>
      </w:r>
      <w:r w:rsidR="00527D2E" w:rsidRPr="004A257F">
        <w:rPr>
          <w:b/>
          <w:lang w:val="en-US"/>
        </w:rPr>
        <w:t>5</w:t>
      </w:r>
      <w:r w:rsidR="00B92A02" w:rsidRPr="004A257F">
        <w:rPr>
          <w:b/>
          <w:lang w:val="en-US"/>
        </w:rPr>
        <w:t>:</w:t>
      </w:r>
      <w:r w:rsidR="00B92A02" w:rsidRPr="004A257F">
        <w:rPr>
          <w:lang w:val="en-US"/>
        </w:rPr>
        <w:t xml:space="preserve"> </w:t>
      </w:r>
      <w:r w:rsidR="006149A5" w:rsidRPr="004A257F">
        <w:rPr>
          <w:lang w:val="en-US"/>
        </w:rPr>
        <w:t xml:space="preserve">Spatial distribution of the taxonomic </w:t>
      </w:r>
      <w:r w:rsidR="005B5065" w:rsidRPr="004A257F">
        <w:rPr>
          <w:lang w:val="en-US"/>
        </w:rPr>
        <w:t xml:space="preserve">and functional composition of </w:t>
      </w:r>
      <w:r w:rsidR="006149A5" w:rsidRPr="004A257F">
        <w:rPr>
          <w:lang w:val="en-US"/>
        </w:rPr>
        <w:t>protists (A) and bacterial (B) communities, in relative abundance (%), during September 2019 campaign. (Unassigned: Un.)</w:t>
      </w:r>
    </w:p>
    <w:p w:rsidR="007C2EC8" w:rsidRPr="004A257F" w:rsidRDefault="007C2EC8" w:rsidP="006149A5">
      <w:pPr>
        <w:spacing w:line="480" w:lineRule="auto"/>
        <w:jc w:val="both"/>
        <w:rPr>
          <w:lang w:val="en-US"/>
        </w:rPr>
      </w:pPr>
    </w:p>
    <w:p w:rsidR="007C2EC8" w:rsidRPr="004A257F" w:rsidRDefault="007C2EC8" w:rsidP="006149A5">
      <w:pPr>
        <w:spacing w:line="480" w:lineRule="auto"/>
        <w:jc w:val="both"/>
        <w:rPr>
          <w:lang w:val="en-US"/>
        </w:rPr>
      </w:pPr>
    </w:p>
    <w:p w:rsidR="00925F18" w:rsidRPr="004A257F" w:rsidRDefault="00E64DA4" w:rsidP="006149A5">
      <w:pPr>
        <w:spacing w:line="480" w:lineRule="auto"/>
        <w:jc w:val="both"/>
        <w:rPr>
          <w:lang w:val="en-US"/>
        </w:rPr>
      </w:pPr>
      <w:r w:rsidRPr="004A257F">
        <w:rPr>
          <w:noProof/>
          <w:lang w:val="en-US"/>
        </w:rPr>
        <w:drawing>
          <wp:inline distT="0" distB="0" distL="0" distR="0">
            <wp:extent cx="5760720" cy="7579360"/>
            <wp:effectExtent l="0" t="0" r="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7_TIF.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579360"/>
                    </a:xfrm>
                    <a:prstGeom prst="rect">
                      <a:avLst/>
                    </a:prstGeom>
                  </pic:spPr>
                </pic:pic>
              </a:graphicData>
            </a:graphic>
          </wp:inline>
        </w:drawing>
      </w:r>
    </w:p>
    <w:p w:rsidR="007C2EC8" w:rsidRPr="004A257F" w:rsidRDefault="00925F18" w:rsidP="009E0670">
      <w:pPr>
        <w:spacing w:after="0" w:line="240" w:lineRule="auto"/>
        <w:jc w:val="both"/>
        <w:rPr>
          <w:lang w:val="en-US"/>
        </w:rPr>
      </w:pPr>
      <w:r w:rsidRPr="004A257F">
        <w:rPr>
          <w:b/>
          <w:lang w:val="en-US"/>
        </w:rPr>
        <w:t>Fig.</w:t>
      </w:r>
      <w:r w:rsidR="005B5065" w:rsidRPr="004A257F">
        <w:rPr>
          <w:b/>
          <w:lang w:val="en-US"/>
        </w:rPr>
        <w:t xml:space="preserve"> </w:t>
      </w:r>
      <w:r w:rsidR="00023942" w:rsidRPr="004A257F">
        <w:rPr>
          <w:b/>
          <w:lang w:val="en-US"/>
        </w:rPr>
        <w:t>S</w:t>
      </w:r>
      <w:r w:rsidR="00527D2E" w:rsidRPr="004A257F">
        <w:rPr>
          <w:b/>
          <w:lang w:val="en-US"/>
        </w:rPr>
        <w:t>6</w:t>
      </w:r>
      <w:r w:rsidRPr="004A257F">
        <w:rPr>
          <w:b/>
          <w:lang w:val="en-US"/>
        </w:rPr>
        <w:t>:</w:t>
      </w:r>
      <w:r w:rsidRPr="004A257F">
        <w:rPr>
          <w:lang w:val="en-US"/>
        </w:rPr>
        <w:t xml:space="preserve"> </w:t>
      </w:r>
      <w:r w:rsidR="006149A5" w:rsidRPr="004A257F">
        <w:rPr>
          <w:lang w:val="en-US"/>
        </w:rPr>
        <w:t>Spatial distribution of the taxonomic</w:t>
      </w:r>
      <w:r w:rsidR="005B5065" w:rsidRPr="004A257F">
        <w:rPr>
          <w:lang w:val="en-US"/>
        </w:rPr>
        <w:t xml:space="preserve"> and functional composition of</w:t>
      </w:r>
      <w:r w:rsidR="006149A5" w:rsidRPr="004A257F">
        <w:rPr>
          <w:lang w:val="en-US"/>
        </w:rPr>
        <w:t xml:space="preserve"> protists (A) and bacterial (B) communities, in relative abundance (%), during December 2020 campaign. (</w:t>
      </w:r>
      <w:r w:rsidR="00EC5643" w:rsidRPr="004A257F">
        <w:rPr>
          <w:lang w:val="en-US"/>
        </w:rPr>
        <w:t>Unassigned: Un</w:t>
      </w:r>
      <w:r w:rsidR="006149A5" w:rsidRPr="004A257F">
        <w:rPr>
          <w:lang w:val="en-US"/>
        </w:rPr>
        <w:t xml:space="preserve">.) </w:t>
      </w:r>
    </w:p>
    <w:p w:rsidR="007C2EC8" w:rsidRPr="004A257F" w:rsidRDefault="00E64DA4" w:rsidP="00E64DA4">
      <w:pPr>
        <w:spacing w:line="480" w:lineRule="auto"/>
        <w:jc w:val="both"/>
        <w:rPr>
          <w:b/>
          <w:lang w:val="en-US"/>
        </w:rPr>
      </w:pPr>
      <w:r w:rsidRPr="004A257F">
        <w:rPr>
          <w:b/>
          <w:noProof/>
          <w:lang w:val="en-US"/>
        </w:rPr>
        <w:drawing>
          <wp:inline distT="0" distB="0" distL="0" distR="0">
            <wp:extent cx="5760720" cy="8398510"/>
            <wp:effectExtent l="0" t="0" r="0"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8_TIF.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8398510"/>
                    </a:xfrm>
                    <a:prstGeom prst="rect">
                      <a:avLst/>
                    </a:prstGeom>
                  </pic:spPr>
                </pic:pic>
              </a:graphicData>
            </a:graphic>
          </wp:inline>
        </w:drawing>
      </w:r>
      <w:r w:rsidR="00023942" w:rsidRPr="004A257F">
        <w:rPr>
          <w:b/>
          <w:lang w:val="en-US"/>
        </w:rPr>
        <w:t>Fig. S</w:t>
      </w:r>
      <w:r w:rsidR="00527D2E" w:rsidRPr="004A257F">
        <w:rPr>
          <w:b/>
          <w:lang w:val="en-US"/>
        </w:rPr>
        <w:t>7</w:t>
      </w:r>
      <w:r w:rsidR="00925F18" w:rsidRPr="004A257F">
        <w:rPr>
          <w:b/>
          <w:lang w:val="en-US"/>
        </w:rPr>
        <w:t>:</w:t>
      </w:r>
      <w:r w:rsidR="00925F18" w:rsidRPr="004A257F">
        <w:rPr>
          <w:lang w:val="en-US"/>
        </w:rPr>
        <w:t xml:space="preserve"> </w:t>
      </w:r>
      <w:r w:rsidR="006149A5" w:rsidRPr="004A257F">
        <w:rPr>
          <w:lang w:val="en-US"/>
        </w:rPr>
        <w:t>Variability over the three campaigns of the 8 key variables and other parameters</w:t>
      </w:r>
      <w:bookmarkEnd w:id="0"/>
    </w:p>
    <w:sectPr w:rsidR="007C2EC8" w:rsidRPr="004A257F" w:rsidSect="005503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259"/>
    <w:rsid w:val="00023942"/>
    <w:rsid w:val="000274A8"/>
    <w:rsid w:val="00040E9B"/>
    <w:rsid w:val="00046A99"/>
    <w:rsid w:val="00052027"/>
    <w:rsid w:val="00067C60"/>
    <w:rsid w:val="000702CD"/>
    <w:rsid w:val="000A2E5D"/>
    <w:rsid w:val="000B478F"/>
    <w:rsid w:val="000B54BC"/>
    <w:rsid w:val="00162AA9"/>
    <w:rsid w:val="001749E1"/>
    <w:rsid w:val="001E2033"/>
    <w:rsid w:val="00226CA9"/>
    <w:rsid w:val="002A2432"/>
    <w:rsid w:val="003147AA"/>
    <w:rsid w:val="00332396"/>
    <w:rsid w:val="004034DB"/>
    <w:rsid w:val="00404F2A"/>
    <w:rsid w:val="0042260F"/>
    <w:rsid w:val="004A257F"/>
    <w:rsid w:val="004B2E83"/>
    <w:rsid w:val="0050382D"/>
    <w:rsid w:val="00515590"/>
    <w:rsid w:val="00517D31"/>
    <w:rsid w:val="00522D76"/>
    <w:rsid w:val="00527D2E"/>
    <w:rsid w:val="00550373"/>
    <w:rsid w:val="005B5065"/>
    <w:rsid w:val="0060343D"/>
    <w:rsid w:val="006149A5"/>
    <w:rsid w:val="006364B6"/>
    <w:rsid w:val="00655B02"/>
    <w:rsid w:val="006B0259"/>
    <w:rsid w:val="007011AA"/>
    <w:rsid w:val="00730A61"/>
    <w:rsid w:val="0076453D"/>
    <w:rsid w:val="007901AF"/>
    <w:rsid w:val="0079681D"/>
    <w:rsid w:val="007C2EC8"/>
    <w:rsid w:val="007E5388"/>
    <w:rsid w:val="008175AE"/>
    <w:rsid w:val="008838EB"/>
    <w:rsid w:val="008A2D32"/>
    <w:rsid w:val="008C7887"/>
    <w:rsid w:val="00925F18"/>
    <w:rsid w:val="009515D7"/>
    <w:rsid w:val="009B5DC3"/>
    <w:rsid w:val="009C32FF"/>
    <w:rsid w:val="009D406D"/>
    <w:rsid w:val="009D5CC1"/>
    <w:rsid w:val="009E0670"/>
    <w:rsid w:val="00A36529"/>
    <w:rsid w:val="00A77DDC"/>
    <w:rsid w:val="00A806DC"/>
    <w:rsid w:val="00A97EFE"/>
    <w:rsid w:val="00AC4FAD"/>
    <w:rsid w:val="00AC5B01"/>
    <w:rsid w:val="00AE0F98"/>
    <w:rsid w:val="00B077D7"/>
    <w:rsid w:val="00B17FD4"/>
    <w:rsid w:val="00B54A49"/>
    <w:rsid w:val="00B630EE"/>
    <w:rsid w:val="00B82E96"/>
    <w:rsid w:val="00B92A02"/>
    <w:rsid w:val="00BD083F"/>
    <w:rsid w:val="00C03DA3"/>
    <w:rsid w:val="00C21B13"/>
    <w:rsid w:val="00C37329"/>
    <w:rsid w:val="00DA1FE0"/>
    <w:rsid w:val="00DA5478"/>
    <w:rsid w:val="00DF26AB"/>
    <w:rsid w:val="00E041D2"/>
    <w:rsid w:val="00E37B54"/>
    <w:rsid w:val="00E64DA4"/>
    <w:rsid w:val="00EA7D34"/>
    <w:rsid w:val="00EC5643"/>
    <w:rsid w:val="00ED1ABC"/>
    <w:rsid w:val="00F117C2"/>
    <w:rsid w:val="00FF29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1EBA41-BF84-4480-A25F-D3EAD5EA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4226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4226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next w:val="Normal"/>
    <w:link w:val="TitleChar"/>
    <w:uiPriority w:val="10"/>
    <w:qFormat/>
    <w:rsid w:val="00023942"/>
    <w:pPr>
      <w:spacing w:after="0" w:line="240" w:lineRule="auto"/>
      <w:contextualSpacing/>
      <w:jc w:val="both"/>
    </w:pPr>
    <w:rPr>
      <w:rFonts w:asciiTheme="majorHAnsi" w:eastAsiaTheme="majorEastAsia" w:hAnsiTheme="majorHAnsi" w:cstheme="majorBidi"/>
      <w:spacing w:val="-10"/>
      <w:kern w:val="28"/>
      <w:sz w:val="56"/>
      <w:szCs w:val="56"/>
      <w:lang w:val="en-US" w:eastAsia="fr-FR"/>
    </w:rPr>
  </w:style>
  <w:style w:type="character" w:customStyle="1" w:styleId="TitleChar">
    <w:name w:val="Title Char"/>
    <w:basedOn w:val="DefaultParagraphFont"/>
    <w:link w:val="Title"/>
    <w:uiPriority w:val="10"/>
    <w:rsid w:val="00023942"/>
    <w:rPr>
      <w:rFonts w:asciiTheme="majorHAnsi" w:eastAsiaTheme="majorEastAsia" w:hAnsiTheme="majorHAnsi" w:cstheme="majorBidi"/>
      <w:spacing w:val="-10"/>
      <w:kern w:val="28"/>
      <w:sz w:val="56"/>
      <w:szCs w:val="56"/>
      <w:lang w:val="en-US" w:eastAsia="fr-FR"/>
    </w:rPr>
  </w:style>
  <w:style w:type="character" w:styleId="LineNumber">
    <w:name w:val="line number"/>
    <w:basedOn w:val="DefaultParagraphFont"/>
    <w:uiPriority w:val="99"/>
    <w:semiHidden/>
    <w:unhideWhenUsed/>
    <w:rsid w:val="006149A5"/>
  </w:style>
  <w:style w:type="character" w:styleId="Hyperlink">
    <w:name w:val="Hyperlink"/>
    <w:basedOn w:val="DefaultParagraphFont"/>
    <w:uiPriority w:val="99"/>
    <w:unhideWhenUsed/>
    <w:rsid w:val="00226CA9"/>
    <w:rPr>
      <w:color w:val="0563C1" w:themeColor="hyperlink"/>
      <w:u w:val="single"/>
    </w:rPr>
  </w:style>
  <w:style w:type="paragraph" w:styleId="BalloonText">
    <w:name w:val="Balloon Text"/>
    <w:basedOn w:val="Normal"/>
    <w:link w:val="BalloonTextChar"/>
    <w:uiPriority w:val="99"/>
    <w:semiHidden/>
    <w:unhideWhenUsed/>
    <w:rsid w:val="008838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8EB"/>
    <w:rPr>
      <w:rFonts w:ascii="Segoe UI" w:hAnsi="Segoe UI" w:cs="Segoe UI"/>
      <w:sz w:val="18"/>
      <w:szCs w:val="18"/>
    </w:rPr>
  </w:style>
  <w:style w:type="character" w:styleId="CommentReference">
    <w:name w:val="annotation reference"/>
    <w:basedOn w:val="DefaultParagraphFont"/>
    <w:uiPriority w:val="99"/>
    <w:semiHidden/>
    <w:unhideWhenUsed/>
    <w:rsid w:val="008838EB"/>
    <w:rPr>
      <w:sz w:val="16"/>
      <w:szCs w:val="16"/>
    </w:rPr>
  </w:style>
  <w:style w:type="paragraph" w:styleId="CommentText">
    <w:name w:val="annotation text"/>
    <w:basedOn w:val="Normal"/>
    <w:link w:val="CommentTextChar"/>
    <w:uiPriority w:val="99"/>
    <w:unhideWhenUsed/>
    <w:rsid w:val="008838EB"/>
    <w:pPr>
      <w:spacing w:line="240" w:lineRule="auto"/>
      <w:jc w:val="both"/>
    </w:pPr>
    <w:rPr>
      <w:sz w:val="20"/>
      <w:szCs w:val="20"/>
      <w:lang w:val="en-US" w:eastAsia="fr-FR"/>
    </w:rPr>
  </w:style>
  <w:style w:type="character" w:customStyle="1" w:styleId="CommentTextChar">
    <w:name w:val="Comment Text Char"/>
    <w:basedOn w:val="DefaultParagraphFont"/>
    <w:link w:val="CommentText"/>
    <w:uiPriority w:val="99"/>
    <w:rsid w:val="008838EB"/>
    <w:rPr>
      <w:sz w:val="20"/>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hyperlink" Target="mailto:raffaele.siano@ifremer.fr" TargetMode="External"/><Relationship Id="rId10"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350A7-8582-4163-B64E-C5CDBD5E4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807</Words>
  <Characters>4602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Ifremer</Company>
  <LinksUpToDate>false</LinksUpToDate>
  <CharactersWithSpaces>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Mathisse MEYNENG, Ifremer Brest PDG-ODE-DYNECO-P</dc:creator>
  <cp:keywords/>
  <dc:description/>
  <cp:lastModifiedBy>Jeevitha T.</cp:lastModifiedBy>
  <cp:revision>6</cp:revision>
  <dcterms:created xsi:type="dcterms:W3CDTF">2023-12-18T15:35:00Z</dcterms:created>
  <dcterms:modified xsi:type="dcterms:W3CDTF">2024-01-27T01:21:00Z</dcterms:modified>
</cp:coreProperties>
</file>