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736E4" w14:textId="77777777" w:rsidR="00500E49" w:rsidRPr="00500E49" w:rsidRDefault="00500E49" w:rsidP="00500E49">
      <w:pPr>
        <w:rPr>
          <w:sz w:val="28"/>
          <w:lang w:val="en-GB"/>
        </w:rPr>
      </w:pPr>
      <w:r w:rsidRPr="00792BE7">
        <w:rPr>
          <w:b/>
          <w:bCs/>
          <w:sz w:val="28"/>
          <w:lang w:val="en-GB"/>
        </w:rPr>
        <w:t>Supplementary Information for</w:t>
      </w:r>
      <w:r w:rsidRPr="00500E49">
        <w:rPr>
          <w:sz w:val="28"/>
          <w:lang w:val="en-GB"/>
        </w:rPr>
        <w:t xml:space="preserve">: </w:t>
      </w:r>
    </w:p>
    <w:p w14:paraId="4371A61D" w14:textId="77777777" w:rsidR="00500E49" w:rsidRDefault="005967AE" w:rsidP="007C5C27">
      <w:pPr>
        <w:pStyle w:val="Title"/>
        <w:jc w:val="both"/>
        <w:rPr>
          <w:lang w:val="en-GB"/>
        </w:rPr>
      </w:pPr>
      <w:r>
        <w:rPr>
          <w:lang w:val="en-GB"/>
        </w:rPr>
        <w:t xml:space="preserve">Determining the footprint of breeding in the seed microbiome of a perennial </w:t>
      </w:r>
      <w:r w:rsidR="00D14D09">
        <w:rPr>
          <w:lang w:val="en-GB"/>
        </w:rPr>
        <w:t>cereal</w:t>
      </w:r>
    </w:p>
    <w:p w14:paraId="79FE85D7" w14:textId="7CFF45F1" w:rsidR="00500E49" w:rsidRPr="00500E49" w:rsidRDefault="00500E49" w:rsidP="007C5C27">
      <w:pPr>
        <w:jc w:val="both"/>
        <w:rPr>
          <w:lang w:val="en-GB"/>
        </w:rPr>
      </w:pPr>
      <w:r w:rsidRPr="00D72D60">
        <w:rPr>
          <w:lang w:val="en-GB"/>
        </w:rPr>
        <w:t xml:space="preserve">Kristina Michl, </w:t>
      </w:r>
      <w:r>
        <w:rPr>
          <w:lang w:val="en-GB"/>
        </w:rPr>
        <w:t xml:space="preserve">Christophe David, Benjamin Dumont, </w:t>
      </w:r>
      <w:r w:rsidR="007C5C27">
        <w:rPr>
          <w:lang w:val="en-GB"/>
        </w:rPr>
        <w:t xml:space="preserve">Linda-Maria Dimitrova </w:t>
      </w:r>
      <w:proofErr w:type="spellStart"/>
      <w:r w:rsidR="007C5C27">
        <w:rPr>
          <w:lang w:val="en-GB"/>
        </w:rPr>
        <w:t>M</w:t>
      </w:r>
      <w:r w:rsidR="007C5C27">
        <w:rPr>
          <w:rFonts w:cstheme="minorHAnsi"/>
          <w:lang w:val="en-GB"/>
        </w:rPr>
        <w:t>å</w:t>
      </w:r>
      <w:r w:rsidR="007C5C27">
        <w:rPr>
          <w:lang w:val="en-GB"/>
        </w:rPr>
        <w:t>rtensson</w:t>
      </w:r>
      <w:proofErr w:type="spellEnd"/>
      <w:r w:rsidR="007C5C27">
        <w:rPr>
          <w:lang w:val="en-GB"/>
        </w:rPr>
        <w:t xml:space="preserve">, </w:t>
      </w:r>
      <w:r>
        <w:rPr>
          <w:lang w:val="en-GB"/>
        </w:rPr>
        <w:t xml:space="preserve">Frank Rasche, </w:t>
      </w:r>
      <w:r w:rsidRPr="00D72D60">
        <w:rPr>
          <w:lang w:val="en-GB"/>
        </w:rPr>
        <w:t>Gabriele Berg, and Tomislav Cernava</w:t>
      </w:r>
    </w:p>
    <w:p w14:paraId="06EBE388" w14:textId="77777777" w:rsidR="006C076C" w:rsidRDefault="006C076C">
      <w:pPr>
        <w:rPr>
          <w:lang w:val="en-US"/>
        </w:rPr>
      </w:pPr>
    </w:p>
    <w:p w14:paraId="2CCC6353" w14:textId="2942B408" w:rsidR="00E21E0E" w:rsidRDefault="006C076C">
      <w:pPr>
        <w:rPr>
          <w:lang w:val="en-US"/>
        </w:rPr>
      </w:pPr>
      <w:r w:rsidRPr="00792BE7">
        <w:rPr>
          <w:b/>
          <w:bCs/>
          <w:lang w:val="en-US"/>
        </w:rPr>
        <w:t>Supplementary Material and Methods</w:t>
      </w:r>
      <w:r>
        <w:rPr>
          <w:lang w:val="en-US"/>
        </w:rPr>
        <w:br/>
      </w:r>
    </w:p>
    <w:p w14:paraId="380B2D96" w14:textId="77777777" w:rsidR="00E21E0E" w:rsidRPr="00A14230" w:rsidRDefault="00E21E0E" w:rsidP="00E21E0E">
      <w:pPr>
        <w:pStyle w:val="Heading2"/>
        <w:spacing w:line="480" w:lineRule="auto"/>
        <w:jc w:val="both"/>
        <w:rPr>
          <w:color w:val="A6A6A6" w:themeColor="background1" w:themeShade="A6"/>
          <w:lang w:val="en-GB"/>
        </w:rPr>
      </w:pPr>
      <w:r w:rsidRPr="00A14230">
        <w:rPr>
          <w:color w:val="A6A6A6" w:themeColor="background1" w:themeShade="A6"/>
          <w:lang w:val="en-GB"/>
        </w:rPr>
        <w:t>Isolation and identification of intermediate wheatgrass seed endophytes</w:t>
      </w:r>
    </w:p>
    <w:p w14:paraId="1FE0A371" w14:textId="77777777" w:rsidR="00E21E0E" w:rsidRDefault="00E21E0E" w:rsidP="00E21E0E">
      <w:pPr>
        <w:spacing w:line="480" w:lineRule="auto"/>
        <w:jc w:val="both"/>
        <w:rPr>
          <w:lang w:val="en-GB"/>
        </w:rPr>
      </w:pPr>
      <w:r>
        <w:rPr>
          <w:lang w:val="en-GB"/>
        </w:rPr>
        <w:t>Intermediate wheatgrass seeds originating from Sweden, Belgium, and France from the harvesting year 2021 were subjected to surface sterilization and germination as described above. Approximately 15 germinated seeds were ground in 2 ml 0.9% NaCl and a dilution series up to 10</w:t>
      </w:r>
      <w:r w:rsidRPr="00822D02">
        <w:rPr>
          <w:vertAlign w:val="superscript"/>
          <w:lang w:val="en-GB"/>
        </w:rPr>
        <w:t xml:space="preserve"> -5</w:t>
      </w:r>
      <w:r>
        <w:rPr>
          <w:lang w:val="en-GB"/>
        </w:rPr>
        <w:t xml:space="preserve"> was plated on LB and R2A and the plates were incubated at room temperature for four and seven days, respectively. Based on their morphological differences, 108 bacterial isolates were further </w:t>
      </w:r>
      <w:proofErr w:type="spellStart"/>
      <w:r>
        <w:rPr>
          <w:lang w:val="en-GB"/>
        </w:rPr>
        <w:t>subcultured</w:t>
      </w:r>
      <w:proofErr w:type="spellEnd"/>
      <w:r>
        <w:rPr>
          <w:lang w:val="en-GB"/>
        </w:rPr>
        <w:t xml:space="preserve"> on LB. </w:t>
      </w:r>
    </w:p>
    <w:p w14:paraId="07EAF8A0" w14:textId="0BB1BFFF" w:rsidR="00E21E0E" w:rsidRDefault="00E21E0E" w:rsidP="00E21E0E">
      <w:pPr>
        <w:spacing w:line="480" w:lineRule="auto"/>
        <w:jc w:val="both"/>
        <w:rPr>
          <w:lang w:val="en-GB"/>
        </w:rPr>
      </w:pPr>
      <w:r>
        <w:rPr>
          <w:lang w:val="en-GB"/>
        </w:rPr>
        <w:t xml:space="preserve">The bacterial isolates were identified based on their 16S rRNA gene sequence. Bacterial genomic DNA was extracted following the Triton method </w:t>
      </w:r>
      <w:r w:rsidR="007511BE">
        <w:rPr>
          <w:lang w:val="en-GB"/>
        </w:rPr>
        <w:t>[1]</w:t>
      </w:r>
      <w:r>
        <w:rPr>
          <w:lang w:val="en-GB"/>
        </w:rPr>
        <w:t>. PCRs, using the universal primer set 27F (</w:t>
      </w:r>
      <w:r w:rsidRPr="001F6230">
        <w:rPr>
          <w:lang w:val="en-GB"/>
        </w:rPr>
        <w:t xml:space="preserve">5’-AGAGTTTGATCCTGGCTCAG-3’) </w:t>
      </w:r>
      <w:r>
        <w:rPr>
          <w:lang w:val="en-GB"/>
        </w:rPr>
        <w:t>and 1492R (</w:t>
      </w:r>
      <w:r w:rsidRPr="001F6230">
        <w:rPr>
          <w:lang w:val="en-GB"/>
        </w:rPr>
        <w:t>5’-GGACTACHVGGGTWTCTAAT-3’)</w:t>
      </w:r>
      <w:r>
        <w:rPr>
          <w:lang w:val="en-GB"/>
        </w:rPr>
        <w:t xml:space="preserve">, were performed as described previously </w:t>
      </w:r>
      <w:r w:rsidR="007511BE">
        <w:rPr>
          <w:lang w:val="en-GB"/>
        </w:rPr>
        <w:t>[2]</w:t>
      </w:r>
      <w:r>
        <w:rPr>
          <w:lang w:val="en-GB"/>
        </w:rPr>
        <w:t xml:space="preserve"> and the PCR amplicons were sequenced (LGC Genomics, Berlin, Germany). The sequences were manually quality filtered using </w:t>
      </w:r>
      <w:proofErr w:type="spellStart"/>
      <w:r>
        <w:rPr>
          <w:lang w:val="en-GB"/>
        </w:rPr>
        <w:t>BioEdit</w:t>
      </w:r>
      <w:proofErr w:type="spellEnd"/>
      <w:r>
        <w:rPr>
          <w:lang w:val="en-GB"/>
        </w:rPr>
        <w:t xml:space="preserve"> </w:t>
      </w:r>
      <w:r w:rsidR="007511BE">
        <w:rPr>
          <w:lang w:val="en-GB"/>
        </w:rPr>
        <w:t>[3]</w:t>
      </w:r>
      <w:r>
        <w:rPr>
          <w:lang w:val="en-GB"/>
        </w:rPr>
        <w:t xml:space="preserve"> and compared against standard databases using the Basic Local Alignment Search Tool </w:t>
      </w:r>
      <w:r w:rsidR="007511BE">
        <w:rPr>
          <w:lang w:val="en-GB"/>
        </w:rPr>
        <w:t>[4]</w:t>
      </w:r>
      <w:r>
        <w:rPr>
          <w:lang w:val="en-GB"/>
        </w:rPr>
        <w:t>.</w:t>
      </w:r>
    </w:p>
    <w:p w14:paraId="5C50CC0B" w14:textId="77777777" w:rsidR="00E21E0E" w:rsidRPr="00A14230" w:rsidRDefault="00E21E0E" w:rsidP="00E21E0E">
      <w:pPr>
        <w:spacing w:line="480" w:lineRule="auto"/>
        <w:jc w:val="both"/>
        <w:rPr>
          <w:color w:val="A6A6A6" w:themeColor="background1" w:themeShade="A6"/>
          <w:lang w:val="en-GB"/>
        </w:rPr>
      </w:pPr>
      <w:r w:rsidRPr="00A14230">
        <w:rPr>
          <w:rStyle w:val="Heading2Char"/>
          <w:color w:val="A6A6A6" w:themeColor="background1" w:themeShade="A6"/>
          <w:lang w:val="en-US"/>
        </w:rPr>
        <w:t>Screening for plant beneficial traits</w:t>
      </w:r>
    </w:p>
    <w:p w14:paraId="22B0AB7F" w14:textId="0CAB1CCD" w:rsidR="00E21E0E" w:rsidRDefault="00E21E0E" w:rsidP="00E21E0E">
      <w:pPr>
        <w:spacing w:line="480" w:lineRule="auto"/>
        <w:jc w:val="both"/>
        <w:rPr>
          <w:lang w:val="en-GB"/>
        </w:rPr>
      </w:pPr>
      <w:r>
        <w:rPr>
          <w:lang w:val="en-GB"/>
        </w:rPr>
        <w:t xml:space="preserve">The production of siderophores and the ability to solubilize phosphate was determined according to </w:t>
      </w:r>
      <w:proofErr w:type="spellStart"/>
      <w:r>
        <w:rPr>
          <w:lang w:val="en-GB"/>
        </w:rPr>
        <w:t>Flemer</w:t>
      </w:r>
      <w:proofErr w:type="spellEnd"/>
      <w:r>
        <w:rPr>
          <w:lang w:val="en-GB"/>
        </w:rPr>
        <w:t xml:space="preserve"> et al.</w:t>
      </w:r>
      <w:r w:rsidR="007511BE">
        <w:rPr>
          <w:lang w:val="en-GB"/>
        </w:rPr>
        <w:t xml:space="preserve"> [</w:t>
      </w:r>
      <w:r w:rsidR="007511BE" w:rsidRPr="007511BE">
        <w:rPr>
          <w:lang w:val="en-GB"/>
        </w:rPr>
        <w:t>5</w:t>
      </w:r>
      <w:r w:rsidR="007511BE" w:rsidRPr="00B617DE">
        <w:rPr>
          <w:lang w:val="en-US"/>
        </w:rPr>
        <w:t xml:space="preserve">]. </w:t>
      </w:r>
      <w:r w:rsidRPr="007511BE">
        <w:rPr>
          <w:lang w:val="en-GB"/>
        </w:rPr>
        <w:t>Furthermore</w:t>
      </w:r>
      <w:r>
        <w:rPr>
          <w:lang w:val="en-GB"/>
        </w:rPr>
        <w:t>, isolates were tested for rhamnolipid</w:t>
      </w:r>
      <w:r w:rsidR="007511BE">
        <w:rPr>
          <w:lang w:val="en-GB"/>
        </w:rPr>
        <w:t xml:space="preserve"> [6]</w:t>
      </w:r>
      <w:r>
        <w:rPr>
          <w:lang w:val="en-GB"/>
        </w:rPr>
        <w:t xml:space="preserve">, indole-3-acetic acid (IAA) production </w:t>
      </w:r>
      <w:r w:rsidR="007511BE">
        <w:rPr>
          <w:lang w:val="en-GB"/>
        </w:rPr>
        <w:t>[7]</w:t>
      </w:r>
      <w:r>
        <w:rPr>
          <w:lang w:val="en-GB"/>
        </w:rPr>
        <w:t xml:space="preserve">, and proteolytic activity </w:t>
      </w:r>
      <w:r w:rsidR="007511BE">
        <w:rPr>
          <w:lang w:val="en-GB"/>
        </w:rPr>
        <w:t>[8]</w:t>
      </w:r>
      <w:r>
        <w:rPr>
          <w:lang w:val="en-GB"/>
        </w:rPr>
        <w:t>.</w:t>
      </w:r>
    </w:p>
    <w:p w14:paraId="09F80951" w14:textId="456773A5" w:rsidR="007C5C27" w:rsidRDefault="007C5C27">
      <w:pPr>
        <w:rPr>
          <w:lang w:val="en-US"/>
        </w:rPr>
      </w:pPr>
      <w:r>
        <w:rPr>
          <w:lang w:val="en-US"/>
        </w:rPr>
        <w:br w:type="page"/>
      </w:r>
    </w:p>
    <w:p w14:paraId="34618B1B" w14:textId="409AB3FF" w:rsidR="005967AE" w:rsidRDefault="005967AE" w:rsidP="005967AE">
      <w:pPr>
        <w:jc w:val="center"/>
        <w:rPr>
          <w:lang w:val="en-US"/>
        </w:rPr>
      </w:pPr>
      <w:r>
        <w:rPr>
          <w:lang w:val="en-US"/>
        </w:rPr>
        <w:lastRenderedPageBreak/>
        <w:br/>
      </w:r>
    </w:p>
    <w:p w14:paraId="1D226A58" w14:textId="77777777" w:rsidR="00500E49" w:rsidRDefault="00500E49" w:rsidP="00E3754F">
      <w:pPr>
        <w:rPr>
          <w:lang w:val="en-GB"/>
        </w:rPr>
      </w:pPr>
    </w:p>
    <w:p w14:paraId="4C567C26" w14:textId="77777777" w:rsidR="005967AE" w:rsidRPr="002C236E" w:rsidRDefault="005967AE" w:rsidP="005967AE">
      <w:pPr>
        <w:rPr>
          <w:lang w:val="en-GB"/>
        </w:rPr>
      </w:pPr>
    </w:p>
    <w:p w14:paraId="2CE590E7" w14:textId="77777777" w:rsidR="005967AE" w:rsidRDefault="005967AE" w:rsidP="005967AE">
      <w:pPr>
        <w:keepNext/>
      </w:pPr>
      <w:r>
        <w:rPr>
          <w:noProof/>
          <w:lang w:eastAsia="de-AT"/>
        </w:rPr>
        <w:drawing>
          <wp:inline distT="0" distB="0" distL="0" distR="0" wp14:anchorId="4EC49240" wp14:editId="662B704C">
            <wp:extent cx="5760720" cy="576072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7DF4B240" w14:textId="4F823D66" w:rsidR="005967AE" w:rsidRPr="00A14230" w:rsidRDefault="005967AE" w:rsidP="005967AE">
      <w:pPr>
        <w:pStyle w:val="Caption"/>
        <w:rPr>
          <w:color w:val="auto"/>
          <w:lang w:val="en-GB"/>
        </w:rPr>
      </w:pPr>
      <w:r w:rsidRPr="00A14230">
        <w:rPr>
          <w:color w:val="auto"/>
          <w:lang w:val="en-US"/>
        </w:rPr>
        <w:t>Figure S</w:t>
      </w:r>
      <w:r w:rsidRPr="00A14230">
        <w:rPr>
          <w:color w:val="auto"/>
        </w:rPr>
        <w:fldChar w:fldCharType="begin"/>
      </w:r>
      <w:r w:rsidRPr="00A14230">
        <w:rPr>
          <w:color w:val="auto"/>
          <w:lang w:val="en-US"/>
        </w:rPr>
        <w:instrText xml:space="preserve"> SEQ Figure_S \* ARABIC </w:instrText>
      </w:r>
      <w:r w:rsidRPr="00A14230">
        <w:rPr>
          <w:color w:val="auto"/>
        </w:rPr>
        <w:fldChar w:fldCharType="separate"/>
      </w:r>
      <w:r w:rsidR="003B39BF" w:rsidRPr="00A14230">
        <w:rPr>
          <w:noProof/>
          <w:color w:val="auto"/>
          <w:lang w:val="en-US"/>
        </w:rPr>
        <w:t>1</w:t>
      </w:r>
      <w:r w:rsidRPr="00A14230">
        <w:rPr>
          <w:color w:val="auto"/>
        </w:rPr>
        <w:fldChar w:fldCharType="end"/>
      </w:r>
      <w:r w:rsidRPr="00A14230">
        <w:rPr>
          <w:color w:val="auto"/>
          <w:lang w:val="en-US"/>
        </w:rPr>
        <w:t xml:space="preserve">: </w:t>
      </w:r>
      <w:r w:rsidRPr="00A14230">
        <w:rPr>
          <w:color w:val="auto"/>
          <w:lang w:val="en-GB"/>
        </w:rPr>
        <w:t xml:space="preserve">Bacterial taxonomic composition of intermediate </w:t>
      </w:r>
      <w:proofErr w:type="spellStart"/>
      <w:r w:rsidRPr="00A14230">
        <w:rPr>
          <w:color w:val="auto"/>
          <w:lang w:val="en-GB"/>
        </w:rPr>
        <w:t>wheatrgass</w:t>
      </w:r>
      <w:proofErr w:type="spellEnd"/>
      <w:r w:rsidRPr="00A14230">
        <w:rPr>
          <w:color w:val="auto"/>
          <w:lang w:val="en-GB"/>
        </w:rPr>
        <w:t xml:space="preserve"> seed endophytes at phylum level. Samples were collected from four different field sites and three harvest years and ten replicates were averaged. The group “&lt;1%” was created from ASVs with a relative abundance lower than 1%.</w:t>
      </w:r>
    </w:p>
    <w:p w14:paraId="2F673444" w14:textId="77777777" w:rsidR="005967AE" w:rsidRDefault="005967AE" w:rsidP="005967AE">
      <w:pPr>
        <w:rPr>
          <w:lang w:val="en-GB"/>
        </w:rPr>
      </w:pPr>
    </w:p>
    <w:p w14:paraId="254CE7A7" w14:textId="77777777" w:rsidR="005967AE" w:rsidRDefault="005967AE" w:rsidP="005967AE">
      <w:pPr>
        <w:keepNext/>
      </w:pPr>
      <w:r>
        <w:rPr>
          <w:noProof/>
          <w:lang w:eastAsia="de-AT"/>
        </w:rPr>
        <w:lastRenderedPageBreak/>
        <w:drawing>
          <wp:inline distT="0" distB="0" distL="0" distR="0" wp14:anchorId="2B8005A7" wp14:editId="69659CAD">
            <wp:extent cx="5760720" cy="2880360"/>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2880360"/>
                    </a:xfrm>
                    <a:prstGeom prst="rect">
                      <a:avLst/>
                    </a:prstGeom>
                  </pic:spPr>
                </pic:pic>
              </a:graphicData>
            </a:graphic>
          </wp:inline>
        </w:drawing>
      </w:r>
    </w:p>
    <w:p w14:paraId="125FA812" w14:textId="2327F42E" w:rsidR="005967AE" w:rsidRDefault="005967AE" w:rsidP="005967AE">
      <w:pPr>
        <w:pStyle w:val="Caption"/>
        <w:rPr>
          <w:lang w:val="en-US"/>
        </w:rPr>
      </w:pPr>
      <w:r w:rsidRPr="00A14230">
        <w:rPr>
          <w:color w:val="auto"/>
          <w:lang w:val="en-US"/>
        </w:rPr>
        <w:t>Figure S</w:t>
      </w:r>
      <w:r w:rsidRPr="00A14230">
        <w:rPr>
          <w:color w:val="auto"/>
        </w:rPr>
        <w:fldChar w:fldCharType="begin"/>
      </w:r>
      <w:r w:rsidRPr="00A14230">
        <w:rPr>
          <w:color w:val="auto"/>
          <w:lang w:val="en-US"/>
        </w:rPr>
        <w:instrText xml:space="preserve"> SEQ Figure_S \* ARABIC </w:instrText>
      </w:r>
      <w:r w:rsidRPr="00A14230">
        <w:rPr>
          <w:color w:val="auto"/>
        </w:rPr>
        <w:fldChar w:fldCharType="separate"/>
      </w:r>
      <w:r w:rsidR="003B39BF" w:rsidRPr="00A14230">
        <w:rPr>
          <w:noProof/>
          <w:color w:val="auto"/>
          <w:lang w:val="en-US"/>
        </w:rPr>
        <w:t>2</w:t>
      </w:r>
      <w:r w:rsidRPr="00A14230">
        <w:rPr>
          <w:color w:val="auto"/>
        </w:rPr>
        <w:fldChar w:fldCharType="end"/>
      </w:r>
      <w:r w:rsidRPr="00A14230">
        <w:rPr>
          <w:color w:val="auto"/>
          <w:lang w:val="en-US"/>
        </w:rPr>
        <w:t>: Alpha diversity of seed microbiome displayed as Shannon H' (A, B) and species richness (C, D). Samples were merged according to field-site and harvest year and no significant difference was observable.</w:t>
      </w:r>
      <w:r>
        <w:rPr>
          <w:lang w:val="en-US"/>
        </w:rPr>
        <w:br/>
      </w:r>
    </w:p>
    <w:p w14:paraId="7ABF6911" w14:textId="77777777" w:rsidR="005967AE" w:rsidRDefault="005967AE" w:rsidP="005967AE">
      <w:pPr>
        <w:rPr>
          <w:color w:val="44546A" w:themeColor="text2"/>
          <w:sz w:val="18"/>
          <w:szCs w:val="18"/>
          <w:lang w:val="en-US"/>
        </w:rPr>
      </w:pPr>
      <w:r>
        <w:rPr>
          <w:lang w:val="en-US"/>
        </w:rPr>
        <w:br w:type="page"/>
      </w:r>
    </w:p>
    <w:p w14:paraId="452F953B" w14:textId="77777777" w:rsidR="005967AE" w:rsidRDefault="005967AE" w:rsidP="005967AE">
      <w:pPr>
        <w:keepNext/>
        <w:spacing w:line="360" w:lineRule="auto"/>
      </w:pPr>
      <w:r>
        <w:rPr>
          <w:noProof/>
          <w:lang w:eastAsia="de-AT"/>
        </w:rPr>
        <w:lastRenderedPageBreak/>
        <w:drawing>
          <wp:inline distT="0" distB="0" distL="0" distR="0" wp14:anchorId="7A387DD9" wp14:editId="6440E857">
            <wp:extent cx="5760720" cy="48006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4800600"/>
                    </a:xfrm>
                    <a:prstGeom prst="rect">
                      <a:avLst/>
                    </a:prstGeom>
                    <a:noFill/>
                    <a:ln>
                      <a:noFill/>
                    </a:ln>
                  </pic:spPr>
                </pic:pic>
              </a:graphicData>
            </a:graphic>
          </wp:inline>
        </w:drawing>
      </w:r>
    </w:p>
    <w:p w14:paraId="4D7CD44C" w14:textId="2318AF1F" w:rsidR="005967AE" w:rsidRPr="00A14230" w:rsidRDefault="005967AE" w:rsidP="005967AE">
      <w:pPr>
        <w:pStyle w:val="Caption"/>
        <w:rPr>
          <w:color w:val="auto"/>
          <w:lang w:val="en-US"/>
        </w:rPr>
      </w:pPr>
      <w:r w:rsidRPr="00A14230">
        <w:rPr>
          <w:color w:val="auto"/>
          <w:lang w:val="en-US"/>
        </w:rPr>
        <w:t>Figure S</w:t>
      </w:r>
      <w:r w:rsidRPr="00A14230">
        <w:rPr>
          <w:color w:val="auto"/>
        </w:rPr>
        <w:fldChar w:fldCharType="begin"/>
      </w:r>
      <w:r w:rsidRPr="00A14230">
        <w:rPr>
          <w:color w:val="auto"/>
          <w:lang w:val="en-US"/>
        </w:rPr>
        <w:instrText xml:space="preserve"> SEQ Figure_S \* ARABIC </w:instrText>
      </w:r>
      <w:r w:rsidRPr="00A14230">
        <w:rPr>
          <w:color w:val="auto"/>
        </w:rPr>
        <w:fldChar w:fldCharType="separate"/>
      </w:r>
      <w:r w:rsidR="003B39BF" w:rsidRPr="00A14230">
        <w:rPr>
          <w:noProof/>
          <w:color w:val="auto"/>
          <w:lang w:val="en-US"/>
        </w:rPr>
        <w:t>3</w:t>
      </w:r>
      <w:r w:rsidRPr="00A14230">
        <w:rPr>
          <w:color w:val="auto"/>
        </w:rPr>
        <w:fldChar w:fldCharType="end"/>
      </w:r>
      <w:r w:rsidRPr="00A14230">
        <w:rPr>
          <w:color w:val="auto"/>
          <w:lang w:val="en-US"/>
        </w:rPr>
        <w:t xml:space="preserve">: Alpha diversity of intermediate wheatgrass seed microbiome </w:t>
      </w:r>
      <w:proofErr w:type="spellStart"/>
      <w:r w:rsidRPr="00A14230">
        <w:rPr>
          <w:color w:val="auto"/>
          <w:lang w:val="en-US"/>
        </w:rPr>
        <w:t>seperated</w:t>
      </w:r>
      <w:proofErr w:type="spellEnd"/>
      <w:r w:rsidRPr="00A14230">
        <w:rPr>
          <w:color w:val="auto"/>
          <w:lang w:val="en-US"/>
        </w:rPr>
        <w:t xml:space="preserve"> per harvest year and field site and displayed as Shannon H' (A) and species richness (B).</w:t>
      </w:r>
    </w:p>
    <w:p w14:paraId="48E9359C" w14:textId="7CB85668" w:rsidR="005967AE" w:rsidRDefault="006351CF" w:rsidP="005967AE">
      <w:pPr>
        <w:keepNext/>
      </w:pPr>
      <w:r>
        <w:rPr>
          <w:noProof/>
        </w:rPr>
        <w:lastRenderedPageBreak/>
        <w:drawing>
          <wp:inline distT="0" distB="0" distL="0" distR="0" wp14:anchorId="276F0F2E" wp14:editId="09731525">
            <wp:extent cx="5760720" cy="4138295"/>
            <wp:effectExtent l="0" t="0" r="0" b="0"/>
            <wp:docPr id="1267871247" name="Grafik 3"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71247" name="Grafik 3" descr="Ein Bild, das Text, Screenshot, Diagramm, Reihe enthält.&#10;&#10;Automatisch generierte Beschreibu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4138295"/>
                    </a:xfrm>
                    <a:prstGeom prst="rect">
                      <a:avLst/>
                    </a:prstGeom>
                    <a:noFill/>
                    <a:ln>
                      <a:noFill/>
                    </a:ln>
                  </pic:spPr>
                </pic:pic>
              </a:graphicData>
            </a:graphic>
          </wp:inline>
        </w:drawing>
      </w:r>
    </w:p>
    <w:p w14:paraId="35BA7EE2" w14:textId="42F4ABB6" w:rsidR="005967AE" w:rsidRPr="00A14230" w:rsidRDefault="005967AE" w:rsidP="005967AE">
      <w:pPr>
        <w:pStyle w:val="Caption"/>
        <w:rPr>
          <w:color w:val="auto"/>
          <w:lang w:val="en-GB"/>
        </w:rPr>
      </w:pPr>
      <w:r w:rsidRPr="00A14230">
        <w:rPr>
          <w:color w:val="auto"/>
          <w:lang w:val="en-US"/>
        </w:rPr>
        <w:t>Figure S</w:t>
      </w:r>
      <w:r w:rsidRPr="00A14230">
        <w:rPr>
          <w:color w:val="auto"/>
        </w:rPr>
        <w:fldChar w:fldCharType="begin"/>
      </w:r>
      <w:r w:rsidRPr="00A14230">
        <w:rPr>
          <w:color w:val="auto"/>
          <w:lang w:val="en-US"/>
        </w:rPr>
        <w:instrText xml:space="preserve"> SEQ Figure_S \* ARABIC </w:instrText>
      </w:r>
      <w:r w:rsidRPr="00A14230">
        <w:rPr>
          <w:color w:val="auto"/>
        </w:rPr>
        <w:fldChar w:fldCharType="separate"/>
      </w:r>
      <w:r w:rsidR="003B39BF" w:rsidRPr="00A14230">
        <w:rPr>
          <w:noProof/>
          <w:color w:val="auto"/>
          <w:lang w:val="en-US"/>
        </w:rPr>
        <w:t>4</w:t>
      </w:r>
      <w:r w:rsidRPr="00A14230">
        <w:rPr>
          <w:color w:val="auto"/>
        </w:rPr>
        <w:fldChar w:fldCharType="end"/>
      </w:r>
      <w:r w:rsidRPr="00A14230">
        <w:rPr>
          <w:color w:val="auto"/>
          <w:lang w:val="en-US"/>
        </w:rPr>
        <w:t xml:space="preserve">: </w:t>
      </w:r>
      <w:r w:rsidRPr="00A14230">
        <w:rPr>
          <w:color w:val="auto"/>
          <w:lang w:val="en-GB"/>
        </w:rPr>
        <w:t xml:space="preserve">(B) Bacterial community composition from samples harvested in 2020 and 2021 visualized with a </w:t>
      </w:r>
      <w:proofErr w:type="spellStart"/>
      <w:r w:rsidRPr="00A14230">
        <w:rPr>
          <w:color w:val="auto"/>
          <w:lang w:val="en-GB"/>
        </w:rPr>
        <w:t>PCoA</w:t>
      </w:r>
      <w:proofErr w:type="spellEnd"/>
      <w:r w:rsidRPr="00A14230">
        <w:rPr>
          <w:color w:val="auto"/>
          <w:lang w:val="en-GB"/>
        </w:rPr>
        <w:t xml:space="preserve"> plot based on Bray-Curtis dissimilarity matrix.</w:t>
      </w:r>
    </w:p>
    <w:p w14:paraId="4EA27C71" w14:textId="77777777" w:rsidR="004961DF" w:rsidRDefault="004961DF" w:rsidP="004961DF">
      <w:pPr>
        <w:rPr>
          <w:lang w:val="en-GB"/>
        </w:rPr>
      </w:pPr>
    </w:p>
    <w:p w14:paraId="1A450EDA" w14:textId="77777777" w:rsidR="006351CF" w:rsidRDefault="006351CF" w:rsidP="004961DF">
      <w:pPr>
        <w:rPr>
          <w:lang w:val="en-GB"/>
        </w:rPr>
      </w:pPr>
    </w:p>
    <w:p w14:paraId="469EFF93" w14:textId="77777777" w:rsidR="006351CF" w:rsidRDefault="006351CF" w:rsidP="004961DF">
      <w:pPr>
        <w:rPr>
          <w:lang w:val="en-GB"/>
        </w:rPr>
      </w:pPr>
    </w:p>
    <w:p w14:paraId="4A8CDACF" w14:textId="1DC733F1" w:rsidR="00D250DA" w:rsidRDefault="006351CF" w:rsidP="00D250DA">
      <w:pPr>
        <w:keepNext/>
      </w:pPr>
      <w:r>
        <w:rPr>
          <w:noProof/>
        </w:rPr>
        <w:lastRenderedPageBreak/>
        <w:drawing>
          <wp:inline distT="0" distB="0" distL="0" distR="0" wp14:anchorId="2A628B75" wp14:editId="1EFEE9F6">
            <wp:extent cx="5760720" cy="3571240"/>
            <wp:effectExtent l="0" t="0" r="0" b="0"/>
            <wp:docPr id="52387776" name="Grafik 2" descr="Ein Bild, das Text, Diagramm, Screensho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87776" name="Grafik 2" descr="Ein Bild, das Text, Diagramm, Screenshot, Reihe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571240"/>
                    </a:xfrm>
                    <a:prstGeom prst="rect">
                      <a:avLst/>
                    </a:prstGeom>
                    <a:noFill/>
                    <a:ln>
                      <a:noFill/>
                    </a:ln>
                  </pic:spPr>
                </pic:pic>
              </a:graphicData>
            </a:graphic>
          </wp:inline>
        </w:drawing>
      </w:r>
    </w:p>
    <w:p w14:paraId="18B31649" w14:textId="77777777" w:rsidR="00D250DA" w:rsidRPr="00A14230" w:rsidRDefault="00D250DA" w:rsidP="00D250DA">
      <w:pPr>
        <w:pStyle w:val="Caption"/>
        <w:rPr>
          <w:color w:val="auto"/>
          <w:lang w:val="en-US"/>
        </w:rPr>
      </w:pPr>
      <w:r w:rsidRPr="00A14230">
        <w:rPr>
          <w:color w:val="auto"/>
          <w:lang w:val="en-US"/>
        </w:rPr>
        <w:t xml:space="preserve">Figure S5: Effect of the number of the parents used to generate </w:t>
      </w:r>
      <w:r w:rsidR="00BF5D27" w:rsidRPr="00A14230">
        <w:rPr>
          <w:color w:val="auto"/>
          <w:lang w:val="en-US"/>
        </w:rPr>
        <w:t>the</w:t>
      </w:r>
      <w:r w:rsidR="00450EB3" w:rsidRPr="00A14230">
        <w:rPr>
          <w:color w:val="auto"/>
          <w:lang w:val="en-US"/>
        </w:rPr>
        <w:t xml:space="preserve"> breeding</w:t>
      </w:r>
      <w:r w:rsidRPr="00A14230">
        <w:rPr>
          <w:color w:val="auto"/>
          <w:lang w:val="en-US"/>
        </w:rPr>
        <w:t xml:space="preserve"> cycle on </w:t>
      </w:r>
      <w:r w:rsidR="0033220C" w:rsidRPr="00A14230">
        <w:rPr>
          <w:color w:val="auto"/>
          <w:lang w:val="en-US"/>
        </w:rPr>
        <w:t xml:space="preserve">(A) </w:t>
      </w:r>
      <w:r w:rsidRPr="00A14230">
        <w:rPr>
          <w:color w:val="auto"/>
          <w:lang w:val="en-US"/>
        </w:rPr>
        <w:t xml:space="preserve">Observed richness and </w:t>
      </w:r>
      <w:r w:rsidR="0033220C" w:rsidRPr="00A14230">
        <w:rPr>
          <w:color w:val="auto"/>
          <w:lang w:val="en-US"/>
        </w:rPr>
        <w:t xml:space="preserve">(B) </w:t>
      </w:r>
      <w:r w:rsidRPr="00A14230">
        <w:rPr>
          <w:color w:val="auto"/>
          <w:lang w:val="en-US"/>
        </w:rPr>
        <w:t xml:space="preserve">Shannon diversity, explained by linear models. Two field sites </w:t>
      </w:r>
      <w:r w:rsidR="000671B9" w:rsidRPr="00A14230">
        <w:rPr>
          <w:color w:val="auto"/>
          <w:lang w:val="en-US"/>
        </w:rPr>
        <w:t xml:space="preserve">and different harvest years </w:t>
      </w:r>
      <w:r w:rsidRPr="00A14230">
        <w:rPr>
          <w:color w:val="auto"/>
          <w:lang w:val="en-US"/>
        </w:rPr>
        <w:t>were merged.</w:t>
      </w:r>
    </w:p>
    <w:p w14:paraId="296AB541" w14:textId="77777777" w:rsidR="00D250DA" w:rsidRPr="004961DF" w:rsidRDefault="00D250DA" w:rsidP="004961DF">
      <w:pPr>
        <w:rPr>
          <w:lang w:val="en-GB"/>
        </w:rPr>
      </w:pPr>
    </w:p>
    <w:p w14:paraId="7DB84412" w14:textId="77777777" w:rsidR="004961DF" w:rsidRPr="004C012B" w:rsidRDefault="004C012B" w:rsidP="004961DF">
      <w:pPr>
        <w:keepNext/>
        <w:rPr>
          <w:lang w:val="en-GB"/>
        </w:rPr>
      </w:pPr>
      <w:r>
        <w:rPr>
          <w:noProof/>
        </w:rPr>
        <w:drawing>
          <wp:inline distT="0" distB="0" distL="0" distR="0" wp14:anchorId="77A9E9D0" wp14:editId="4C7BCE4B">
            <wp:extent cx="5760720" cy="370282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702828"/>
                    </a:xfrm>
                    <a:prstGeom prst="rect">
                      <a:avLst/>
                    </a:prstGeom>
                    <a:noFill/>
                    <a:ln>
                      <a:noFill/>
                    </a:ln>
                  </pic:spPr>
                </pic:pic>
              </a:graphicData>
            </a:graphic>
          </wp:inline>
        </w:drawing>
      </w:r>
    </w:p>
    <w:p w14:paraId="21184EFE" w14:textId="77777777" w:rsidR="004961DF" w:rsidRPr="00A14230" w:rsidRDefault="004961DF" w:rsidP="004961DF">
      <w:pPr>
        <w:pStyle w:val="Caption"/>
        <w:rPr>
          <w:color w:val="auto"/>
          <w:lang w:val="en-GB"/>
        </w:rPr>
      </w:pPr>
      <w:r w:rsidRPr="00A14230">
        <w:rPr>
          <w:color w:val="auto"/>
          <w:lang w:val="en-US"/>
        </w:rPr>
        <w:t>Figure S</w:t>
      </w:r>
      <w:r w:rsidR="00D250DA" w:rsidRPr="00A14230">
        <w:rPr>
          <w:color w:val="auto"/>
          <w:lang w:val="en-US"/>
        </w:rPr>
        <w:t>6</w:t>
      </w:r>
      <w:r w:rsidRPr="00A14230">
        <w:rPr>
          <w:color w:val="auto"/>
          <w:lang w:val="en-US"/>
        </w:rPr>
        <w:t xml:space="preserve">: Bacterial abundance per gram seed and relative abundance of </w:t>
      </w:r>
      <w:proofErr w:type="spellStart"/>
      <w:r w:rsidRPr="00A14230">
        <w:rPr>
          <w:color w:val="auto"/>
          <w:lang w:val="en-US"/>
        </w:rPr>
        <w:t>nirK</w:t>
      </w:r>
      <w:proofErr w:type="spellEnd"/>
      <w:r w:rsidRPr="00A14230">
        <w:rPr>
          <w:color w:val="auto"/>
          <w:lang w:val="en-US"/>
        </w:rPr>
        <w:t xml:space="preserve"> and </w:t>
      </w:r>
      <w:proofErr w:type="spellStart"/>
      <w:r w:rsidRPr="00A14230">
        <w:rPr>
          <w:color w:val="auto"/>
          <w:lang w:val="en-US"/>
        </w:rPr>
        <w:t>nifH</w:t>
      </w:r>
      <w:proofErr w:type="spellEnd"/>
      <w:r w:rsidRPr="00A14230">
        <w:rPr>
          <w:color w:val="auto"/>
          <w:lang w:val="en-US"/>
        </w:rPr>
        <w:t xml:space="preserve"> were assessed with qPCR. Significant differences (P&lt; 0.05) were determined by Kruskal-Wallis pairwise test and are indicated by letters.</w:t>
      </w:r>
    </w:p>
    <w:p w14:paraId="3C9B21D8" w14:textId="77777777" w:rsidR="005967AE" w:rsidRDefault="00FE1496" w:rsidP="005967AE">
      <w:r>
        <w:rPr>
          <w:noProof/>
        </w:rPr>
        <w:lastRenderedPageBreak/>
        <w:drawing>
          <wp:inline distT="0" distB="0" distL="0" distR="0" wp14:anchorId="44A5E54B" wp14:editId="2B5A441E">
            <wp:extent cx="5760720" cy="4835154"/>
            <wp:effectExtent l="0" t="0" r="0" b="381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835154"/>
                    </a:xfrm>
                    <a:prstGeom prst="rect">
                      <a:avLst/>
                    </a:prstGeom>
                    <a:noFill/>
                    <a:ln>
                      <a:noFill/>
                    </a:ln>
                  </pic:spPr>
                </pic:pic>
              </a:graphicData>
            </a:graphic>
          </wp:inline>
        </w:drawing>
      </w:r>
    </w:p>
    <w:p w14:paraId="266E1E75" w14:textId="45CD1E9C" w:rsidR="005967AE" w:rsidRPr="00A14230" w:rsidRDefault="005967AE" w:rsidP="005967AE">
      <w:pPr>
        <w:pStyle w:val="Caption"/>
        <w:rPr>
          <w:color w:val="auto"/>
          <w:lang w:val="en-GB"/>
        </w:rPr>
      </w:pPr>
      <w:r w:rsidRPr="00A14230">
        <w:rPr>
          <w:color w:val="auto"/>
          <w:lang w:val="en-US"/>
        </w:rPr>
        <w:t>Figure S</w:t>
      </w:r>
      <w:r w:rsidR="00D250DA" w:rsidRPr="00A14230">
        <w:rPr>
          <w:color w:val="auto"/>
          <w:lang w:val="en-US"/>
        </w:rPr>
        <w:t>7</w:t>
      </w:r>
      <w:r w:rsidRPr="00A14230">
        <w:rPr>
          <w:color w:val="auto"/>
          <w:lang w:val="en-US"/>
        </w:rPr>
        <w:t>: Bacterial taxonomic composition of intermediate wheatgrass seed endophytes at class level. Samples were collected from four different breeding cycles (C3, C5, C7</w:t>
      </w:r>
      <w:r w:rsidR="00986EA5" w:rsidRPr="00A14230">
        <w:rPr>
          <w:color w:val="auto"/>
          <w:lang w:val="en-US"/>
        </w:rPr>
        <w:t>04</w:t>
      </w:r>
      <w:r w:rsidRPr="00A14230">
        <w:rPr>
          <w:color w:val="auto"/>
          <w:lang w:val="en-US"/>
        </w:rPr>
        <w:t>, C8</w:t>
      </w:r>
      <w:r w:rsidR="00986EA5" w:rsidRPr="00A14230">
        <w:rPr>
          <w:color w:val="auto"/>
          <w:lang w:val="en-US"/>
        </w:rPr>
        <w:t>01</w:t>
      </w:r>
      <w:r w:rsidRPr="00A14230">
        <w:rPr>
          <w:color w:val="auto"/>
          <w:lang w:val="en-US"/>
        </w:rPr>
        <w:t xml:space="preserve">) and two field sites. Ten replicates were averaged and the group “&lt;1%” was created from ASVs with a relative </w:t>
      </w:r>
      <w:proofErr w:type="spellStart"/>
      <w:r w:rsidRPr="00A14230">
        <w:rPr>
          <w:color w:val="auto"/>
          <w:lang w:val="en-US"/>
        </w:rPr>
        <w:t>abunda</w:t>
      </w:r>
      <w:r w:rsidRPr="00A14230">
        <w:rPr>
          <w:color w:val="auto"/>
          <w:lang w:val="en-GB"/>
        </w:rPr>
        <w:t>nce</w:t>
      </w:r>
      <w:proofErr w:type="spellEnd"/>
      <w:r w:rsidRPr="00A14230">
        <w:rPr>
          <w:color w:val="auto"/>
          <w:lang w:val="en-GB"/>
        </w:rPr>
        <w:t xml:space="preserve"> lower than 1%. </w:t>
      </w:r>
    </w:p>
    <w:p w14:paraId="691C3364" w14:textId="79EC72AB" w:rsidR="005F0279" w:rsidRDefault="005F0279" w:rsidP="005F0279">
      <w:pPr>
        <w:rPr>
          <w:lang w:val="en-GB"/>
        </w:rPr>
      </w:pPr>
    </w:p>
    <w:p w14:paraId="6BB7B4AF" w14:textId="5509DB7A" w:rsidR="005F0279" w:rsidRDefault="005F0279" w:rsidP="00B617DE">
      <w:pPr>
        <w:pStyle w:val="NormalWeb"/>
      </w:pPr>
      <w:r>
        <w:rPr>
          <w:noProof/>
        </w:rPr>
        <w:drawing>
          <wp:inline distT="0" distB="0" distL="0" distR="0" wp14:anchorId="2E439574" wp14:editId="49692C93">
            <wp:extent cx="5760720" cy="2057363"/>
            <wp:effectExtent l="0" t="0" r="0" b="63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2057363"/>
                    </a:xfrm>
                    <a:prstGeom prst="rect">
                      <a:avLst/>
                    </a:prstGeom>
                    <a:noFill/>
                    <a:ln>
                      <a:noFill/>
                    </a:ln>
                  </pic:spPr>
                </pic:pic>
              </a:graphicData>
            </a:graphic>
          </wp:inline>
        </w:drawing>
      </w:r>
    </w:p>
    <w:p w14:paraId="7EF8072C" w14:textId="7DEDABDC" w:rsidR="005F0279" w:rsidRPr="00A14230" w:rsidRDefault="005F0279" w:rsidP="005F0279">
      <w:pPr>
        <w:pStyle w:val="Caption"/>
        <w:rPr>
          <w:color w:val="auto"/>
          <w:lang w:val="en-US"/>
        </w:rPr>
      </w:pPr>
      <w:r w:rsidRPr="00A14230">
        <w:rPr>
          <w:color w:val="auto"/>
          <w:lang w:val="en-US"/>
        </w:rPr>
        <w:t xml:space="preserve">Figure S8: </w:t>
      </w:r>
      <w:proofErr w:type="spellStart"/>
      <w:r w:rsidRPr="00A14230">
        <w:rPr>
          <w:color w:val="auto"/>
          <w:lang w:val="en-US"/>
        </w:rPr>
        <w:t>B</w:t>
      </w:r>
      <w:r w:rsidR="00B1051E" w:rsidRPr="00A14230">
        <w:rPr>
          <w:color w:val="auto"/>
          <w:lang w:val="en-US"/>
        </w:rPr>
        <w:t>ar</w:t>
      </w:r>
      <w:r w:rsidRPr="00A14230">
        <w:rPr>
          <w:color w:val="auto"/>
          <w:lang w:val="en-US"/>
        </w:rPr>
        <w:t>plots</w:t>
      </w:r>
      <w:proofErr w:type="spellEnd"/>
      <w:r w:rsidRPr="00A14230">
        <w:rPr>
          <w:color w:val="auto"/>
          <w:lang w:val="en-US"/>
        </w:rPr>
        <w:t xml:space="preserve"> </w:t>
      </w:r>
      <w:r w:rsidR="00B1051E" w:rsidRPr="00A14230">
        <w:rPr>
          <w:color w:val="auto"/>
          <w:lang w:val="en-US"/>
        </w:rPr>
        <w:t>with</w:t>
      </w:r>
      <w:r w:rsidRPr="00A14230">
        <w:rPr>
          <w:color w:val="auto"/>
          <w:lang w:val="en-US"/>
        </w:rPr>
        <w:t xml:space="preserve"> the number of reads per sample. (A) </w:t>
      </w:r>
      <w:r w:rsidR="00C74C51" w:rsidRPr="00A14230">
        <w:rPr>
          <w:color w:val="auto"/>
          <w:lang w:val="en-US"/>
        </w:rPr>
        <w:t>Reads</w:t>
      </w:r>
      <w:r w:rsidRPr="00A14230">
        <w:rPr>
          <w:color w:val="auto"/>
          <w:lang w:val="en-US"/>
        </w:rPr>
        <w:t xml:space="preserve"> which were discarded </w:t>
      </w:r>
      <w:r w:rsidR="00C74C51" w:rsidRPr="00A14230">
        <w:rPr>
          <w:color w:val="auto"/>
          <w:lang w:val="en-US"/>
        </w:rPr>
        <w:t xml:space="preserve">are shown in purple </w:t>
      </w:r>
      <w:r w:rsidRPr="00A14230">
        <w:rPr>
          <w:color w:val="auto"/>
          <w:lang w:val="en-US"/>
        </w:rPr>
        <w:t xml:space="preserve">and </w:t>
      </w:r>
      <w:r w:rsidR="00C74C51" w:rsidRPr="00A14230">
        <w:rPr>
          <w:color w:val="auto"/>
          <w:lang w:val="en-US"/>
        </w:rPr>
        <w:t>reads that are</w:t>
      </w:r>
      <w:r w:rsidRPr="00A14230">
        <w:rPr>
          <w:color w:val="auto"/>
          <w:lang w:val="en-US"/>
        </w:rPr>
        <w:t xml:space="preserve"> retained</w:t>
      </w:r>
      <w:r w:rsidR="00C74C51" w:rsidRPr="00A14230">
        <w:rPr>
          <w:color w:val="auto"/>
          <w:lang w:val="en-US"/>
        </w:rPr>
        <w:t xml:space="preserve"> for subsequent analysis are depicted in blue</w:t>
      </w:r>
      <w:r w:rsidRPr="00A14230">
        <w:rPr>
          <w:color w:val="auto"/>
          <w:lang w:val="en-US"/>
        </w:rPr>
        <w:t xml:space="preserve">. (B) Close-up </w:t>
      </w:r>
      <w:r w:rsidR="009D01C3" w:rsidRPr="00A14230">
        <w:rPr>
          <w:color w:val="auto"/>
          <w:lang w:val="en-US"/>
        </w:rPr>
        <w:t xml:space="preserve">on the number of </w:t>
      </w:r>
      <w:r w:rsidR="00510749" w:rsidRPr="00A14230">
        <w:rPr>
          <w:color w:val="auto"/>
          <w:lang w:val="en-US"/>
        </w:rPr>
        <w:t>reads</w:t>
      </w:r>
      <w:r w:rsidRPr="00A14230">
        <w:rPr>
          <w:color w:val="auto"/>
          <w:lang w:val="en-US"/>
        </w:rPr>
        <w:t xml:space="preserve"> retained for subsequent analysis on a log-scale.</w:t>
      </w:r>
    </w:p>
    <w:p w14:paraId="163A6949" w14:textId="77777777" w:rsidR="002C398E" w:rsidRDefault="002C398E" w:rsidP="005967AE">
      <w:pPr>
        <w:rPr>
          <w:lang w:val="en-US"/>
        </w:rPr>
      </w:pPr>
    </w:p>
    <w:p w14:paraId="11BB6415" w14:textId="37468623" w:rsidR="00B617DE" w:rsidRPr="00792BE7" w:rsidRDefault="00B617DE" w:rsidP="00B617DE">
      <w:pPr>
        <w:keepNext/>
      </w:pPr>
      <w:r w:rsidRPr="001E2D5C">
        <w:rPr>
          <w:lang w:val="en-US"/>
        </w:rPr>
        <w:lastRenderedPageBreak/>
        <w:t xml:space="preserve"> </w:t>
      </w:r>
      <w:r w:rsidR="00126225">
        <w:rPr>
          <w:noProof/>
        </w:rPr>
        <w:drawing>
          <wp:inline distT="0" distB="0" distL="0" distR="0" wp14:anchorId="2ADF2A33" wp14:editId="7FE9614B">
            <wp:extent cx="5486400" cy="6010275"/>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6010275"/>
                    </a:xfrm>
                    <a:prstGeom prst="rect">
                      <a:avLst/>
                    </a:prstGeom>
                    <a:noFill/>
                    <a:ln>
                      <a:noFill/>
                    </a:ln>
                  </pic:spPr>
                </pic:pic>
              </a:graphicData>
            </a:graphic>
          </wp:inline>
        </w:drawing>
      </w:r>
    </w:p>
    <w:p w14:paraId="7063D7C1" w14:textId="7ED45C10" w:rsidR="00B617DE" w:rsidRPr="00A14230" w:rsidRDefault="00B617DE" w:rsidP="001E2D5C">
      <w:pPr>
        <w:pStyle w:val="Caption"/>
        <w:rPr>
          <w:color w:val="auto"/>
          <w:lang w:val="en-US"/>
        </w:rPr>
      </w:pPr>
      <w:r w:rsidRPr="00A14230">
        <w:rPr>
          <w:color w:val="auto"/>
          <w:lang w:val="en-US"/>
        </w:rPr>
        <w:t xml:space="preserve">Figure S9: </w:t>
      </w:r>
      <w:proofErr w:type="spellStart"/>
      <w:r w:rsidRPr="00A14230">
        <w:rPr>
          <w:color w:val="auto"/>
          <w:lang w:val="en-US"/>
        </w:rPr>
        <w:t>LEfSe</w:t>
      </w:r>
      <w:proofErr w:type="spellEnd"/>
      <w:r w:rsidRPr="00A14230">
        <w:rPr>
          <w:color w:val="auto"/>
          <w:lang w:val="en-US"/>
        </w:rPr>
        <w:t xml:space="preserve"> analysis indicating differential abundant bacterial taxa between four breeding cycles originating from TLI at </w:t>
      </w:r>
      <w:r w:rsidR="008929D5" w:rsidRPr="00A14230">
        <w:rPr>
          <w:color w:val="auto"/>
          <w:lang w:val="en-US"/>
        </w:rPr>
        <w:t xml:space="preserve">(A) </w:t>
      </w:r>
      <w:r w:rsidR="00126225" w:rsidRPr="00A14230">
        <w:rPr>
          <w:color w:val="auto"/>
          <w:lang w:val="en-US"/>
        </w:rPr>
        <w:t>class</w:t>
      </w:r>
      <w:r w:rsidR="008929D5" w:rsidRPr="00A14230">
        <w:rPr>
          <w:color w:val="auto"/>
          <w:lang w:val="en-US"/>
        </w:rPr>
        <w:t>,</w:t>
      </w:r>
      <w:r w:rsidR="00126225" w:rsidRPr="00A14230">
        <w:rPr>
          <w:color w:val="auto"/>
          <w:lang w:val="en-US"/>
        </w:rPr>
        <w:t xml:space="preserve"> and</w:t>
      </w:r>
      <w:r w:rsidR="008929D5" w:rsidRPr="00A14230">
        <w:rPr>
          <w:color w:val="auto"/>
          <w:lang w:val="en-US"/>
        </w:rPr>
        <w:t xml:space="preserve"> (B) </w:t>
      </w:r>
      <w:r w:rsidR="00126225" w:rsidRPr="00A14230">
        <w:rPr>
          <w:color w:val="auto"/>
          <w:lang w:val="en-US"/>
        </w:rPr>
        <w:t xml:space="preserve">genus </w:t>
      </w:r>
      <w:proofErr w:type="gramStart"/>
      <w:r w:rsidR="008929D5" w:rsidRPr="00A14230">
        <w:rPr>
          <w:color w:val="auto"/>
          <w:lang w:val="en-US"/>
        </w:rPr>
        <w:t xml:space="preserve">level </w:t>
      </w:r>
      <w:r w:rsidRPr="00A14230">
        <w:rPr>
          <w:color w:val="auto"/>
          <w:lang w:val="en-US"/>
        </w:rPr>
        <w:t>.</w:t>
      </w:r>
      <w:proofErr w:type="gramEnd"/>
      <w:r w:rsidRPr="00A14230">
        <w:rPr>
          <w:color w:val="auto"/>
          <w:lang w:val="en-US"/>
        </w:rPr>
        <w:t xml:space="preserve"> Only </w:t>
      </w:r>
      <w:r w:rsidR="008929D5" w:rsidRPr="00A14230">
        <w:rPr>
          <w:color w:val="auto"/>
          <w:lang w:val="en-US"/>
        </w:rPr>
        <w:t xml:space="preserve">bacterial </w:t>
      </w:r>
      <w:r w:rsidR="00734AA1" w:rsidRPr="00A14230">
        <w:rPr>
          <w:color w:val="auto"/>
          <w:lang w:val="en-US"/>
        </w:rPr>
        <w:t>taxa</w:t>
      </w:r>
      <w:r w:rsidRPr="00A14230">
        <w:rPr>
          <w:color w:val="auto"/>
          <w:lang w:val="en-US"/>
        </w:rPr>
        <w:t xml:space="preserve"> with a LDA score &gt;2 and a P &lt; 0.05 are </w:t>
      </w:r>
      <w:r w:rsidR="00734AA1" w:rsidRPr="00A14230">
        <w:rPr>
          <w:color w:val="auto"/>
          <w:lang w:val="en-US"/>
        </w:rPr>
        <w:t>shown</w:t>
      </w:r>
      <w:r w:rsidRPr="00A14230">
        <w:rPr>
          <w:color w:val="auto"/>
          <w:lang w:val="en-US"/>
        </w:rPr>
        <w:t xml:space="preserve"> in the figure. </w:t>
      </w:r>
    </w:p>
    <w:p w14:paraId="0208D238" w14:textId="77777777" w:rsidR="00B1051E" w:rsidRDefault="00FE1496" w:rsidP="005967AE">
      <w:pPr>
        <w:rPr>
          <w:b/>
          <w:bCs/>
          <w:lang w:val="en-GB"/>
        </w:rPr>
      </w:pPr>
      <w:r>
        <w:rPr>
          <w:lang w:val="en-GB"/>
        </w:rPr>
        <w:br/>
      </w:r>
    </w:p>
    <w:p w14:paraId="041C7134" w14:textId="77777777" w:rsidR="00B1051E" w:rsidRDefault="00B1051E" w:rsidP="005967AE">
      <w:pPr>
        <w:rPr>
          <w:b/>
          <w:bCs/>
          <w:lang w:val="en-GB"/>
        </w:rPr>
      </w:pPr>
    </w:p>
    <w:p w14:paraId="1D504F63" w14:textId="77777777" w:rsidR="00B1051E" w:rsidRDefault="00B1051E" w:rsidP="005967AE">
      <w:pPr>
        <w:rPr>
          <w:b/>
          <w:bCs/>
          <w:lang w:val="en-GB"/>
        </w:rPr>
      </w:pPr>
    </w:p>
    <w:p w14:paraId="5017E107" w14:textId="77777777" w:rsidR="003B39BF" w:rsidRDefault="003B39BF" w:rsidP="003B39BF">
      <w:pPr>
        <w:keepNext/>
      </w:pPr>
      <w:r>
        <w:rPr>
          <w:noProof/>
        </w:rPr>
        <w:lastRenderedPageBreak/>
        <w:drawing>
          <wp:inline distT="0" distB="0" distL="0" distR="0" wp14:anchorId="6CE07572" wp14:editId="257E67BB">
            <wp:extent cx="5760720" cy="463359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633595"/>
                    </a:xfrm>
                    <a:prstGeom prst="rect">
                      <a:avLst/>
                    </a:prstGeom>
                    <a:noFill/>
                    <a:ln>
                      <a:noFill/>
                    </a:ln>
                  </pic:spPr>
                </pic:pic>
              </a:graphicData>
            </a:graphic>
          </wp:inline>
        </w:drawing>
      </w:r>
    </w:p>
    <w:p w14:paraId="73CB1B4A" w14:textId="0D87B5FB" w:rsidR="00B1051E" w:rsidRPr="00A14230" w:rsidRDefault="003B39BF" w:rsidP="003B39BF">
      <w:pPr>
        <w:pStyle w:val="Caption"/>
        <w:rPr>
          <w:b/>
          <w:bCs/>
          <w:color w:val="auto"/>
          <w:lang w:val="en-GB"/>
        </w:rPr>
      </w:pPr>
      <w:r w:rsidRPr="00A14230">
        <w:rPr>
          <w:color w:val="auto"/>
          <w:lang w:val="en-US"/>
        </w:rPr>
        <w:t xml:space="preserve">Figure S10: Bacterial abundance per gram seed and in addition </w:t>
      </w:r>
      <w:proofErr w:type="spellStart"/>
      <w:r w:rsidRPr="00A14230">
        <w:rPr>
          <w:color w:val="auto"/>
          <w:lang w:val="en-US"/>
        </w:rPr>
        <w:t>normlised</w:t>
      </w:r>
      <w:proofErr w:type="spellEnd"/>
      <w:r w:rsidRPr="00A14230">
        <w:rPr>
          <w:color w:val="auto"/>
          <w:lang w:val="en-US"/>
        </w:rPr>
        <w:t xml:space="preserve"> to the percentage of host DNA inferred from 16S rRNA gene amplicon sequencing. Significant differences (P&lt; 0.05) were determined by Kruskal-Wallis pairwise test and are indicated by letters.</w:t>
      </w:r>
    </w:p>
    <w:p w14:paraId="40A34A7E" w14:textId="77777777" w:rsidR="00B1051E" w:rsidRDefault="00B1051E" w:rsidP="005967AE">
      <w:pPr>
        <w:rPr>
          <w:b/>
          <w:bCs/>
          <w:lang w:val="en-GB"/>
        </w:rPr>
      </w:pPr>
    </w:p>
    <w:p w14:paraId="5B5FC730" w14:textId="77777777" w:rsidR="00B1051E" w:rsidRDefault="00B1051E" w:rsidP="005967AE">
      <w:pPr>
        <w:rPr>
          <w:b/>
          <w:bCs/>
          <w:lang w:val="en-GB"/>
        </w:rPr>
      </w:pPr>
    </w:p>
    <w:p w14:paraId="59EF9644" w14:textId="77777777" w:rsidR="00B1051E" w:rsidRDefault="00B1051E" w:rsidP="005967AE">
      <w:pPr>
        <w:rPr>
          <w:b/>
          <w:bCs/>
          <w:lang w:val="en-GB"/>
        </w:rPr>
      </w:pPr>
    </w:p>
    <w:p w14:paraId="4748DB8A" w14:textId="77777777" w:rsidR="00B1051E" w:rsidRDefault="00B1051E" w:rsidP="005967AE">
      <w:pPr>
        <w:rPr>
          <w:b/>
          <w:bCs/>
          <w:lang w:val="en-GB"/>
        </w:rPr>
      </w:pPr>
    </w:p>
    <w:p w14:paraId="699330D0" w14:textId="7F1FFB06" w:rsidR="00FE1496" w:rsidRPr="00792BE7" w:rsidRDefault="00E21E0E" w:rsidP="005967AE">
      <w:pPr>
        <w:rPr>
          <w:b/>
          <w:bCs/>
          <w:lang w:val="en-GB"/>
        </w:rPr>
      </w:pPr>
      <w:r w:rsidRPr="00792BE7">
        <w:rPr>
          <w:b/>
          <w:bCs/>
          <w:lang w:val="en-GB"/>
        </w:rPr>
        <w:t>Supplementary References</w:t>
      </w:r>
    </w:p>
    <w:p w14:paraId="2F7D01DB" w14:textId="48F7D170" w:rsidR="00E21E0E" w:rsidRDefault="00E21E0E" w:rsidP="00E21E0E">
      <w:pPr>
        <w:pStyle w:val="CitaviBibliographyEntry"/>
        <w:rPr>
          <w:lang w:val="en-GB"/>
        </w:rPr>
      </w:pPr>
      <w:bookmarkStart w:id="0" w:name="_CTVL001b5d2e9eda9a04da0a451a2853c24c766"/>
      <w:r>
        <w:rPr>
          <w:lang w:val="en-GB"/>
        </w:rPr>
        <w:t xml:space="preserve">1. </w:t>
      </w:r>
      <w:r>
        <w:rPr>
          <w:lang w:val="en-GB"/>
        </w:rPr>
        <w:tab/>
      </w:r>
      <w:proofErr w:type="spellStart"/>
      <w:r>
        <w:rPr>
          <w:lang w:val="en-GB"/>
        </w:rPr>
        <w:t>Kolia-Diafouka</w:t>
      </w:r>
      <w:proofErr w:type="spellEnd"/>
      <w:r>
        <w:rPr>
          <w:lang w:val="en-GB"/>
        </w:rPr>
        <w:t xml:space="preserve"> P, </w:t>
      </w:r>
      <w:proofErr w:type="spellStart"/>
      <w:r>
        <w:rPr>
          <w:lang w:val="en-GB"/>
        </w:rPr>
        <w:t>Godreuil</w:t>
      </w:r>
      <w:proofErr w:type="spellEnd"/>
      <w:r>
        <w:rPr>
          <w:lang w:val="en-GB"/>
        </w:rPr>
        <w:t xml:space="preserve"> S, Bourdin A, Carrère-Kremer S, Kremer L, van de </w:t>
      </w:r>
      <w:proofErr w:type="spellStart"/>
      <w:r>
        <w:rPr>
          <w:lang w:val="en-GB"/>
        </w:rPr>
        <w:t>Perre</w:t>
      </w:r>
      <w:proofErr w:type="spellEnd"/>
      <w:r>
        <w:rPr>
          <w:lang w:val="en-GB"/>
        </w:rPr>
        <w:t xml:space="preserve"> P, </w:t>
      </w:r>
      <w:proofErr w:type="spellStart"/>
      <w:r>
        <w:rPr>
          <w:lang w:val="en-GB"/>
        </w:rPr>
        <w:t>Tuaillon</w:t>
      </w:r>
      <w:proofErr w:type="spellEnd"/>
      <w:r>
        <w:rPr>
          <w:lang w:val="en-GB"/>
        </w:rPr>
        <w:t xml:space="preserve"> E. Optimized lysis-extraction method combined with IS6110-amplification for detection of Mycobacterium tuberculosis in paucibacillary sputum specimens. Frontiers in Microbiology. </w:t>
      </w:r>
      <w:proofErr w:type="gramStart"/>
      <w:r>
        <w:rPr>
          <w:lang w:val="en-GB"/>
        </w:rPr>
        <w:t>2018;9:2224</w:t>
      </w:r>
      <w:proofErr w:type="gramEnd"/>
      <w:r>
        <w:rPr>
          <w:lang w:val="en-GB"/>
        </w:rPr>
        <w:t>.</w:t>
      </w:r>
    </w:p>
    <w:bookmarkEnd w:id="0"/>
    <w:p w14:paraId="69BCF73D" w14:textId="1062A0B8" w:rsidR="00E21E0E" w:rsidRDefault="00E21E0E" w:rsidP="00E21E0E">
      <w:pPr>
        <w:pStyle w:val="CitaviBibliographyEntry"/>
        <w:rPr>
          <w:lang w:val="en-GB"/>
        </w:rPr>
      </w:pPr>
      <w:r>
        <w:rPr>
          <w:lang w:val="en-GB"/>
        </w:rPr>
        <w:t>2.</w:t>
      </w:r>
      <w:r>
        <w:rPr>
          <w:lang w:val="en-GB"/>
        </w:rPr>
        <w:tab/>
      </w:r>
      <w:bookmarkStart w:id="1" w:name="_CTVL0015e5c9397dd554e51afc9be05588c2429"/>
      <w:r>
        <w:rPr>
          <w:lang w:val="en-GB"/>
        </w:rPr>
        <w:t xml:space="preserve">Ortega RA, </w:t>
      </w:r>
      <w:proofErr w:type="spellStart"/>
      <w:r>
        <w:rPr>
          <w:lang w:val="en-GB"/>
        </w:rPr>
        <w:t>Mahnert</w:t>
      </w:r>
      <w:proofErr w:type="spellEnd"/>
      <w:r>
        <w:rPr>
          <w:lang w:val="en-GB"/>
        </w:rPr>
        <w:t xml:space="preserve"> A, Berg C, Müller H, Berg G. The plant is crucial: specific composition and function of the phyllosphere microbiome of indoor ornamentals. FEMS Microbiology Ecology. 2016;</w:t>
      </w:r>
      <w:proofErr w:type="gramStart"/>
      <w:r>
        <w:rPr>
          <w:lang w:val="en-GB"/>
        </w:rPr>
        <w:t>92:fiw</w:t>
      </w:r>
      <w:proofErr w:type="gramEnd"/>
      <w:r>
        <w:rPr>
          <w:lang w:val="en-GB"/>
        </w:rPr>
        <w:t>173.</w:t>
      </w:r>
    </w:p>
    <w:bookmarkEnd w:id="1"/>
    <w:p w14:paraId="1165C058" w14:textId="32BC68F1" w:rsidR="00E21E0E" w:rsidRDefault="00E21E0E" w:rsidP="00E21E0E">
      <w:pPr>
        <w:pStyle w:val="CitaviBibliographyEntry"/>
        <w:rPr>
          <w:lang w:val="en-GB"/>
        </w:rPr>
      </w:pPr>
      <w:r>
        <w:rPr>
          <w:lang w:val="en-GB"/>
        </w:rPr>
        <w:t>3.</w:t>
      </w:r>
      <w:r>
        <w:rPr>
          <w:lang w:val="en-GB"/>
        </w:rPr>
        <w:tab/>
      </w:r>
      <w:bookmarkStart w:id="2" w:name="_CTVL00156f4f739e3f5460ca58c7b7e5eff02ff"/>
      <w:r>
        <w:rPr>
          <w:lang w:val="en-GB"/>
        </w:rPr>
        <w:t xml:space="preserve">Hall TA. </w:t>
      </w:r>
      <w:proofErr w:type="spellStart"/>
      <w:r>
        <w:rPr>
          <w:lang w:val="en-GB"/>
        </w:rPr>
        <w:t>BioEdit</w:t>
      </w:r>
      <w:proofErr w:type="spellEnd"/>
      <w:r>
        <w:rPr>
          <w:lang w:val="en-GB"/>
        </w:rPr>
        <w:t>: a user-friendly biological sequence alignment editor and analysis program for Windows 95/98/NT. In</w:t>
      </w:r>
      <w:proofErr w:type="gramStart"/>
      <w:r>
        <w:rPr>
          <w:lang w:val="en-GB"/>
        </w:rPr>
        <w:t>: :</w:t>
      </w:r>
      <w:proofErr w:type="gramEnd"/>
      <w:r>
        <w:rPr>
          <w:lang w:val="en-GB"/>
        </w:rPr>
        <w:t xml:space="preserve"> Oxford. p. 95–98.</w:t>
      </w:r>
    </w:p>
    <w:bookmarkEnd w:id="2"/>
    <w:p w14:paraId="0790BA00" w14:textId="24D0424D" w:rsidR="00E21E0E" w:rsidRDefault="00E21E0E" w:rsidP="00E21E0E">
      <w:pPr>
        <w:pStyle w:val="CitaviBibliographyEntry"/>
        <w:rPr>
          <w:lang w:val="en-GB"/>
        </w:rPr>
      </w:pPr>
      <w:r>
        <w:rPr>
          <w:lang w:val="en-GB"/>
        </w:rPr>
        <w:t>4.</w:t>
      </w:r>
      <w:r>
        <w:rPr>
          <w:lang w:val="en-GB"/>
        </w:rPr>
        <w:tab/>
      </w:r>
      <w:bookmarkStart w:id="3" w:name="_CTVL0018dbaa9ba570747b59e02fb92619ca32b"/>
      <w:r>
        <w:rPr>
          <w:lang w:val="en-GB"/>
        </w:rPr>
        <w:t xml:space="preserve">Camacho C, </w:t>
      </w:r>
      <w:proofErr w:type="spellStart"/>
      <w:r>
        <w:rPr>
          <w:lang w:val="en-GB"/>
        </w:rPr>
        <w:t>Coulouris</w:t>
      </w:r>
      <w:proofErr w:type="spellEnd"/>
      <w:r>
        <w:rPr>
          <w:lang w:val="en-GB"/>
        </w:rPr>
        <w:t xml:space="preserve"> G, Avagyan V, Ma N, Papadopoulos J, </w:t>
      </w:r>
      <w:proofErr w:type="spellStart"/>
      <w:r>
        <w:rPr>
          <w:lang w:val="en-GB"/>
        </w:rPr>
        <w:t>Bealer</w:t>
      </w:r>
      <w:proofErr w:type="spellEnd"/>
      <w:r>
        <w:rPr>
          <w:lang w:val="en-GB"/>
        </w:rPr>
        <w:t xml:space="preserve"> K, Madden TL. BLAST+: architecture and applications. BMC bioinformatics. </w:t>
      </w:r>
      <w:proofErr w:type="gramStart"/>
      <w:r>
        <w:rPr>
          <w:lang w:val="en-GB"/>
        </w:rPr>
        <w:t>2009;10:1</w:t>
      </w:r>
      <w:proofErr w:type="gramEnd"/>
      <w:r>
        <w:rPr>
          <w:lang w:val="en-GB"/>
        </w:rPr>
        <w:t>–9.</w:t>
      </w:r>
    </w:p>
    <w:bookmarkEnd w:id="3"/>
    <w:p w14:paraId="563C5728" w14:textId="6FE134EE" w:rsidR="00E21E0E" w:rsidRDefault="00E21E0E" w:rsidP="00E21E0E">
      <w:pPr>
        <w:pStyle w:val="CitaviBibliographyEntry"/>
        <w:rPr>
          <w:lang w:val="en-GB"/>
        </w:rPr>
      </w:pPr>
      <w:r>
        <w:rPr>
          <w:lang w:val="en-GB"/>
        </w:rPr>
        <w:lastRenderedPageBreak/>
        <w:t>5.</w:t>
      </w:r>
      <w:r>
        <w:rPr>
          <w:lang w:val="en-GB"/>
        </w:rPr>
        <w:tab/>
      </w:r>
      <w:bookmarkStart w:id="4" w:name="_CTVL001b5f6e0b6786e4d019e5740ab89391414"/>
      <w:proofErr w:type="spellStart"/>
      <w:r>
        <w:rPr>
          <w:lang w:val="en-GB"/>
        </w:rPr>
        <w:t>Flemer</w:t>
      </w:r>
      <w:proofErr w:type="spellEnd"/>
      <w:r>
        <w:rPr>
          <w:lang w:val="en-GB"/>
        </w:rPr>
        <w:t xml:space="preserve"> B, Gulati S, </w:t>
      </w:r>
      <w:proofErr w:type="spellStart"/>
      <w:r>
        <w:rPr>
          <w:lang w:val="en-GB"/>
        </w:rPr>
        <w:t>Bergna</w:t>
      </w:r>
      <w:proofErr w:type="spellEnd"/>
      <w:r>
        <w:rPr>
          <w:lang w:val="en-GB"/>
        </w:rPr>
        <w:t xml:space="preserve"> A, </w:t>
      </w:r>
      <w:proofErr w:type="spellStart"/>
      <w:r>
        <w:rPr>
          <w:lang w:val="en-GB"/>
        </w:rPr>
        <w:t>Rändler</w:t>
      </w:r>
      <w:proofErr w:type="spellEnd"/>
      <w:r>
        <w:rPr>
          <w:lang w:val="en-GB"/>
        </w:rPr>
        <w:t xml:space="preserve"> M, Cernava T, </w:t>
      </w:r>
      <w:proofErr w:type="spellStart"/>
      <w:r>
        <w:rPr>
          <w:lang w:val="en-GB"/>
        </w:rPr>
        <w:t>Witzel</w:t>
      </w:r>
      <w:proofErr w:type="spellEnd"/>
      <w:r>
        <w:rPr>
          <w:lang w:val="en-GB"/>
        </w:rPr>
        <w:t xml:space="preserve"> K, et al. Biotic and abiotic stress factors induce microbiome shifts and enrichment of distinct beneficial bacteria in tomato roots. </w:t>
      </w:r>
      <w:proofErr w:type="spellStart"/>
      <w:r>
        <w:rPr>
          <w:lang w:val="en-GB"/>
        </w:rPr>
        <w:t>Phytobiomes</w:t>
      </w:r>
      <w:proofErr w:type="spellEnd"/>
      <w:r>
        <w:rPr>
          <w:lang w:val="en-GB"/>
        </w:rPr>
        <w:t xml:space="preserve"> Journal. </w:t>
      </w:r>
      <w:proofErr w:type="gramStart"/>
      <w:r>
        <w:rPr>
          <w:lang w:val="en-GB"/>
        </w:rPr>
        <w:t>2022;6:276</w:t>
      </w:r>
      <w:proofErr w:type="gramEnd"/>
      <w:r>
        <w:rPr>
          <w:lang w:val="en-GB"/>
        </w:rPr>
        <w:t>–89.</w:t>
      </w:r>
    </w:p>
    <w:bookmarkEnd w:id="4"/>
    <w:p w14:paraId="63E88C78" w14:textId="505735CD" w:rsidR="00E21E0E" w:rsidRDefault="00E21E0E" w:rsidP="00E21E0E">
      <w:pPr>
        <w:pStyle w:val="CitaviBibliographyEntry"/>
        <w:rPr>
          <w:lang w:val="en-GB"/>
        </w:rPr>
      </w:pPr>
      <w:r>
        <w:rPr>
          <w:lang w:val="en-GB"/>
        </w:rPr>
        <w:t>6.</w:t>
      </w:r>
      <w:r>
        <w:rPr>
          <w:lang w:val="en-GB"/>
        </w:rPr>
        <w:tab/>
      </w:r>
      <w:bookmarkStart w:id="5" w:name="_CTVL0017a4ed061e66045f5ba0c78f416a63391"/>
      <w:r>
        <w:rPr>
          <w:lang w:val="en-GB"/>
        </w:rPr>
        <w:t xml:space="preserve">Pinzon NM, Ju L-K. Improved detection of rhamnolipid production using agar plates containing methylene blue and </w:t>
      </w:r>
      <w:proofErr w:type="spellStart"/>
      <w:r>
        <w:rPr>
          <w:lang w:val="en-GB"/>
        </w:rPr>
        <w:t>cetyl</w:t>
      </w:r>
      <w:proofErr w:type="spellEnd"/>
      <w:r>
        <w:rPr>
          <w:lang w:val="en-GB"/>
        </w:rPr>
        <w:t xml:space="preserve"> trimethylammonium bromide. Biotechnology letters. </w:t>
      </w:r>
      <w:proofErr w:type="gramStart"/>
      <w:r>
        <w:rPr>
          <w:lang w:val="en-GB"/>
        </w:rPr>
        <w:t>2009;31:1583</w:t>
      </w:r>
      <w:proofErr w:type="gramEnd"/>
      <w:r>
        <w:rPr>
          <w:lang w:val="en-GB"/>
        </w:rPr>
        <w:t>–8.</w:t>
      </w:r>
    </w:p>
    <w:bookmarkEnd w:id="5"/>
    <w:p w14:paraId="6B61C9DB" w14:textId="018F1BA1" w:rsidR="00E21E0E" w:rsidRDefault="00E21E0E" w:rsidP="00E21E0E">
      <w:pPr>
        <w:pStyle w:val="CitaviBibliographyEntry"/>
        <w:rPr>
          <w:lang w:val="en-GB"/>
        </w:rPr>
      </w:pPr>
      <w:r>
        <w:rPr>
          <w:lang w:val="en-GB"/>
        </w:rPr>
        <w:t>7.</w:t>
      </w:r>
      <w:r>
        <w:rPr>
          <w:lang w:val="en-GB"/>
        </w:rPr>
        <w:tab/>
      </w:r>
      <w:bookmarkStart w:id="6" w:name="_CTVL001f448f53006224a5281e85f4582dc99cf"/>
      <w:r>
        <w:rPr>
          <w:lang w:val="en-GB"/>
        </w:rPr>
        <w:t xml:space="preserve">Gordon SA, Weber RP. Colorimetric estimation of indoleacetic acid. Plant physiology. </w:t>
      </w:r>
      <w:proofErr w:type="gramStart"/>
      <w:r>
        <w:rPr>
          <w:lang w:val="en-GB"/>
        </w:rPr>
        <w:t>1951;26:192</w:t>
      </w:r>
      <w:proofErr w:type="gramEnd"/>
      <w:r>
        <w:rPr>
          <w:lang w:val="en-GB"/>
        </w:rPr>
        <w:t>.</w:t>
      </w:r>
    </w:p>
    <w:bookmarkEnd w:id="6"/>
    <w:p w14:paraId="2189D6D7" w14:textId="5C8F1CCD" w:rsidR="00E21E0E" w:rsidRDefault="00E21E0E" w:rsidP="00E21E0E">
      <w:pPr>
        <w:pStyle w:val="CitaviBibliographyEntry"/>
        <w:rPr>
          <w:lang w:val="en-GB"/>
        </w:rPr>
      </w:pPr>
      <w:r>
        <w:rPr>
          <w:lang w:val="en-GB"/>
        </w:rPr>
        <w:t>8.</w:t>
      </w:r>
      <w:r>
        <w:rPr>
          <w:lang w:val="en-GB"/>
        </w:rPr>
        <w:tab/>
      </w:r>
      <w:bookmarkStart w:id="7" w:name="_CTVL001628631da101d43c5a7441dcf3686e67a"/>
      <w:r>
        <w:rPr>
          <w:lang w:val="en-GB"/>
        </w:rPr>
        <w:t xml:space="preserve">Weinert N, </w:t>
      </w:r>
      <w:proofErr w:type="spellStart"/>
      <w:r>
        <w:rPr>
          <w:lang w:val="en-GB"/>
        </w:rPr>
        <w:t>Meincke</w:t>
      </w:r>
      <w:proofErr w:type="spellEnd"/>
      <w:r>
        <w:rPr>
          <w:lang w:val="en-GB"/>
        </w:rPr>
        <w:t xml:space="preserve"> R, Gottwald C, Heuer H, Schloter M, Berg G, </w:t>
      </w:r>
      <w:proofErr w:type="spellStart"/>
      <w:r>
        <w:rPr>
          <w:lang w:val="en-GB"/>
        </w:rPr>
        <w:t>Smalla</w:t>
      </w:r>
      <w:proofErr w:type="spellEnd"/>
      <w:r>
        <w:rPr>
          <w:lang w:val="en-GB"/>
        </w:rPr>
        <w:t xml:space="preserve"> K. Bacterial diversity on the surface of potato tubers in soil and the influence of the plant genotype. FEMS Microbiology Ecology. </w:t>
      </w:r>
      <w:proofErr w:type="gramStart"/>
      <w:r>
        <w:rPr>
          <w:lang w:val="en-GB"/>
        </w:rPr>
        <w:t>2010;74:114</w:t>
      </w:r>
      <w:proofErr w:type="gramEnd"/>
      <w:r>
        <w:rPr>
          <w:lang w:val="en-GB"/>
        </w:rPr>
        <w:t>–23.</w:t>
      </w:r>
    </w:p>
    <w:bookmarkEnd w:id="7"/>
    <w:p w14:paraId="5DBCCFCE" w14:textId="77777777" w:rsidR="00E21E0E" w:rsidRDefault="00E21E0E" w:rsidP="005967AE">
      <w:pPr>
        <w:rPr>
          <w:lang w:val="en-GB"/>
        </w:rPr>
      </w:pPr>
    </w:p>
    <w:sectPr w:rsidR="00E21E0E" w:rsidSect="001354B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Q0tbCwNDE0MjE0MLZQ0lEKTi0uzszPAykwNK4FAJzPazAtAAAA"/>
  </w:docVars>
  <w:rsids>
    <w:rsidRoot w:val="005967AE"/>
    <w:rsid w:val="00027A77"/>
    <w:rsid w:val="000671B9"/>
    <w:rsid w:val="000E4372"/>
    <w:rsid w:val="00122BE1"/>
    <w:rsid w:val="00126225"/>
    <w:rsid w:val="001354B7"/>
    <w:rsid w:val="001E2D5C"/>
    <w:rsid w:val="00242C54"/>
    <w:rsid w:val="00254518"/>
    <w:rsid w:val="002C398E"/>
    <w:rsid w:val="0033220C"/>
    <w:rsid w:val="003B39BF"/>
    <w:rsid w:val="00450EB3"/>
    <w:rsid w:val="004961DF"/>
    <w:rsid w:val="004C012B"/>
    <w:rsid w:val="004C54CE"/>
    <w:rsid w:val="00500E49"/>
    <w:rsid w:val="00510749"/>
    <w:rsid w:val="00551B90"/>
    <w:rsid w:val="005967AE"/>
    <w:rsid w:val="005F0279"/>
    <w:rsid w:val="00626E38"/>
    <w:rsid w:val="006351CF"/>
    <w:rsid w:val="006B4433"/>
    <w:rsid w:val="006C076C"/>
    <w:rsid w:val="00734AA1"/>
    <w:rsid w:val="007511BE"/>
    <w:rsid w:val="00792BE7"/>
    <w:rsid w:val="007C5C27"/>
    <w:rsid w:val="008929D5"/>
    <w:rsid w:val="00986EA5"/>
    <w:rsid w:val="009B600F"/>
    <w:rsid w:val="009D01C3"/>
    <w:rsid w:val="009D0507"/>
    <w:rsid w:val="00A14230"/>
    <w:rsid w:val="00AA5E9D"/>
    <w:rsid w:val="00B1051E"/>
    <w:rsid w:val="00B617DE"/>
    <w:rsid w:val="00BC1289"/>
    <w:rsid w:val="00BF5D27"/>
    <w:rsid w:val="00C74C51"/>
    <w:rsid w:val="00C978B3"/>
    <w:rsid w:val="00D14D09"/>
    <w:rsid w:val="00D250DA"/>
    <w:rsid w:val="00E21E0E"/>
    <w:rsid w:val="00E3754F"/>
    <w:rsid w:val="00E754F1"/>
    <w:rsid w:val="00FE149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73948"/>
  <w15:chartTrackingRefBased/>
  <w15:docId w15:val="{124D65BA-22E8-4007-9D0D-85A68A9D5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7AE"/>
    <w:rPr>
      <w:lang w:val="de-AT"/>
    </w:rPr>
  </w:style>
  <w:style w:type="paragraph" w:styleId="Heading1">
    <w:name w:val="heading 1"/>
    <w:basedOn w:val="Normal"/>
    <w:next w:val="Normal"/>
    <w:link w:val="Heading1Char"/>
    <w:uiPriority w:val="9"/>
    <w:qFormat/>
    <w:rsid w:val="005967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21E0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67AE"/>
    <w:pPr>
      <w:spacing w:after="0" w:line="240" w:lineRule="auto"/>
    </w:pPr>
    <w:rPr>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967AE"/>
    <w:pPr>
      <w:spacing w:after="0" w:line="240" w:lineRule="auto"/>
    </w:pPr>
    <w:rPr>
      <w:lang w:val="de-AT"/>
    </w:rPr>
  </w:style>
  <w:style w:type="paragraph" w:styleId="Caption">
    <w:name w:val="caption"/>
    <w:basedOn w:val="Normal"/>
    <w:next w:val="Normal"/>
    <w:uiPriority w:val="35"/>
    <w:unhideWhenUsed/>
    <w:qFormat/>
    <w:rsid w:val="005967AE"/>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5967AE"/>
    <w:rPr>
      <w:rFonts w:asciiTheme="majorHAnsi" w:eastAsiaTheme="majorEastAsia" w:hAnsiTheme="majorHAnsi" w:cstheme="majorBidi"/>
      <w:color w:val="2F5496" w:themeColor="accent1" w:themeShade="BF"/>
      <w:sz w:val="32"/>
      <w:szCs w:val="32"/>
      <w:lang w:val="de-AT"/>
    </w:rPr>
  </w:style>
  <w:style w:type="paragraph" w:styleId="Title">
    <w:name w:val="Title"/>
    <w:basedOn w:val="Normal"/>
    <w:next w:val="Normal"/>
    <w:link w:val="TitleChar"/>
    <w:uiPriority w:val="10"/>
    <w:qFormat/>
    <w:rsid w:val="005967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67AE"/>
    <w:rPr>
      <w:rFonts w:asciiTheme="majorHAnsi" w:eastAsiaTheme="majorEastAsia" w:hAnsiTheme="majorHAnsi" w:cstheme="majorBidi"/>
      <w:spacing w:val="-10"/>
      <w:kern w:val="28"/>
      <w:sz w:val="56"/>
      <w:szCs w:val="56"/>
      <w:lang w:val="de-AT"/>
    </w:rPr>
  </w:style>
  <w:style w:type="paragraph" w:customStyle="1" w:styleId="CitaviBibliographyEntry">
    <w:name w:val="Citavi Bibliography Entry"/>
    <w:basedOn w:val="Normal"/>
    <w:link w:val="CitaviBibliographyEntryZchn"/>
    <w:uiPriority w:val="99"/>
    <w:rsid w:val="00500E49"/>
    <w:pPr>
      <w:spacing w:after="120"/>
    </w:pPr>
  </w:style>
  <w:style w:type="character" w:customStyle="1" w:styleId="CitaviBibliographyEntryZchn">
    <w:name w:val="Citavi Bibliography Entry Zchn"/>
    <w:basedOn w:val="DefaultParagraphFont"/>
    <w:link w:val="CitaviBibliographyEntry"/>
    <w:uiPriority w:val="99"/>
    <w:rsid w:val="00500E49"/>
    <w:rPr>
      <w:lang w:val="de-AT"/>
    </w:rPr>
  </w:style>
  <w:style w:type="character" w:customStyle="1" w:styleId="Heading2Char">
    <w:name w:val="Heading 2 Char"/>
    <w:basedOn w:val="DefaultParagraphFont"/>
    <w:link w:val="Heading2"/>
    <w:uiPriority w:val="9"/>
    <w:rsid w:val="00E21E0E"/>
    <w:rPr>
      <w:rFonts w:asciiTheme="majorHAnsi" w:eastAsiaTheme="majorEastAsia" w:hAnsiTheme="majorHAnsi" w:cstheme="majorBidi"/>
      <w:color w:val="2F5496" w:themeColor="accent1" w:themeShade="BF"/>
      <w:sz w:val="26"/>
      <w:szCs w:val="26"/>
      <w:lang w:val="de-AT"/>
    </w:rPr>
  </w:style>
  <w:style w:type="paragraph" w:styleId="BalloonText">
    <w:name w:val="Balloon Text"/>
    <w:basedOn w:val="Normal"/>
    <w:link w:val="BalloonTextChar"/>
    <w:uiPriority w:val="99"/>
    <w:semiHidden/>
    <w:unhideWhenUsed/>
    <w:rsid w:val="007511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1BE"/>
    <w:rPr>
      <w:rFonts w:ascii="Segoe UI" w:hAnsi="Segoe UI" w:cs="Segoe UI"/>
      <w:sz w:val="18"/>
      <w:szCs w:val="18"/>
      <w:lang w:val="de-AT"/>
    </w:rPr>
  </w:style>
  <w:style w:type="paragraph" w:styleId="NormalWeb">
    <w:name w:val="Normal (Web)"/>
    <w:basedOn w:val="Normal"/>
    <w:uiPriority w:val="99"/>
    <w:unhideWhenUsed/>
    <w:rsid w:val="005F027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B617DE"/>
    <w:rPr>
      <w:sz w:val="16"/>
      <w:szCs w:val="16"/>
    </w:rPr>
  </w:style>
  <w:style w:type="paragraph" w:styleId="CommentText">
    <w:name w:val="annotation text"/>
    <w:basedOn w:val="Normal"/>
    <w:link w:val="CommentTextChar"/>
    <w:uiPriority w:val="99"/>
    <w:unhideWhenUsed/>
    <w:rsid w:val="00B617DE"/>
    <w:pPr>
      <w:spacing w:line="240" w:lineRule="auto"/>
    </w:pPr>
    <w:rPr>
      <w:sz w:val="20"/>
      <w:szCs w:val="20"/>
    </w:rPr>
  </w:style>
  <w:style w:type="character" w:customStyle="1" w:styleId="CommentTextChar">
    <w:name w:val="Comment Text Char"/>
    <w:basedOn w:val="DefaultParagraphFont"/>
    <w:link w:val="CommentText"/>
    <w:uiPriority w:val="99"/>
    <w:rsid w:val="00B617DE"/>
    <w:rPr>
      <w:sz w:val="20"/>
      <w:szCs w:val="20"/>
      <w:lang w:val="de-AT"/>
    </w:rPr>
  </w:style>
  <w:style w:type="paragraph" w:styleId="CommentSubject">
    <w:name w:val="annotation subject"/>
    <w:basedOn w:val="CommentText"/>
    <w:next w:val="CommentText"/>
    <w:link w:val="CommentSubjectChar"/>
    <w:uiPriority w:val="99"/>
    <w:semiHidden/>
    <w:unhideWhenUsed/>
    <w:rsid w:val="00B617DE"/>
    <w:rPr>
      <w:b/>
      <w:bCs/>
    </w:rPr>
  </w:style>
  <w:style w:type="character" w:customStyle="1" w:styleId="CommentSubjectChar">
    <w:name w:val="Comment Subject Char"/>
    <w:basedOn w:val="CommentTextChar"/>
    <w:link w:val="CommentSubject"/>
    <w:uiPriority w:val="99"/>
    <w:semiHidden/>
    <w:rsid w:val="00B617DE"/>
    <w:rPr>
      <w:b/>
      <w:bCs/>
      <w:sz w:val="20"/>
      <w:szCs w:val="20"/>
      <w:lang w:val="de-AT"/>
    </w:rPr>
  </w:style>
  <w:style w:type="character" w:customStyle="1" w:styleId="ref-lnk">
    <w:name w:val="ref-lnk"/>
    <w:basedOn w:val="DefaultParagraphFont"/>
    <w:rsid w:val="00B617DE"/>
  </w:style>
  <w:style w:type="character" w:styleId="Hyperlink">
    <w:name w:val="Hyperlink"/>
    <w:basedOn w:val="DefaultParagraphFont"/>
    <w:uiPriority w:val="99"/>
    <w:semiHidden/>
    <w:unhideWhenUsed/>
    <w:rsid w:val="00B617DE"/>
    <w:rPr>
      <w:color w:val="0000FF"/>
      <w:u w:val="single"/>
    </w:rPr>
  </w:style>
  <w:style w:type="character" w:customStyle="1" w:styleId="off-screen">
    <w:name w:val="off-screen"/>
    <w:basedOn w:val="DefaultParagraphFont"/>
    <w:rsid w:val="00B617DE"/>
  </w:style>
  <w:style w:type="paragraph" w:styleId="Revision">
    <w:name w:val="Revision"/>
    <w:hidden/>
    <w:uiPriority w:val="99"/>
    <w:semiHidden/>
    <w:rsid w:val="00B1051E"/>
    <w:pPr>
      <w:spacing w:after="0" w:line="240" w:lineRule="auto"/>
    </w:pPr>
    <w:rPr>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6684">
      <w:bodyDiv w:val="1"/>
      <w:marLeft w:val="0"/>
      <w:marRight w:val="0"/>
      <w:marTop w:val="0"/>
      <w:marBottom w:val="0"/>
      <w:divBdr>
        <w:top w:val="none" w:sz="0" w:space="0" w:color="auto"/>
        <w:left w:val="none" w:sz="0" w:space="0" w:color="auto"/>
        <w:bottom w:val="none" w:sz="0" w:space="0" w:color="auto"/>
        <w:right w:val="none" w:sz="0" w:space="0" w:color="auto"/>
      </w:divBdr>
    </w:div>
    <w:div w:id="409430837">
      <w:bodyDiv w:val="1"/>
      <w:marLeft w:val="0"/>
      <w:marRight w:val="0"/>
      <w:marTop w:val="0"/>
      <w:marBottom w:val="0"/>
      <w:divBdr>
        <w:top w:val="none" w:sz="0" w:space="0" w:color="auto"/>
        <w:left w:val="none" w:sz="0" w:space="0" w:color="auto"/>
        <w:bottom w:val="none" w:sz="0" w:space="0" w:color="auto"/>
        <w:right w:val="none" w:sz="0" w:space="0" w:color="auto"/>
      </w:divBdr>
    </w:div>
    <w:div w:id="122271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854</Words>
  <Characters>4873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Technische Universitaet Graz</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Michl, Kristina</dc:creator>
  <cp:keywords/>
  <dc:description/>
  <cp:lastModifiedBy>Tomislav Cernava</cp:lastModifiedBy>
  <cp:revision>18</cp:revision>
  <dcterms:created xsi:type="dcterms:W3CDTF">2024-03-21T13:51:00Z</dcterms:created>
  <dcterms:modified xsi:type="dcterms:W3CDTF">2024-06-04T14:49:00Z</dcterms:modified>
</cp:coreProperties>
</file>