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49A23" w14:textId="77777777" w:rsidR="004C64F8" w:rsidRPr="00EA1C85" w:rsidRDefault="004C64F8" w:rsidP="004C64F8">
      <w:pPr>
        <w:spacing w:line="480" w:lineRule="auto"/>
        <w:ind w:firstLine="360"/>
        <w:jc w:val="both"/>
        <w:rPr>
          <w:rFonts w:ascii="Times New Roman" w:hAnsi="Times New Roman" w:cs="Times New Roman"/>
          <w:b/>
          <w:bCs/>
          <w:color w:val="000000" w:themeColor="text1"/>
          <w:sz w:val="24"/>
          <w:szCs w:val="24"/>
        </w:rPr>
      </w:pPr>
      <w:bookmarkStart w:id="0" w:name="_Hlk155956155"/>
    </w:p>
    <w:p w14:paraId="7F79D49A" w14:textId="77777777" w:rsidR="004C64F8" w:rsidRPr="00EA1C85" w:rsidRDefault="004C64F8" w:rsidP="004C64F8">
      <w:pPr>
        <w:spacing w:line="480" w:lineRule="auto"/>
        <w:ind w:firstLine="360"/>
        <w:jc w:val="both"/>
        <w:rPr>
          <w:rFonts w:ascii="Times New Roman" w:hAnsi="Times New Roman" w:cs="Times New Roman"/>
          <w:b/>
          <w:bCs/>
          <w:color w:val="000000" w:themeColor="text1"/>
          <w:sz w:val="24"/>
          <w:szCs w:val="24"/>
        </w:rPr>
      </w:pPr>
    </w:p>
    <w:p w14:paraId="7FDE185E" w14:textId="77777777" w:rsidR="004C64F8" w:rsidRPr="00EA1C85" w:rsidRDefault="004C64F8" w:rsidP="004C64F8">
      <w:pPr>
        <w:spacing w:line="480" w:lineRule="auto"/>
        <w:ind w:firstLine="360"/>
        <w:jc w:val="both"/>
        <w:rPr>
          <w:rFonts w:ascii="Times New Roman" w:hAnsi="Times New Roman" w:cs="Times New Roman"/>
          <w:b/>
          <w:bCs/>
          <w:color w:val="000000" w:themeColor="text1"/>
          <w:sz w:val="24"/>
          <w:szCs w:val="24"/>
        </w:rPr>
      </w:pPr>
      <w:r w:rsidRPr="00EA1C85">
        <w:rPr>
          <w:rFonts w:ascii="Times New Roman" w:hAnsi="Times New Roman" w:cs="Times New Roman"/>
          <w:b/>
          <w:bCs/>
          <w:color w:val="000000" w:themeColor="text1"/>
          <w:sz w:val="24"/>
          <w:szCs w:val="24"/>
        </w:rPr>
        <w:t>Supplementary material</w:t>
      </w:r>
    </w:p>
    <w:bookmarkEnd w:id="0"/>
    <w:p w14:paraId="0659DB3E" w14:textId="77777777" w:rsidR="004C64F8" w:rsidRPr="00EA1C85" w:rsidRDefault="004C64F8" w:rsidP="004C64F8">
      <w:pPr>
        <w:spacing w:line="480" w:lineRule="auto"/>
        <w:jc w:val="both"/>
        <w:rPr>
          <w:rFonts w:ascii="Times New Roman" w:hAnsi="Times New Roman" w:cs="Times New Roman"/>
          <w:color w:val="000000" w:themeColor="text1"/>
          <w:sz w:val="24"/>
          <w:szCs w:val="24"/>
        </w:rPr>
      </w:pPr>
      <w:r w:rsidRPr="00EA1C85">
        <w:rPr>
          <w:rFonts w:ascii="Times New Roman" w:hAnsi="Times New Roman" w:cs="Times New Roman"/>
          <w:color w:val="000000" w:themeColor="text1"/>
          <w:sz w:val="24"/>
          <w:szCs w:val="24"/>
        </w:rPr>
        <w:t>Figure S1: An overview of the sampling locations in conventional wastewater treatment plant, i.e., WWTPC (WWTP-1 to WWTP-4) and advanced wastewater treatment plant, i.e., WWTPA (WWTP-5 to WWTP-7).</w:t>
      </w:r>
    </w:p>
    <w:p w14:paraId="403C8E33" w14:textId="77777777" w:rsidR="004C64F8" w:rsidRPr="00EA1C85" w:rsidRDefault="004C64F8" w:rsidP="004C64F8">
      <w:pPr>
        <w:spacing w:line="480" w:lineRule="auto"/>
        <w:jc w:val="both"/>
        <w:rPr>
          <w:rFonts w:ascii="Times New Roman" w:hAnsi="Times New Roman" w:cs="Times New Roman"/>
          <w:color w:val="000000" w:themeColor="text1"/>
          <w:sz w:val="24"/>
          <w:szCs w:val="24"/>
        </w:rPr>
      </w:pPr>
      <w:r w:rsidRPr="00EA1C85">
        <w:rPr>
          <w:rFonts w:ascii="Times New Roman" w:hAnsi="Times New Roman" w:cs="Times New Roman"/>
          <w:color w:val="000000" w:themeColor="text1"/>
          <w:sz w:val="24"/>
          <w:szCs w:val="24"/>
        </w:rPr>
        <w:t xml:space="preserve">Figure S2: Sankey plot of microbiome abundance of WWTPC at different taxa levels, represented by </w:t>
      </w:r>
      <w:proofErr w:type="spellStart"/>
      <w:r w:rsidRPr="00EA1C85">
        <w:rPr>
          <w:rFonts w:ascii="Times New Roman" w:hAnsi="Times New Roman" w:cs="Times New Roman"/>
          <w:color w:val="000000" w:themeColor="text1"/>
          <w:sz w:val="24"/>
          <w:szCs w:val="24"/>
        </w:rPr>
        <w:t>Pavian</w:t>
      </w:r>
      <w:proofErr w:type="spellEnd"/>
      <w:r w:rsidRPr="00EA1C85">
        <w:rPr>
          <w:rFonts w:ascii="Times New Roman" w:hAnsi="Times New Roman" w:cs="Times New Roman"/>
          <w:color w:val="000000" w:themeColor="text1"/>
          <w:sz w:val="24"/>
          <w:szCs w:val="24"/>
        </w:rPr>
        <w:t>.</w:t>
      </w:r>
    </w:p>
    <w:p w14:paraId="6E28089A" w14:textId="77777777" w:rsidR="004C64F8" w:rsidRPr="00EA1C85" w:rsidRDefault="004C64F8" w:rsidP="004C64F8">
      <w:pPr>
        <w:spacing w:line="480" w:lineRule="auto"/>
        <w:jc w:val="both"/>
        <w:rPr>
          <w:rFonts w:ascii="Times New Roman" w:hAnsi="Times New Roman" w:cs="Times New Roman"/>
          <w:color w:val="000000" w:themeColor="text1"/>
          <w:sz w:val="24"/>
          <w:szCs w:val="24"/>
        </w:rPr>
      </w:pPr>
      <w:r w:rsidRPr="00EA1C85">
        <w:rPr>
          <w:rFonts w:ascii="Times New Roman" w:hAnsi="Times New Roman" w:cs="Times New Roman"/>
          <w:color w:val="000000" w:themeColor="text1"/>
          <w:sz w:val="24"/>
          <w:szCs w:val="24"/>
        </w:rPr>
        <w:t xml:space="preserve">Figure S3: Sankey plot of microbiome abundance of WWTPA at different taxa levels, represented by </w:t>
      </w:r>
      <w:proofErr w:type="spellStart"/>
      <w:r w:rsidRPr="00EA1C85">
        <w:rPr>
          <w:rFonts w:ascii="Times New Roman" w:hAnsi="Times New Roman" w:cs="Times New Roman"/>
          <w:color w:val="000000" w:themeColor="text1"/>
          <w:sz w:val="24"/>
          <w:szCs w:val="24"/>
        </w:rPr>
        <w:t>Pavian</w:t>
      </w:r>
      <w:proofErr w:type="spellEnd"/>
      <w:r w:rsidRPr="00EA1C85">
        <w:rPr>
          <w:rFonts w:ascii="Times New Roman" w:hAnsi="Times New Roman" w:cs="Times New Roman"/>
          <w:color w:val="000000" w:themeColor="text1"/>
          <w:sz w:val="24"/>
          <w:szCs w:val="24"/>
        </w:rPr>
        <w:t>.</w:t>
      </w:r>
    </w:p>
    <w:p w14:paraId="10DEE021" w14:textId="77777777" w:rsidR="004C64F8" w:rsidRPr="00EA1C85" w:rsidRDefault="004C64F8" w:rsidP="004C64F8">
      <w:pPr>
        <w:spacing w:line="480" w:lineRule="auto"/>
        <w:jc w:val="both"/>
        <w:rPr>
          <w:rFonts w:ascii="Times New Roman" w:hAnsi="Times New Roman" w:cs="Times New Roman"/>
          <w:color w:val="000000" w:themeColor="text1"/>
          <w:sz w:val="24"/>
          <w:szCs w:val="24"/>
        </w:rPr>
      </w:pPr>
      <w:r w:rsidRPr="00EA1C85">
        <w:rPr>
          <w:rFonts w:ascii="Times New Roman" w:hAnsi="Times New Roman" w:cs="Times New Roman"/>
          <w:color w:val="000000" w:themeColor="text1"/>
          <w:sz w:val="24"/>
          <w:szCs w:val="24"/>
        </w:rPr>
        <w:t>Figure S4: a) The correlation between different samples collected at different stages of WWTPC and WWTPA, on the basis of total abundance of ARGs against different drug classes. b) The alpha-diversity of microbiome represented by Shannon index.</w:t>
      </w:r>
    </w:p>
    <w:p w14:paraId="5148FFEB" w14:textId="77777777" w:rsidR="004C64F8" w:rsidRPr="005710AB" w:rsidRDefault="004C64F8" w:rsidP="004C64F8">
      <w:pPr>
        <w:spacing w:line="480" w:lineRule="auto"/>
        <w:jc w:val="both"/>
        <w:rPr>
          <w:rFonts w:ascii="Times New Roman" w:hAnsi="Times New Roman" w:cs="Times New Roman"/>
          <w:color w:val="000000" w:themeColor="text1"/>
          <w:sz w:val="24"/>
          <w:szCs w:val="24"/>
          <w:highlight w:val="cyan"/>
        </w:rPr>
      </w:pPr>
      <w:r w:rsidRPr="005710AB">
        <w:rPr>
          <w:rFonts w:ascii="Times New Roman" w:hAnsi="Times New Roman" w:cs="Times New Roman"/>
          <w:color w:val="000000" w:themeColor="text1"/>
          <w:sz w:val="24"/>
          <w:szCs w:val="24"/>
          <w:highlight w:val="cyan"/>
        </w:rPr>
        <w:t>Table S1: Additional information regarding collection sites, classification of reads, microbiome and ARG alpha-diversity, ARGs, plasmids, MGEs and virulence factors (.xlsx file). In Sheet_1, A. Sampling site information: It contains the data regarding the sampling location, collection date, and time. B. The classification of raw reads after metagenomic sequencing to detect the microbial content. C. The alpha diversity of the microbiome in the collected samples in terms of Shannon, Simpson and Inverse Simpson indices. D. The alpha diversity of the ARG content in the collected water samples.</w:t>
      </w:r>
    </w:p>
    <w:p w14:paraId="788EC178" w14:textId="77777777" w:rsidR="004C64F8" w:rsidRPr="005710AB" w:rsidRDefault="004C64F8" w:rsidP="004C64F8">
      <w:pPr>
        <w:spacing w:line="480" w:lineRule="auto"/>
        <w:jc w:val="both"/>
        <w:rPr>
          <w:rFonts w:ascii="Times New Roman" w:hAnsi="Times New Roman" w:cs="Times New Roman"/>
          <w:color w:val="000000" w:themeColor="text1"/>
          <w:sz w:val="24"/>
          <w:szCs w:val="24"/>
          <w:highlight w:val="cyan"/>
        </w:rPr>
      </w:pPr>
      <w:r w:rsidRPr="005710AB">
        <w:rPr>
          <w:rFonts w:ascii="Times New Roman" w:hAnsi="Times New Roman" w:cs="Times New Roman"/>
          <w:color w:val="000000" w:themeColor="text1"/>
          <w:sz w:val="24"/>
          <w:szCs w:val="24"/>
          <w:highlight w:val="cyan"/>
        </w:rPr>
        <w:lastRenderedPageBreak/>
        <w:t xml:space="preserve"> Sheet_2 to Sheet_8 lists the ARGs carried by WWTP-1 to WWTP-7. The column </w:t>
      </w:r>
      <w:proofErr w:type="spellStart"/>
      <w:r w:rsidRPr="005710AB">
        <w:rPr>
          <w:rFonts w:ascii="Times New Roman" w:hAnsi="Times New Roman" w:cs="Times New Roman"/>
          <w:color w:val="000000" w:themeColor="text1"/>
          <w:sz w:val="24"/>
          <w:szCs w:val="24"/>
          <w:highlight w:val="cyan"/>
        </w:rPr>
        <w:t>Plasflow</w:t>
      </w:r>
      <w:proofErr w:type="spellEnd"/>
      <w:r w:rsidRPr="005710AB">
        <w:rPr>
          <w:rFonts w:ascii="Times New Roman" w:hAnsi="Times New Roman" w:cs="Times New Roman"/>
          <w:color w:val="000000" w:themeColor="text1"/>
          <w:sz w:val="24"/>
          <w:szCs w:val="24"/>
          <w:highlight w:val="cyan"/>
        </w:rPr>
        <w:t xml:space="preserve"> prediction column correlates whether the listed ARGs are chromosomal or plasmid mediated.</w:t>
      </w:r>
    </w:p>
    <w:p w14:paraId="17A11667" w14:textId="77777777" w:rsidR="004C64F8" w:rsidRPr="005710AB" w:rsidRDefault="004C64F8" w:rsidP="004C64F8">
      <w:pPr>
        <w:spacing w:line="480" w:lineRule="auto"/>
        <w:jc w:val="both"/>
        <w:rPr>
          <w:rFonts w:ascii="Times New Roman" w:hAnsi="Times New Roman" w:cs="Times New Roman"/>
          <w:color w:val="000000" w:themeColor="text1"/>
          <w:sz w:val="24"/>
          <w:szCs w:val="24"/>
          <w:highlight w:val="cyan"/>
        </w:rPr>
      </w:pPr>
      <w:r w:rsidRPr="005710AB">
        <w:rPr>
          <w:rFonts w:ascii="Times New Roman" w:hAnsi="Times New Roman" w:cs="Times New Roman"/>
          <w:color w:val="000000" w:themeColor="text1"/>
          <w:sz w:val="24"/>
          <w:szCs w:val="24"/>
          <w:highlight w:val="cyan"/>
        </w:rPr>
        <w:t xml:space="preserve">Sheet_9 to Sheet_15 enlists the virulence factors detected by </w:t>
      </w:r>
      <w:proofErr w:type="spellStart"/>
      <w:r w:rsidRPr="005710AB">
        <w:rPr>
          <w:rFonts w:ascii="Times New Roman" w:hAnsi="Times New Roman" w:cs="Times New Roman"/>
          <w:color w:val="000000" w:themeColor="text1"/>
          <w:sz w:val="24"/>
          <w:szCs w:val="24"/>
          <w:highlight w:val="cyan"/>
        </w:rPr>
        <w:t>Abricate</w:t>
      </w:r>
      <w:proofErr w:type="spellEnd"/>
      <w:r w:rsidRPr="005710AB">
        <w:rPr>
          <w:rFonts w:ascii="Times New Roman" w:hAnsi="Times New Roman" w:cs="Times New Roman"/>
          <w:color w:val="000000" w:themeColor="text1"/>
          <w:sz w:val="24"/>
          <w:szCs w:val="24"/>
          <w:highlight w:val="cyan"/>
        </w:rPr>
        <w:t xml:space="preserve"> against the virulence factor database (VFDB) in WWTP-1 to WWTP-7. </w:t>
      </w:r>
    </w:p>
    <w:p w14:paraId="19E51FFF" w14:textId="77777777" w:rsidR="004C64F8" w:rsidRPr="00EA1C85" w:rsidRDefault="004C64F8" w:rsidP="004C64F8">
      <w:pPr>
        <w:spacing w:line="480" w:lineRule="auto"/>
        <w:jc w:val="both"/>
        <w:rPr>
          <w:rFonts w:ascii="Times New Roman" w:hAnsi="Times New Roman" w:cs="Times New Roman"/>
          <w:color w:val="000000" w:themeColor="text1"/>
          <w:sz w:val="24"/>
          <w:szCs w:val="24"/>
        </w:rPr>
      </w:pPr>
      <w:r w:rsidRPr="005710AB">
        <w:rPr>
          <w:rFonts w:ascii="Times New Roman" w:hAnsi="Times New Roman" w:cs="Times New Roman"/>
          <w:color w:val="000000" w:themeColor="text1"/>
          <w:sz w:val="24"/>
          <w:szCs w:val="24"/>
          <w:highlight w:val="cyan"/>
        </w:rPr>
        <w:t xml:space="preserve">Sheet_16 enlists the plasmids identified by </w:t>
      </w:r>
      <w:proofErr w:type="spellStart"/>
      <w:r w:rsidRPr="005710AB">
        <w:rPr>
          <w:rFonts w:ascii="Times New Roman" w:hAnsi="Times New Roman" w:cs="Times New Roman"/>
          <w:color w:val="000000" w:themeColor="text1"/>
          <w:sz w:val="24"/>
          <w:szCs w:val="24"/>
          <w:highlight w:val="cyan"/>
        </w:rPr>
        <w:t>Abricate</w:t>
      </w:r>
      <w:proofErr w:type="spellEnd"/>
      <w:r w:rsidRPr="005710AB">
        <w:rPr>
          <w:rFonts w:ascii="Times New Roman" w:hAnsi="Times New Roman" w:cs="Times New Roman"/>
          <w:color w:val="000000" w:themeColor="text1"/>
          <w:sz w:val="24"/>
          <w:szCs w:val="24"/>
          <w:highlight w:val="cyan"/>
        </w:rPr>
        <w:t xml:space="preserve"> against the database </w:t>
      </w:r>
      <w:proofErr w:type="spellStart"/>
      <w:r w:rsidRPr="005710AB">
        <w:rPr>
          <w:rFonts w:ascii="Times New Roman" w:hAnsi="Times New Roman" w:cs="Times New Roman"/>
          <w:color w:val="000000" w:themeColor="text1"/>
          <w:sz w:val="24"/>
          <w:szCs w:val="24"/>
          <w:highlight w:val="cyan"/>
        </w:rPr>
        <w:t>plasmidfinder</w:t>
      </w:r>
      <w:proofErr w:type="spellEnd"/>
      <w:r w:rsidRPr="005710AB">
        <w:rPr>
          <w:rFonts w:ascii="Times New Roman" w:hAnsi="Times New Roman" w:cs="Times New Roman"/>
          <w:color w:val="000000" w:themeColor="text1"/>
          <w:sz w:val="24"/>
          <w:szCs w:val="24"/>
          <w:highlight w:val="cyan"/>
        </w:rPr>
        <w:t xml:space="preserve"> in WWTP-1 to WWTP-7. It also lists the IS elements detected in the samples WWTP-1 to WWTP-7 by </w:t>
      </w:r>
      <w:proofErr w:type="spellStart"/>
      <w:r w:rsidRPr="005710AB">
        <w:rPr>
          <w:rFonts w:ascii="Times New Roman" w:hAnsi="Times New Roman" w:cs="Times New Roman"/>
          <w:color w:val="000000" w:themeColor="text1"/>
          <w:sz w:val="24"/>
          <w:szCs w:val="24"/>
          <w:highlight w:val="cyan"/>
        </w:rPr>
        <w:t>mobileOGdb</w:t>
      </w:r>
      <w:proofErr w:type="spellEnd"/>
      <w:r w:rsidRPr="005710AB">
        <w:rPr>
          <w:rFonts w:ascii="Times New Roman" w:hAnsi="Times New Roman" w:cs="Times New Roman"/>
          <w:color w:val="000000" w:themeColor="text1"/>
          <w:sz w:val="24"/>
          <w:szCs w:val="24"/>
          <w:highlight w:val="cyan"/>
        </w:rPr>
        <w:t>.</w:t>
      </w:r>
    </w:p>
    <w:p w14:paraId="0609446B" w14:textId="77777777" w:rsidR="004C64F8" w:rsidRPr="00EA1C85" w:rsidRDefault="004C64F8" w:rsidP="004C64F8">
      <w:pPr>
        <w:spacing w:line="480" w:lineRule="auto"/>
        <w:jc w:val="both"/>
        <w:rPr>
          <w:rFonts w:ascii="Times New Roman" w:hAnsi="Times New Roman" w:cs="Times New Roman"/>
          <w:color w:val="000000" w:themeColor="text1"/>
          <w:sz w:val="24"/>
          <w:szCs w:val="24"/>
        </w:rPr>
      </w:pPr>
    </w:p>
    <w:p w14:paraId="2F4E929B" w14:textId="77777777" w:rsidR="00674D41" w:rsidRDefault="00674D41"/>
    <w:sectPr w:rsidR="00674D41" w:rsidSect="007E742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6CA"/>
    <w:rsid w:val="00246247"/>
    <w:rsid w:val="004C64F8"/>
    <w:rsid w:val="005A66CA"/>
    <w:rsid w:val="00674D41"/>
    <w:rsid w:val="008905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2A012-0395-4156-89E8-187563A0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4F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C6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Rathidevi Canabadyramane (Integra)</dc:creator>
  <cp:keywords/>
  <dc:description/>
  <cp:lastModifiedBy>Rathidevi Canabadyramane (Integra)</cp:lastModifiedBy>
  <cp:revision>2</cp:revision>
  <dcterms:created xsi:type="dcterms:W3CDTF">2024-12-19T04:43:00Z</dcterms:created>
  <dcterms:modified xsi:type="dcterms:W3CDTF">2024-12-19T04:43:00Z</dcterms:modified>
</cp:coreProperties>
</file>