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5717D" w14:textId="77777777" w:rsidR="00034376" w:rsidRPr="00F91BEF" w:rsidRDefault="00034376" w:rsidP="00EA6F21">
      <w:pPr>
        <w:spacing w:after="240" w:line="360" w:lineRule="auto"/>
        <w:rPr>
          <w:rFonts w:ascii="Times New Roman" w:hAnsi="Times New Roman" w:cs="Times New Roman"/>
          <w:b/>
          <w:bCs/>
          <w:sz w:val="28"/>
          <w:szCs w:val="28"/>
        </w:rPr>
      </w:pPr>
      <w:r w:rsidRPr="00F91BEF">
        <w:rPr>
          <w:rFonts w:ascii="Times New Roman" w:hAnsi="Times New Roman" w:cs="Times New Roman"/>
          <w:b/>
          <w:bCs/>
          <w:sz w:val="28"/>
          <w:szCs w:val="28"/>
        </w:rPr>
        <w:t>Light and dark bi</w:t>
      </w:r>
      <w:bookmarkStart w:id="0" w:name="_GoBack"/>
      <w:bookmarkEnd w:id="0"/>
      <w:r w:rsidRPr="00F91BEF">
        <w:rPr>
          <w:rFonts w:ascii="Times New Roman" w:hAnsi="Times New Roman" w:cs="Times New Roman"/>
          <w:b/>
          <w:bCs/>
          <w:sz w:val="28"/>
          <w:szCs w:val="28"/>
        </w:rPr>
        <w:t xml:space="preserve">ofilm adaptation impacts larval settlement in diverse coral species </w:t>
      </w:r>
    </w:p>
    <w:p w14:paraId="085BCFEA" w14:textId="24C41CE5" w:rsidR="001A023F" w:rsidRDefault="00034376" w:rsidP="00EA6F21">
      <w:pPr>
        <w:spacing w:after="240" w:line="360" w:lineRule="auto"/>
        <w:rPr>
          <w:rFonts w:ascii="Times New Roman" w:hAnsi="Times New Roman" w:cs="Times New Roman"/>
          <w:vertAlign w:val="superscript"/>
        </w:rPr>
      </w:pPr>
      <w:r w:rsidRPr="00F91BEF">
        <w:rPr>
          <w:rFonts w:ascii="Times New Roman" w:hAnsi="Times New Roman" w:cs="Times New Roman"/>
        </w:rPr>
        <w:t xml:space="preserve">Paul A. O’Brien, Sara C. Bell, Laura Rix, Abigail C. </w:t>
      </w:r>
      <w:proofErr w:type="spellStart"/>
      <w:r w:rsidRPr="00F91BEF">
        <w:rPr>
          <w:rFonts w:ascii="Times New Roman" w:hAnsi="Times New Roman" w:cs="Times New Roman"/>
        </w:rPr>
        <w:t>Turnlund</w:t>
      </w:r>
      <w:proofErr w:type="spellEnd"/>
      <w:r w:rsidRPr="00F91BEF">
        <w:rPr>
          <w:rFonts w:ascii="Times New Roman" w:hAnsi="Times New Roman" w:cs="Times New Roman"/>
        </w:rPr>
        <w:t>, Shannon R. Kjeldsen, Nicole S. Webster, Andrew P. Negri, Muhammad Abdul Wahab, Inka Vanwonterghem</w:t>
      </w:r>
    </w:p>
    <w:p w14:paraId="3F7F4A1E" w14:textId="77777777" w:rsidR="00EA6F21" w:rsidRPr="00EA6F21" w:rsidRDefault="00EA6F21" w:rsidP="00EA6F21">
      <w:pPr>
        <w:spacing w:after="240" w:line="360" w:lineRule="auto"/>
        <w:rPr>
          <w:rFonts w:ascii="Times New Roman" w:hAnsi="Times New Roman" w:cs="Times New Roman"/>
          <w:vertAlign w:val="superscript"/>
        </w:rPr>
      </w:pPr>
    </w:p>
    <w:p w14:paraId="2941CD38" w14:textId="25A63F08" w:rsidR="00034376" w:rsidRPr="00034376" w:rsidRDefault="001A023F" w:rsidP="00EA6F21">
      <w:pPr>
        <w:spacing w:after="240" w:line="360" w:lineRule="auto"/>
        <w:rPr>
          <w:rFonts w:ascii="Times New Roman" w:hAnsi="Times New Roman" w:cs="Times New Roman"/>
          <w:b/>
          <w:bCs/>
          <w:sz w:val="24"/>
          <w:szCs w:val="24"/>
        </w:rPr>
      </w:pPr>
      <w:r>
        <w:rPr>
          <w:rFonts w:ascii="Times New Roman" w:hAnsi="Times New Roman" w:cs="Times New Roman"/>
          <w:b/>
          <w:bCs/>
          <w:sz w:val="24"/>
          <w:szCs w:val="24"/>
        </w:rPr>
        <w:t>Supplementary file 1</w:t>
      </w:r>
      <w:r w:rsidR="007F6F0A">
        <w:rPr>
          <w:rFonts w:ascii="Times New Roman" w:hAnsi="Times New Roman" w:cs="Times New Roman"/>
          <w:b/>
          <w:bCs/>
          <w:sz w:val="24"/>
          <w:szCs w:val="24"/>
        </w:rPr>
        <w:t xml:space="preserve"> - Methods</w:t>
      </w:r>
    </w:p>
    <w:p w14:paraId="5D44E1FD" w14:textId="34A1BF25" w:rsidR="00034376" w:rsidRPr="002259E8" w:rsidRDefault="00034376" w:rsidP="002259E8">
      <w:pPr>
        <w:pStyle w:val="TableText"/>
        <w:spacing w:after="240" w:line="360" w:lineRule="auto"/>
        <w:ind w:left="0" w:firstLine="0"/>
        <w:rPr>
          <w:rFonts w:ascii="Times New Roman" w:hAnsi="Times New Roman"/>
          <w:sz w:val="24"/>
        </w:rPr>
      </w:pPr>
      <w:r w:rsidRPr="00F91BEF">
        <w:rPr>
          <w:rFonts w:ascii="Times New Roman" w:hAnsi="Times New Roman"/>
          <w:i/>
          <w:iCs/>
          <w:sz w:val="24"/>
        </w:rPr>
        <w:t>Chemical extraction of biofilms</w:t>
      </w:r>
    </w:p>
    <w:p w14:paraId="369E8A0B" w14:textId="56C8D635" w:rsidR="00034376" w:rsidRPr="006A7053" w:rsidRDefault="00034376" w:rsidP="00EA6F21">
      <w:pPr>
        <w:pStyle w:val="TableText"/>
        <w:spacing w:after="240" w:line="360" w:lineRule="auto"/>
        <w:ind w:firstLine="648"/>
        <w:rPr>
          <w:rFonts w:ascii="Times New Roman" w:hAnsi="Times New Roman"/>
          <w:sz w:val="24"/>
        </w:rPr>
      </w:pPr>
      <w:r w:rsidRPr="00F91BEF">
        <w:rPr>
          <w:rFonts w:ascii="Times New Roman" w:hAnsi="Times New Roman"/>
          <w:sz w:val="24"/>
        </w:rPr>
        <w:t xml:space="preserve">To understand if chemical compounds from biofilms on the conditioned sheets would induce settlement, we performed chemical extractions on a subset of our 2M light treatment biofilms prior to spawning using two solvents: 1) ethanol (EtOH) for polar compounds and 2) dichloromethane (DCM) for hydrophobic compounds. For both the EtOH and DCM extractions, 15 conditioned tabs (14×14 mm) were collected from each replicate experimental tank and pooled, resulting in 45 tabs total. Settlement tabs were first rinsed in </w:t>
      </w:r>
      <w:r w:rsidR="00B81AB2">
        <w:rPr>
          <w:rFonts w:ascii="Times New Roman" w:hAnsi="Times New Roman"/>
          <w:sz w:val="24"/>
        </w:rPr>
        <w:t>reverse osmosis (</w:t>
      </w:r>
      <w:r w:rsidRPr="00F91BEF">
        <w:rPr>
          <w:rFonts w:ascii="Times New Roman" w:hAnsi="Times New Roman"/>
          <w:sz w:val="24"/>
        </w:rPr>
        <w:t>RO</w:t>
      </w:r>
      <w:r w:rsidR="00B81AB2">
        <w:rPr>
          <w:rFonts w:ascii="Times New Roman" w:hAnsi="Times New Roman"/>
          <w:sz w:val="24"/>
        </w:rPr>
        <w:t>) purified</w:t>
      </w:r>
      <w:r w:rsidRPr="00F91BEF">
        <w:rPr>
          <w:rFonts w:ascii="Times New Roman" w:hAnsi="Times New Roman"/>
          <w:sz w:val="24"/>
        </w:rPr>
        <w:t xml:space="preserve"> water to remove salts and those required for the DCM extraction were freeze</w:t>
      </w:r>
      <w:r w:rsidR="00B81AB2">
        <w:rPr>
          <w:rFonts w:ascii="Times New Roman" w:hAnsi="Times New Roman"/>
          <w:sz w:val="24"/>
        </w:rPr>
        <w:t>-</w:t>
      </w:r>
      <w:r w:rsidRPr="00F91BEF">
        <w:rPr>
          <w:rFonts w:ascii="Times New Roman" w:hAnsi="Times New Roman"/>
          <w:sz w:val="24"/>
        </w:rPr>
        <w:t xml:space="preserve">dried. Tabs were placed in a 250 mL Schott bottle pre-cleaned with acetone and 100 mL of either EtOH or DCM was added for extraction. Schott bottles were sonicated using a </w:t>
      </w:r>
      <w:proofErr w:type="spellStart"/>
      <w:r w:rsidRPr="00F91BEF">
        <w:rPr>
          <w:rFonts w:ascii="Times New Roman" w:hAnsi="Times New Roman"/>
          <w:sz w:val="24"/>
        </w:rPr>
        <w:t>sonicator</w:t>
      </w:r>
      <w:proofErr w:type="spellEnd"/>
      <w:r w:rsidRPr="00F91BEF">
        <w:rPr>
          <w:rFonts w:ascii="Times New Roman" w:hAnsi="Times New Roman"/>
          <w:sz w:val="24"/>
        </w:rPr>
        <w:t xml:space="preserve"> bath for 80 min and the solvent decanted into a new pre-cleaned 250 mL Schott and stored at -20°C. The extraction process was repeated by adding another 100 mL of either EtOH or DCM to the Schott bottles containing settlement tabs and sonicated for a further 80 min. Supernatants of the same solvent were combined and then filtered through a filter paper (Whatman; Grade 2, 8</w:t>
      </w:r>
      <w:r w:rsidR="00DD1FED">
        <w:rPr>
          <w:rFonts w:ascii="Times New Roman" w:hAnsi="Times New Roman"/>
          <w:sz w:val="24"/>
        </w:rPr>
        <w:t xml:space="preserve"> </w:t>
      </w:r>
      <w:r w:rsidRPr="00F91BEF">
        <w:rPr>
          <w:rFonts w:ascii="Times New Roman" w:hAnsi="Times New Roman"/>
          <w:sz w:val="24"/>
        </w:rPr>
        <w:t>µm) into a 500 mL round bottom flask, followed by rotatory evaporation and freeze</w:t>
      </w:r>
      <w:r w:rsidR="00B81AB2">
        <w:rPr>
          <w:rFonts w:ascii="Times New Roman" w:hAnsi="Times New Roman"/>
          <w:sz w:val="24"/>
        </w:rPr>
        <w:t>-</w:t>
      </w:r>
      <w:r w:rsidRPr="00F91BEF">
        <w:rPr>
          <w:rFonts w:ascii="Times New Roman" w:hAnsi="Times New Roman"/>
          <w:sz w:val="24"/>
        </w:rPr>
        <w:t>drying. Extracts were dissolved using EtOH followed by DCM (for both extraction solvents) and transferred to a pre-weighed scintillation vial. The volume of each vial was reduced using a stream of N</w:t>
      </w:r>
      <w:r w:rsidRPr="00F91BEF">
        <w:rPr>
          <w:rFonts w:ascii="Times New Roman" w:hAnsi="Times New Roman"/>
          <w:sz w:val="24"/>
          <w:vertAlign w:val="subscript"/>
        </w:rPr>
        <w:t>2</w:t>
      </w:r>
      <w:r w:rsidRPr="00F91BEF">
        <w:rPr>
          <w:rFonts w:ascii="Times New Roman" w:hAnsi="Times New Roman"/>
          <w:sz w:val="24"/>
        </w:rPr>
        <w:t>, freeze</w:t>
      </w:r>
      <w:r w:rsidR="00B81AB2">
        <w:rPr>
          <w:rFonts w:ascii="Times New Roman" w:hAnsi="Times New Roman"/>
          <w:sz w:val="24"/>
        </w:rPr>
        <w:t>-</w:t>
      </w:r>
      <w:r w:rsidRPr="00F91BEF">
        <w:rPr>
          <w:rFonts w:ascii="Times New Roman" w:hAnsi="Times New Roman"/>
          <w:sz w:val="24"/>
        </w:rPr>
        <w:t xml:space="preserve">dried and then weighed to calculate the mass of residue. Each extract was resuspended in 4.5 mL of EtOH </w:t>
      </w:r>
      <w:r w:rsidRPr="006A7053">
        <w:rPr>
          <w:rFonts w:ascii="Times New Roman" w:hAnsi="Times New Roman"/>
          <w:sz w:val="24"/>
        </w:rPr>
        <w:t>(proportional to 0.1 mL per settlement tile) and stored at -20°C. To create a negative control treatment, unconditioned settlement tabs (negative controls as described above) were extracted in parallel using the same method.</w:t>
      </w:r>
      <w:r w:rsidR="00C874D0">
        <w:rPr>
          <w:rFonts w:ascii="Times New Roman" w:hAnsi="Times New Roman"/>
          <w:sz w:val="24"/>
        </w:rPr>
        <w:t xml:space="preserve"> The final residue mass of each extraction was 0.222 g, 0.1618 g, 0.1549 g and 0.1293 g for DCM 2M-light, DCM unconditioned, EtOH 2M-light and EtOH unconditioned respectively.  </w:t>
      </w:r>
    </w:p>
    <w:p w14:paraId="699A3038" w14:textId="19D51CD9" w:rsidR="006A7053" w:rsidRPr="006A7053" w:rsidRDefault="006A7053" w:rsidP="00EA6F21">
      <w:pPr>
        <w:pStyle w:val="TableText"/>
        <w:spacing w:after="240" w:line="360" w:lineRule="auto"/>
        <w:ind w:left="0" w:firstLine="0"/>
        <w:rPr>
          <w:rFonts w:ascii="Times New Roman" w:hAnsi="Times New Roman"/>
          <w:i/>
          <w:iCs/>
          <w:sz w:val="24"/>
        </w:rPr>
      </w:pPr>
      <w:r w:rsidRPr="006A7053">
        <w:rPr>
          <w:rFonts w:ascii="Times New Roman" w:hAnsi="Times New Roman"/>
          <w:i/>
          <w:iCs/>
          <w:sz w:val="24"/>
        </w:rPr>
        <w:t>DNA extraction and sequencing</w:t>
      </w:r>
    </w:p>
    <w:p w14:paraId="0A150CBE" w14:textId="4629DA43" w:rsidR="006A7053" w:rsidRPr="006A7053" w:rsidRDefault="006A7053" w:rsidP="00DE00DD">
      <w:pPr>
        <w:spacing w:after="240" w:line="360" w:lineRule="auto"/>
        <w:ind w:firstLine="720"/>
        <w:jc w:val="both"/>
        <w:rPr>
          <w:rFonts w:ascii="Times New Roman" w:hAnsi="Times New Roman" w:cs="Times New Roman"/>
          <w:sz w:val="24"/>
          <w:szCs w:val="24"/>
        </w:rPr>
      </w:pPr>
      <w:r w:rsidRPr="006A7053">
        <w:rPr>
          <w:rFonts w:ascii="Times New Roman" w:hAnsi="Times New Roman" w:cs="Times New Roman"/>
          <w:sz w:val="24"/>
          <w:szCs w:val="24"/>
        </w:rPr>
        <w:lastRenderedPageBreak/>
        <w:t xml:space="preserve">Biofilm and larval samples were thawed on ice and DNA was extracted using the </w:t>
      </w:r>
      <w:proofErr w:type="spellStart"/>
      <w:r w:rsidRPr="006A7053">
        <w:rPr>
          <w:rFonts w:ascii="Times New Roman" w:hAnsi="Times New Roman" w:cs="Times New Roman"/>
          <w:sz w:val="24"/>
          <w:szCs w:val="24"/>
        </w:rPr>
        <w:t>DNeasy</w:t>
      </w:r>
      <w:proofErr w:type="spellEnd"/>
      <w:r w:rsidRPr="006A7053">
        <w:rPr>
          <w:rFonts w:ascii="Times New Roman" w:hAnsi="Times New Roman" w:cs="Times New Roman"/>
          <w:sz w:val="24"/>
          <w:szCs w:val="24"/>
        </w:rPr>
        <w:t xml:space="preserve"> </w:t>
      </w:r>
      <w:proofErr w:type="spellStart"/>
      <w:r w:rsidRPr="006A7053">
        <w:rPr>
          <w:rFonts w:ascii="Times New Roman" w:hAnsi="Times New Roman" w:cs="Times New Roman"/>
          <w:sz w:val="24"/>
          <w:szCs w:val="24"/>
        </w:rPr>
        <w:t>UltraClean</w:t>
      </w:r>
      <w:proofErr w:type="spellEnd"/>
      <w:r w:rsidRPr="006A7053">
        <w:rPr>
          <w:rFonts w:ascii="Times New Roman" w:hAnsi="Times New Roman" w:cs="Times New Roman"/>
          <w:sz w:val="24"/>
          <w:szCs w:val="24"/>
        </w:rPr>
        <w:t xml:space="preserve"> Microbial Kit (Qiagen) following the manufacturer</w:t>
      </w:r>
      <w:r w:rsidR="001A0B80">
        <w:rPr>
          <w:rFonts w:ascii="Times New Roman" w:hAnsi="Times New Roman" w:cs="Times New Roman"/>
          <w:sz w:val="24"/>
          <w:szCs w:val="24"/>
        </w:rPr>
        <w:t>’</w:t>
      </w:r>
      <w:r w:rsidRPr="006A7053">
        <w:rPr>
          <w:rFonts w:ascii="Times New Roman" w:hAnsi="Times New Roman" w:cs="Times New Roman"/>
          <w:sz w:val="24"/>
          <w:szCs w:val="24"/>
        </w:rPr>
        <w:t xml:space="preserve">s protocol. Blank extraction controls were extracted in parallel following the same protocol in the absence of a sample. Sterivex filters containing water samples were thawed and DNA extracted using a </w:t>
      </w:r>
      <w:proofErr w:type="spellStart"/>
      <w:r w:rsidRPr="006A7053">
        <w:rPr>
          <w:rFonts w:ascii="Times New Roman" w:hAnsi="Times New Roman" w:cs="Times New Roman"/>
          <w:sz w:val="24"/>
          <w:szCs w:val="24"/>
        </w:rPr>
        <w:t>Phenol:Chlorofom:Isoamyl</w:t>
      </w:r>
      <w:proofErr w:type="spellEnd"/>
      <w:r w:rsidRPr="006A7053">
        <w:rPr>
          <w:rFonts w:ascii="Times New Roman" w:hAnsi="Times New Roman" w:cs="Times New Roman"/>
          <w:sz w:val="24"/>
          <w:szCs w:val="24"/>
        </w:rPr>
        <w:t xml:space="preserve"> Alcohol protocol detailed in </w:t>
      </w:r>
      <w:sdt>
        <w:sdtPr>
          <w:rPr>
            <w:rFonts w:ascii="Times New Roman" w:hAnsi="Times New Roman" w:cs="Times New Roman"/>
            <w:color w:val="000000"/>
            <w:sz w:val="24"/>
            <w:szCs w:val="24"/>
          </w:rPr>
          <w:tag w:val="MENDELEY_CITATION_v3_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"/>
          <w:id w:val="2001229780"/>
          <w:placeholder>
            <w:docPart w:val="2B9FEBF48B5ED34FAB95F0AAC489CEDB"/>
          </w:placeholder>
        </w:sdtPr>
        <w:sdtEndPr/>
        <w:sdtContent>
          <w:proofErr w:type="spellStart"/>
          <w:r w:rsidR="002259E8" w:rsidRPr="002259E8">
            <w:rPr>
              <w:rFonts w:ascii="Times New Roman" w:eastAsia="Times New Roman" w:hAnsi="Times New Roman" w:cs="Times New Roman"/>
              <w:color w:val="000000"/>
              <w:sz w:val="24"/>
              <w:szCs w:val="24"/>
            </w:rPr>
            <w:t>Botté</w:t>
          </w:r>
          <w:proofErr w:type="spellEnd"/>
          <w:r w:rsidR="002259E8" w:rsidRPr="002259E8">
            <w:rPr>
              <w:rFonts w:ascii="Times New Roman" w:eastAsia="Times New Roman" w:hAnsi="Times New Roman" w:cs="Times New Roman"/>
              <w:color w:val="000000"/>
              <w:sz w:val="24"/>
              <w:szCs w:val="24"/>
            </w:rPr>
            <w:t xml:space="preserve"> et al., 2019</w:t>
          </w:r>
        </w:sdtContent>
      </w:sdt>
      <w:r w:rsidRPr="006A7053">
        <w:rPr>
          <w:rFonts w:ascii="Times New Roman" w:hAnsi="Times New Roman" w:cs="Times New Roman"/>
          <w:color w:val="000000"/>
          <w:sz w:val="24"/>
          <w:szCs w:val="24"/>
        </w:rPr>
        <w:t>,</w:t>
      </w:r>
      <w:r w:rsidRPr="006A7053">
        <w:rPr>
          <w:rFonts w:ascii="Times New Roman" w:eastAsia="Times New Roman" w:hAnsi="Times New Roman" w:cs="Times New Roman"/>
          <w:sz w:val="24"/>
          <w:szCs w:val="24"/>
        </w:rPr>
        <w:t xml:space="preserve"> with </w:t>
      </w:r>
      <w:r w:rsidR="00B81AB2">
        <w:rPr>
          <w:rFonts w:ascii="Times New Roman" w:eastAsia="Times New Roman" w:hAnsi="Times New Roman" w:cs="Times New Roman"/>
          <w:sz w:val="24"/>
          <w:szCs w:val="24"/>
        </w:rPr>
        <w:t>the</w:t>
      </w:r>
      <w:r w:rsidRPr="006A7053">
        <w:rPr>
          <w:rFonts w:ascii="Times New Roman" w:eastAsia="Times New Roman" w:hAnsi="Times New Roman" w:cs="Times New Roman"/>
          <w:sz w:val="24"/>
          <w:szCs w:val="24"/>
        </w:rPr>
        <w:t xml:space="preserve"> addition of</w:t>
      </w:r>
      <w:r w:rsidRPr="006A7053">
        <w:rPr>
          <w:rFonts w:ascii="Times New Roman" w:hAnsi="Times New Roman" w:cs="Times New Roman"/>
          <w:color w:val="000000"/>
          <w:sz w:val="24"/>
          <w:szCs w:val="24"/>
        </w:rPr>
        <w:t xml:space="preserve"> </w:t>
      </w:r>
      <w:r w:rsidRPr="006A7053">
        <w:rPr>
          <w:rFonts w:ascii="Times New Roman" w:eastAsia="Times New Roman" w:hAnsi="Times New Roman" w:cs="Times New Roman"/>
          <w:sz w:val="24"/>
          <w:szCs w:val="24"/>
        </w:rPr>
        <w:t>18µl of 100mg/ml lysozyme to the lysis buffer</w:t>
      </w:r>
      <w:r w:rsidRPr="006A7053">
        <w:rPr>
          <w:rFonts w:ascii="Times New Roman" w:hAnsi="Times New Roman" w:cs="Times New Roman"/>
          <w:color w:val="000000"/>
          <w:sz w:val="24"/>
          <w:szCs w:val="24"/>
        </w:rPr>
        <w:t xml:space="preserve"> and initial incubation at 37°C for one hour</w:t>
      </w:r>
      <w:r w:rsidRPr="006A7053">
        <w:rPr>
          <w:rFonts w:ascii="Times New Roman" w:hAnsi="Times New Roman" w:cs="Times New Roman"/>
          <w:sz w:val="24"/>
          <w:szCs w:val="24"/>
        </w:rPr>
        <w:t xml:space="preserve">. DNA was quantified using a Qubit fluorometer, quality checked using a </w:t>
      </w:r>
      <w:proofErr w:type="spellStart"/>
      <w:r w:rsidRPr="006A7053">
        <w:rPr>
          <w:rFonts w:ascii="Times New Roman" w:hAnsi="Times New Roman" w:cs="Times New Roman"/>
          <w:sz w:val="24"/>
          <w:szCs w:val="24"/>
        </w:rPr>
        <w:t>NanoDrop</w:t>
      </w:r>
      <w:proofErr w:type="spellEnd"/>
      <w:r w:rsidRPr="006A7053">
        <w:rPr>
          <w:rFonts w:ascii="Times New Roman" w:hAnsi="Times New Roman" w:cs="Times New Roman"/>
          <w:sz w:val="24"/>
          <w:szCs w:val="24"/>
        </w:rPr>
        <w:t xml:space="preserve"> spectrophotometer (</w:t>
      </w:r>
      <w:proofErr w:type="spellStart"/>
      <w:r w:rsidRPr="006A7053">
        <w:rPr>
          <w:rFonts w:ascii="Times New Roman" w:hAnsi="Times New Roman" w:cs="Times New Roman"/>
          <w:sz w:val="24"/>
          <w:szCs w:val="24"/>
        </w:rPr>
        <w:t>ThermoFisher</w:t>
      </w:r>
      <w:proofErr w:type="spellEnd"/>
      <w:r w:rsidRPr="006A7053">
        <w:rPr>
          <w:rFonts w:ascii="Times New Roman" w:hAnsi="Times New Roman" w:cs="Times New Roman"/>
          <w:sz w:val="24"/>
          <w:szCs w:val="24"/>
        </w:rPr>
        <w:t>) and checked for PCR amplification prior to sequencing.</w:t>
      </w:r>
    </w:p>
    <w:p w14:paraId="01E67734" w14:textId="77777777" w:rsidR="002259E8" w:rsidRDefault="006A7053" w:rsidP="00DE00DD">
      <w:pPr>
        <w:spacing w:after="240" w:line="360" w:lineRule="auto"/>
        <w:ind w:firstLine="720"/>
        <w:jc w:val="both"/>
        <w:rPr>
          <w:rFonts w:ascii="Times New Roman" w:hAnsi="Times New Roman" w:cs="Times New Roman"/>
          <w:sz w:val="24"/>
          <w:szCs w:val="24"/>
        </w:rPr>
      </w:pPr>
      <w:r w:rsidRPr="006A7053">
        <w:rPr>
          <w:rFonts w:ascii="Times New Roman" w:eastAsia="Times" w:hAnsi="Times New Roman" w:cs="Times New Roman"/>
          <w:sz w:val="24"/>
          <w:szCs w:val="24"/>
        </w:rPr>
        <w:t xml:space="preserve">16S rRNA amplicon sequencing (2 x 300bp) was conducted at the Australian Centre </w:t>
      </w:r>
      <w:r w:rsidRPr="006A7053">
        <w:rPr>
          <w:rFonts w:ascii="Times New Roman" w:eastAsia="Times" w:hAnsi="Times New Roman" w:cs="Times New Roman"/>
          <w:color w:val="000000" w:themeColor="text1"/>
          <w:sz w:val="24"/>
          <w:szCs w:val="24"/>
        </w:rPr>
        <w:t xml:space="preserve">for </w:t>
      </w:r>
      <w:proofErr w:type="spellStart"/>
      <w:r w:rsidRPr="006A7053">
        <w:rPr>
          <w:rFonts w:ascii="Times New Roman" w:eastAsia="Times" w:hAnsi="Times New Roman" w:cs="Times New Roman"/>
          <w:color w:val="000000" w:themeColor="text1"/>
          <w:sz w:val="24"/>
          <w:szCs w:val="24"/>
        </w:rPr>
        <w:t>Ecogenomics</w:t>
      </w:r>
      <w:proofErr w:type="spellEnd"/>
      <w:r w:rsidRPr="006A7053">
        <w:rPr>
          <w:rFonts w:ascii="Times New Roman" w:eastAsia="Times" w:hAnsi="Times New Roman" w:cs="Times New Roman"/>
          <w:color w:val="000000" w:themeColor="text1"/>
          <w:sz w:val="24"/>
          <w:szCs w:val="24"/>
        </w:rPr>
        <w:t xml:space="preserve"> (ACE) on the Illumina </w:t>
      </w:r>
      <w:proofErr w:type="spellStart"/>
      <w:r w:rsidRPr="006A7053">
        <w:rPr>
          <w:rFonts w:ascii="Times New Roman" w:eastAsia="Times" w:hAnsi="Times New Roman" w:cs="Times New Roman"/>
          <w:color w:val="000000" w:themeColor="text1"/>
          <w:sz w:val="24"/>
          <w:szCs w:val="24"/>
        </w:rPr>
        <w:t>MiSeq</w:t>
      </w:r>
      <w:proofErr w:type="spellEnd"/>
      <w:r w:rsidRPr="006A7053">
        <w:rPr>
          <w:rFonts w:ascii="Times New Roman" w:eastAsia="Times" w:hAnsi="Times New Roman" w:cs="Times New Roman"/>
          <w:color w:val="000000" w:themeColor="text1"/>
          <w:sz w:val="24"/>
          <w:szCs w:val="24"/>
        </w:rPr>
        <w:t xml:space="preserve"> (v3) platform using the modified V4 region primer set, 515F (GTGYCAGCMGCCGCGGTAA) </w:t>
      </w:r>
      <w:sdt>
        <w:sdtPr>
          <w:rPr>
            <w:rFonts w:ascii="Times New Roman" w:eastAsia="Times" w:hAnsi="Times New Roman" w:cs="Times New Roman"/>
            <w:color w:val="000000"/>
            <w:sz w:val="24"/>
            <w:szCs w:val="24"/>
          </w:rPr>
          <w:tag w:val="MENDELEY_CITATION_v3_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"/>
          <w:id w:val="837043470"/>
          <w:placeholder>
            <w:docPart w:val="DefaultPlaceholder_-1854013440"/>
          </w:placeholder>
        </w:sdtPr>
        <w:sdtEndPr/>
        <w:sdtContent>
          <w:r w:rsidR="002259E8" w:rsidRPr="002259E8">
            <w:rPr>
              <w:rFonts w:ascii="Times New Roman" w:eastAsia="Times" w:hAnsi="Times New Roman" w:cs="Times New Roman"/>
              <w:color w:val="000000"/>
              <w:sz w:val="24"/>
              <w:szCs w:val="24"/>
            </w:rPr>
            <w:t>(Parada et al., 2016)</w:t>
          </w:r>
        </w:sdtContent>
      </w:sdt>
      <w:r w:rsidRPr="006A7053">
        <w:rPr>
          <w:rFonts w:ascii="Times New Roman" w:eastAsia="Times" w:hAnsi="Times New Roman" w:cs="Times New Roman"/>
          <w:color w:val="000000" w:themeColor="text1"/>
          <w:sz w:val="24"/>
          <w:szCs w:val="24"/>
        </w:rPr>
        <w:t xml:space="preserve"> and 806R (GGACTACNVGGGTWTCTAAT) </w:t>
      </w:r>
      <w:sdt>
        <w:sdtPr>
          <w:rPr>
            <w:rFonts w:ascii="Times New Roman" w:eastAsia="Times" w:hAnsi="Times New Roman" w:cs="Times New Roman"/>
            <w:color w:val="000000"/>
            <w:sz w:val="24"/>
            <w:szCs w:val="24"/>
          </w:rPr>
          <w:tag w:val="MENDELEY_CITATION_v3_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"/>
          <w:id w:val="-2121290766"/>
          <w:placeholder>
            <w:docPart w:val="DefaultPlaceholder_-1854013440"/>
          </w:placeholder>
        </w:sdtPr>
        <w:sdtEndPr/>
        <w:sdtContent>
          <w:r w:rsidR="002259E8" w:rsidRPr="002259E8">
            <w:rPr>
              <w:rFonts w:ascii="Times New Roman" w:eastAsia="Times" w:hAnsi="Times New Roman" w:cs="Times New Roman"/>
              <w:color w:val="000000"/>
              <w:sz w:val="24"/>
              <w:szCs w:val="24"/>
            </w:rPr>
            <w:t>(</w:t>
          </w:r>
          <w:proofErr w:type="spellStart"/>
          <w:r w:rsidR="002259E8" w:rsidRPr="002259E8">
            <w:rPr>
              <w:rFonts w:ascii="Times New Roman" w:eastAsia="Times" w:hAnsi="Times New Roman" w:cs="Times New Roman"/>
              <w:color w:val="000000"/>
              <w:sz w:val="24"/>
              <w:szCs w:val="24"/>
            </w:rPr>
            <w:t>Apprill</w:t>
          </w:r>
          <w:proofErr w:type="spellEnd"/>
          <w:r w:rsidR="002259E8" w:rsidRPr="002259E8">
            <w:rPr>
              <w:rFonts w:ascii="Times New Roman" w:eastAsia="Times" w:hAnsi="Times New Roman" w:cs="Times New Roman"/>
              <w:color w:val="000000"/>
              <w:sz w:val="24"/>
              <w:szCs w:val="24"/>
            </w:rPr>
            <w:t xml:space="preserve"> et al., 2015)</w:t>
          </w:r>
        </w:sdtContent>
      </w:sdt>
      <w:r w:rsidRPr="006A7053">
        <w:rPr>
          <w:rFonts w:ascii="Times New Roman" w:eastAsia="Times" w:hAnsi="Times New Roman" w:cs="Times New Roman"/>
          <w:color w:val="000000" w:themeColor="text1"/>
          <w:sz w:val="24"/>
          <w:szCs w:val="24"/>
        </w:rPr>
        <w:t xml:space="preserve">. Preparation of the 16S library was performed following the Illumina # </w:t>
      </w:r>
      <w:r w:rsidRPr="006A7053">
        <w:rPr>
          <w:rFonts w:ascii="Times New Roman" w:hAnsi="Times New Roman" w:cs="Times New Roman"/>
          <w:sz w:val="24"/>
          <w:szCs w:val="24"/>
        </w:rPr>
        <w:t xml:space="preserve">15044223 Rev. B protocol with an alteration in polymerase used to substitute </w:t>
      </w:r>
      <w:proofErr w:type="spellStart"/>
      <w:r w:rsidRPr="006A7053">
        <w:rPr>
          <w:rFonts w:ascii="Times New Roman" w:hAnsi="Times New Roman" w:cs="Times New Roman"/>
          <w:sz w:val="24"/>
          <w:szCs w:val="24"/>
        </w:rPr>
        <w:t>NEBNext</w:t>
      </w:r>
      <w:proofErr w:type="spellEnd"/>
      <w:r w:rsidRPr="006A7053">
        <w:rPr>
          <w:rFonts w:ascii="Times New Roman" w:hAnsi="Times New Roman" w:cs="Times New Roman"/>
          <w:sz w:val="24"/>
          <w:szCs w:val="24"/>
        </w:rPr>
        <w:t xml:space="preserve">® Ultra™ II Q5® </w:t>
      </w:r>
      <w:proofErr w:type="spellStart"/>
      <w:r w:rsidRPr="006A7053">
        <w:rPr>
          <w:rFonts w:ascii="Times New Roman" w:hAnsi="Times New Roman" w:cs="Times New Roman"/>
          <w:sz w:val="24"/>
          <w:szCs w:val="24"/>
        </w:rPr>
        <w:t>Mastermix</w:t>
      </w:r>
      <w:proofErr w:type="spellEnd"/>
      <w:r w:rsidRPr="006A7053">
        <w:rPr>
          <w:rFonts w:ascii="Times New Roman" w:hAnsi="Times New Roman" w:cs="Times New Roman"/>
          <w:sz w:val="24"/>
          <w:szCs w:val="24"/>
        </w:rPr>
        <w:t xml:space="preserve"> (New England </w:t>
      </w:r>
      <w:proofErr w:type="spellStart"/>
      <w:r w:rsidRPr="006A7053">
        <w:rPr>
          <w:rFonts w:ascii="Times New Roman" w:hAnsi="Times New Roman" w:cs="Times New Roman"/>
          <w:sz w:val="24"/>
          <w:szCs w:val="24"/>
        </w:rPr>
        <w:t>Biolabs</w:t>
      </w:r>
      <w:proofErr w:type="spellEnd"/>
      <w:r w:rsidRPr="006A7053">
        <w:rPr>
          <w:rFonts w:ascii="Times New Roman" w:hAnsi="Times New Roman" w:cs="Times New Roman"/>
          <w:sz w:val="24"/>
          <w:szCs w:val="24"/>
        </w:rPr>
        <w:t xml:space="preserve"> #M0544) in standard PCR conditions. </w:t>
      </w:r>
    </w:p>
    <w:p w14:paraId="0E7A1916" w14:textId="5BE1D648" w:rsidR="00DD1FED" w:rsidRPr="002259E8" w:rsidRDefault="001A023F" w:rsidP="00EA6F21">
      <w:pPr>
        <w:spacing w:after="240" w:line="360" w:lineRule="auto"/>
        <w:jc w:val="both"/>
        <w:rPr>
          <w:rFonts w:ascii="Times New Roman" w:hAnsi="Times New Roman" w:cs="Times New Roman"/>
          <w:sz w:val="24"/>
          <w:szCs w:val="24"/>
        </w:rPr>
      </w:pPr>
      <w:r w:rsidRPr="007F6F0A">
        <w:rPr>
          <w:rFonts w:ascii="Times New Roman" w:hAnsi="Times New Roman" w:cs="Times New Roman"/>
          <w:b/>
          <w:bCs/>
          <w:sz w:val="24"/>
          <w:szCs w:val="24"/>
        </w:rPr>
        <w:t xml:space="preserve">Buffers </w:t>
      </w:r>
      <w:r w:rsidR="007A212B">
        <w:rPr>
          <w:rFonts w:ascii="Times New Roman" w:hAnsi="Times New Roman" w:cs="Times New Roman"/>
          <w:b/>
          <w:bCs/>
          <w:sz w:val="24"/>
          <w:szCs w:val="24"/>
        </w:rPr>
        <w:t xml:space="preserve">and reagents </w:t>
      </w:r>
      <w:r w:rsidRPr="007F6F0A">
        <w:rPr>
          <w:rFonts w:ascii="Times New Roman" w:hAnsi="Times New Roman" w:cs="Times New Roman"/>
          <w:b/>
          <w:bCs/>
          <w:sz w:val="24"/>
          <w:szCs w:val="24"/>
        </w:rPr>
        <w:t>use to process</w:t>
      </w:r>
      <w:r w:rsidR="00516B43" w:rsidRPr="007F6F0A">
        <w:rPr>
          <w:rFonts w:ascii="Times New Roman" w:hAnsi="Times New Roman" w:cs="Times New Roman"/>
          <w:b/>
          <w:bCs/>
          <w:sz w:val="24"/>
          <w:szCs w:val="24"/>
        </w:rPr>
        <w:t xml:space="preserve"> </w:t>
      </w:r>
      <w:r w:rsidR="00DD1FED">
        <w:rPr>
          <w:rFonts w:ascii="Times New Roman" w:hAnsi="Times New Roman" w:cs="Times New Roman"/>
          <w:b/>
          <w:bCs/>
          <w:sz w:val="24"/>
          <w:szCs w:val="24"/>
        </w:rPr>
        <w:t>biofilms</w:t>
      </w:r>
      <w:r w:rsidR="00516B43" w:rsidRPr="007F6F0A">
        <w:rPr>
          <w:rFonts w:ascii="Times New Roman" w:hAnsi="Times New Roman" w:cs="Times New Roman"/>
          <w:b/>
          <w:bCs/>
          <w:sz w:val="24"/>
          <w:szCs w:val="24"/>
        </w:rPr>
        <w:t xml:space="preserve"> from</w:t>
      </w:r>
      <w:r w:rsidRPr="007F6F0A">
        <w:rPr>
          <w:rFonts w:ascii="Times New Roman" w:hAnsi="Times New Roman" w:cs="Times New Roman"/>
          <w:b/>
          <w:bCs/>
          <w:sz w:val="24"/>
          <w:szCs w:val="24"/>
        </w:rPr>
        <w:t xml:space="preserve"> settlement t</w:t>
      </w:r>
      <w:r w:rsidR="00BA2076">
        <w:rPr>
          <w:rFonts w:ascii="Times New Roman" w:hAnsi="Times New Roman" w:cs="Times New Roman"/>
          <w:b/>
          <w:bCs/>
          <w:sz w:val="24"/>
          <w:szCs w:val="24"/>
        </w:rPr>
        <w:t>abs</w:t>
      </w:r>
    </w:p>
    <w:p w14:paraId="16884980" w14:textId="530652F3" w:rsidR="00516B43" w:rsidRPr="007A212B" w:rsidRDefault="00361968" w:rsidP="007A212B">
      <w:pPr>
        <w:spacing w:after="120" w:line="240" w:lineRule="auto"/>
        <w:jc w:val="both"/>
        <w:rPr>
          <w:rFonts w:ascii="Times New Roman" w:hAnsi="Times New Roman" w:cs="Times New Roman"/>
          <w:b/>
          <w:bCs/>
          <w:sz w:val="24"/>
          <w:szCs w:val="24"/>
        </w:rPr>
      </w:pPr>
      <w:r w:rsidRPr="007A212B">
        <w:rPr>
          <w:rFonts w:ascii="Times New Roman" w:hAnsi="Times New Roman" w:cs="Times New Roman"/>
          <w:b/>
          <w:bCs/>
          <w:sz w:val="24"/>
          <w:szCs w:val="24"/>
        </w:rPr>
        <w:t>C</w:t>
      </w:r>
      <w:r w:rsidR="00516B43" w:rsidRPr="007A212B">
        <w:rPr>
          <w:rFonts w:ascii="Times New Roman" w:hAnsi="Times New Roman" w:cs="Times New Roman"/>
          <w:b/>
          <w:bCs/>
          <w:sz w:val="24"/>
          <w:szCs w:val="24"/>
        </w:rPr>
        <w:t>ell separation buffer</w:t>
      </w:r>
    </w:p>
    <w:p w14:paraId="7A715D19" w14:textId="77777777" w:rsidR="00516B43" w:rsidRPr="007A212B" w:rsidRDefault="00516B43" w:rsidP="007A212B">
      <w:pPr>
        <w:pStyle w:val="NoSpacing"/>
        <w:spacing w:after="120"/>
        <w:jc w:val="both"/>
        <w:rPr>
          <w:rFonts w:ascii="Times New Roman" w:hAnsi="Times New Roman" w:cs="Times New Roman"/>
          <w:sz w:val="24"/>
          <w:szCs w:val="24"/>
        </w:rPr>
      </w:pPr>
      <w:r w:rsidRPr="007A212B">
        <w:rPr>
          <w:rFonts w:ascii="Times New Roman" w:hAnsi="Times New Roman" w:cs="Times New Roman"/>
          <w:sz w:val="24"/>
          <w:szCs w:val="24"/>
        </w:rPr>
        <w:t>350mg PVP</w:t>
      </w:r>
    </w:p>
    <w:p w14:paraId="35A1F149" w14:textId="77777777" w:rsidR="00516B43" w:rsidRPr="007A212B" w:rsidRDefault="00516B43" w:rsidP="007A212B">
      <w:pPr>
        <w:pStyle w:val="NoSpacing"/>
        <w:spacing w:after="120"/>
        <w:jc w:val="both"/>
        <w:rPr>
          <w:rFonts w:ascii="Times New Roman" w:hAnsi="Times New Roman" w:cs="Times New Roman"/>
          <w:sz w:val="24"/>
          <w:szCs w:val="24"/>
        </w:rPr>
      </w:pPr>
      <w:r w:rsidRPr="007A212B">
        <w:rPr>
          <w:rFonts w:ascii="Times New Roman" w:hAnsi="Times New Roman" w:cs="Times New Roman"/>
          <w:sz w:val="24"/>
          <w:szCs w:val="24"/>
        </w:rPr>
        <w:t>133.9mg Sodium pyrophosphate</w:t>
      </w:r>
    </w:p>
    <w:p w14:paraId="364DC1EC" w14:textId="06A5D943" w:rsidR="00516B43" w:rsidRPr="007A212B" w:rsidRDefault="00516B43" w:rsidP="007A212B">
      <w:pPr>
        <w:pStyle w:val="NoSpacing"/>
        <w:spacing w:after="120"/>
        <w:jc w:val="both"/>
        <w:rPr>
          <w:rFonts w:ascii="Times New Roman" w:hAnsi="Times New Roman" w:cs="Times New Roman"/>
          <w:sz w:val="24"/>
          <w:szCs w:val="24"/>
        </w:rPr>
      </w:pPr>
      <w:r w:rsidRPr="007A212B">
        <w:rPr>
          <w:rFonts w:ascii="Times New Roman" w:hAnsi="Times New Roman" w:cs="Times New Roman"/>
          <w:sz w:val="24"/>
          <w:szCs w:val="24"/>
        </w:rPr>
        <w:t xml:space="preserve">To 100ml with CMFSW </w:t>
      </w:r>
    </w:p>
    <w:p w14:paraId="3B9C3C1E" w14:textId="7C5D206A" w:rsidR="00724FAC" w:rsidRPr="007A212B" w:rsidRDefault="00724FAC" w:rsidP="007A212B">
      <w:pPr>
        <w:pStyle w:val="NoSpacing"/>
        <w:spacing w:after="120"/>
        <w:jc w:val="both"/>
        <w:rPr>
          <w:rFonts w:ascii="Times New Roman" w:hAnsi="Times New Roman" w:cs="Times New Roman"/>
          <w:sz w:val="24"/>
          <w:szCs w:val="24"/>
        </w:rPr>
      </w:pPr>
      <w:r w:rsidRPr="007A212B">
        <w:rPr>
          <w:rFonts w:ascii="Times New Roman" w:hAnsi="Times New Roman" w:cs="Times New Roman"/>
          <w:sz w:val="24"/>
          <w:szCs w:val="24"/>
        </w:rPr>
        <w:t xml:space="preserve">Dissolve by mixing and warming and split into 2 x 100mL </w:t>
      </w:r>
      <w:proofErr w:type="spellStart"/>
      <w:r w:rsidRPr="007A212B">
        <w:rPr>
          <w:rFonts w:ascii="Times New Roman" w:hAnsi="Times New Roman" w:cs="Times New Roman"/>
          <w:sz w:val="24"/>
          <w:szCs w:val="24"/>
        </w:rPr>
        <w:t>schott</w:t>
      </w:r>
      <w:proofErr w:type="spellEnd"/>
      <w:r w:rsidRPr="007A212B">
        <w:rPr>
          <w:rFonts w:ascii="Times New Roman" w:hAnsi="Times New Roman" w:cs="Times New Roman"/>
          <w:sz w:val="24"/>
          <w:szCs w:val="24"/>
        </w:rPr>
        <w:t xml:space="preserve"> bottles to autoclave</w:t>
      </w:r>
    </w:p>
    <w:p w14:paraId="175101DA" w14:textId="1BB17C45" w:rsidR="00516B43" w:rsidRPr="007A212B" w:rsidRDefault="00516B43" w:rsidP="007A212B">
      <w:pPr>
        <w:pStyle w:val="NoSpacing"/>
        <w:spacing w:after="120"/>
        <w:jc w:val="both"/>
        <w:rPr>
          <w:rFonts w:ascii="Times New Roman" w:hAnsi="Times New Roman" w:cs="Times New Roman"/>
          <w:sz w:val="24"/>
          <w:szCs w:val="24"/>
        </w:rPr>
      </w:pPr>
      <w:r w:rsidRPr="007A212B">
        <w:rPr>
          <w:rFonts w:ascii="Times New Roman" w:hAnsi="Times New Roman" w:cs="Times New Roman"/>
          <w:sz w:val="24"/>
          <w:szCs w:val="24"/>
        </w:rPr>
        <w:t>Add 500ul Tween 20 after autoclaving</w:t>
      </w:r>
      <w:r w:rsidR="00724FAC" w:rsidRPr="007A212B">
        <w:rPr>
          <w:rFonts w:ascii="Times New Roman" w:hAnsi="Times New Roman" w:cs="Times New Roman"/>
          <w:sz w:val="24"/>
          <w:szCs w:val="24"/>
        </w:rPr>
        <w:t xml:space="preserve"> – mix gently</w:t>
      </w:r>
    </w:p>
    <w:p w14:paraId="2B0A4D40" w14:textId="45426478" w:rsidR="00724FAC" w:rsidRPr="007A212B" w:rsidRDefault="00724FAC" w:rsidP="007A212B">
      <w:pPr>
        <w:pStyle w:val="NoSpacing"/>
        <w:spacing w:after="120"/>
        <w:jc w:val="both"/>
        <w:rPr>
          <w:rFonts w:ascii="Times New Roman" w:hAnsi="Times New Roman" w:cs="Times New Roman"/>
          <w:sz w:val="24"/>
          <w:szCs w:val="24"/>
        </w:rPr>
      </w:pPr>
    </w:p>
    <w:p w14:paraId="452B1075" w14:textId="3BBE42EA" w:rsidR="007A212B" w:rsidRPr="007A212B" w:rsidRDefault="006A7053" w:rsidP="007A212B">
      <w:pPr>
        <w:spacing w:after="120" w:line="240" w:lineRule="auto"/>
        <w:rPr>
          <w:rFonts w:ascii="Times New Roman" w:hAnsi="Times New Roman" w:cs="Times New Roman"/>
          <w:b/>
          <w:sz w:val="24"/>
          <w:szCs w:val="24"/>
        </w:rPr>
      </w:pPr>
      <w:r w:rsidRPr="007A212B">
        <w:rPr>
          <w:rFonts w:ascii="Times New Roman" w:hAnsi="Times New Roman" w:cs="Times New Roman"/>
          <w:b/>
          <w:bCs/>
          <w:sz w:val="24"/>
          <w:szCs w:val="24"/>
        </w:rPr>
        <w:t>Lysis buffer</w:t>
      </w:r>
      <w:r w:rsidR="007A212B" w:rsidRPr="007A212B">
        <w:rPr>
          <w:rFonts w:ascii="Times New Roman" w:hAnsi="Times New Roman" w:cs="Times New Roman"/>
          <w:b/>
          <w:sz w:val="24"/>
          <w:szCs w:val="24"/>
        </w:rPr>
        <w:t xml:space="preserve"> </w:t>
      </w:r>
    </w:p>
    <w:p w14:paraId="2EE0C590" w14:textId="77777777" w:rsidR="007A212B" w:rsidRPr="007A212B" w:rsidRDefault="007A212B" w:rsidP="007A212B">
      <w:pPr>
        <w:spacing w:after="120" w:line="240" w:lineRule="auto"/>
        <w:rPr>
          <w:rFonts w:ascii="Times New Roman" w:hAnsi="Times New Roman" w:cs="Times New Roman"/>
          <w:sz w:val="24"/>
          <w:szCs w:val="24"/>
        </w:rPr>
      </w:pPr>
      <w:r w:rsidRPr="007A212B">
        <w:rPr>
          <w:rFonts w:ascii="Times New Roman" w:hAnsi="Times New Roman" w:cs="Times New Roman"/>
          <w:sz w:val="24"/>
          <w:szCs w:val="24"/>
        </w:rPr>
        <w:t>5 mL 1 M Tris-HCl (pH 8.0)</w:t>
      </w:r>
    </w:p>
    <w:p w14:paraId="7320E370" w14:textId="045E4098" w:rsidR="007A212B" w:rsidRPr="007A212B" w:rsidRDefault="007A212B" w:rsidP="007A212B">
      <w:pPr>
        <w:spacing w:after="120" w:line="240" w:lineRule="auto"/>
        <w:rPr>
          <w:rFonts w:ascii="Times New Roman" w:hAnsi="Times New Roman" w:cs="Times New Roman"/>
          <w:sz w:val="24"/>
          <w:szCs w:val="24"/>
        </w:rPr>
      </w:pPr>
      <w:r w:rsidRPr="007A212B">
        <w:rPr>
          <w:rFonts w:ascii="Times New Roman" w:hAnsi="Times New Roman" w:cs="Times New Roman"/>
          <w:sz w:val="24"/>
          <w:szCs w:val="24"/>
        </w:rPr>
        <w:t>8 ml 0.5 M EDTA (pH 8.0)</w:t>
      </w:r>
    </w:p>
    <w:p w14:paraId="20E76A52" w14:textId="77777777" w:rsidR="007A212B" w:rsidRPr="007A212B" w:rsidRDefault="007A212B" w:rsidP="007A212B">
      <w:pPr>
        <w:spacing w:after="120" w:line="240" w:lineRule="auto"/>
        <w:rPr>
          <w:rFonts w:ascii="Times New Roman" w:hAnsi="Times New Roman" w:cs="Times New Roman"/>
          <w:sz w:val="24"/>
          <w:szCs w:val="24"/>
        </w:rPr>
      </w:pPr>
      <w:r w:rsidRPr="007A212B">
        <w:rPr>
          <w:rFonts w:ascii="Times New Roman" w:hAnsi="Times New Roman" w:cs="Times New Roman"/>
          <w:sz w:val="24"/>
          <w:szCs w:val="24"/>
        </w:rPr>
        <w:t>25.6 g Sucrose</w:t>
      </w:r>
    </w:p>
    <w:p w14:paraId="379DB1D7" w14:textId="77777777" w:rsidR="007A212B" w:rsidRPr="007A212B" w:rsidRDefault="007A212B" w:rsidP="007A212B">
      <w:pPr>
        <w:spacing w:after="120" w:line="240" w:lineRule="auto"/>
        <w:rPr>
          <w:rFonts w:ascii="Times New Roman" w:hAnsi="Times New Roman" w:cs="Times New Roman"/>
          <w:sz w:val="24"/>
          <w:szCs w:val="24"/>
        </w:rPr>
      </w:pPr>
      <w:r w:rsidRPr="007A212B">
        <w:rPr>
          <w:rFonts w:ascii="Times New Roman" w:hAnsi="Times New Roman" w:cs="Times New Roman"/>
          <w:sz w:val="24"/>
          <w:szCs w:val="24"/>
        </w:rPr>
        <w:t>Make up to 100 mL with MQ Water</w:t>
      </w:r>
    </w:p>
    <w:p w14:paraId="62C437A6" w14:textId="71507B78" w:rsidR="007A212B" w:rsidRPr="007A212B" w:rsidRDefault="007A212B" w:rsidP="007A212B">
      <w:pPr>
        <w:spacing w:after="120" w:line="240" w:lineRule="auto"/>
        <w:rPr>
          <w:rFonts w:ascii="Times New Roman" w:hAnsi="Times New Roman" w:cs="Times New Roman"/>
          <w:sz w:val="24"/>
          <w:szCs w:val="24"/>
        </w:rPr>
      </w:pPr>
      <w:r w:rsidRPr="007A212B">
        <w:rPr>
          <w:rFonts w:ascii="Times New Roman" w:hAnsi="Times New Roman" w:cs="Times New Roman"/>
          <w:sz w:val="24"/>
          <w:szCs w:val="24"/>
        </w:rPr>
        <w:t>Filter Sterilize (0.22 µm) into 2 x 50 mL falcon tubes</w:t>
      </w:r>
    </w:p>
    <w:p w14:paraId="62C393F8" w14:textId="77777777" w:rsidR="007A212B" w:rsidRPr="002259E8" w:rsidRDefault="007A212B" w:rsidP="007A212B">
      <w:pPr>
        <w:spacing w:after="120" w:line="240" w:lineRule="auto"/>
        <w:rPr>
          <w:rFonts w:ascii="Times New Roman" w:hAnsi="Times New Roman" w:cs="Times New Roman"/>
          <w:sz w:val="24"/>
          <w:szCs w:val="24"/>
        </w:rPr>
      </w:pPr>
    </w:p>
    <w:p w14:paraId="1C97D91D" w14:textId="418437E4" w:rsidR="007A212B" w:rsidRPr="002259E8" w:rsidRDefault="007A212B" w:rsidP="007A212B">
      <w:pPr>
        <w:spacing w:after="120" w:line="240" w:lineRule="auto"/>
        <w:rPr>
          <w:rFonts w:ascii="Times New Roman" w:hAnsi="Times New Roman" w:cs="Times New Roman"/>
          <w:sz w:val="24"/>
          <w:szCs w:val="24"/>
        </w:rPr>
      </w:pPr>
      <w:r w:rsidRPr="002259E8">
        <w:rPr>
          <w:rFonts w:ascii="Times New Roman" w:hAnsi="Times New Roman" w:cs="Times New Roman"/>
          <w:b/>
          <w:sz w:val="24"/>
          <w:szCs w:val="24"/>
        </w:rPr>
        <w:t>Lysozyme</w:t>
      </w:r>
    </w:p>
    <w:p w14:paraId="0870E00A" w14:textId="77777777" w:rsidR="007A212B" w:rsidRPr="002259E8" w:rsidRDefault="007A212B" w:rsidP="007A212B">
      <w:pPr>
        <w:spacing w:after="120" w:line="240" w:lineRule="auto"/>
        <w:rPr>
          <w:rFonts w:ascii="Times New Roman" w:hAnsi="Times New Roman" w:cs="Times New Roman"/>
          <w:sz w:val="24"/>
          <w:szCs w:val="24"/>
        </w:rPr>
      </w:pPr>
      <w:r w:rsidRPr="002259E8">
        <w:rPr>
          <w:rFonts w:ascii="Times New Roman" w:hAnsi="Times New Roman" w:cs="Times New Roman"/>
          <w:sz w:val="24"/>
          <w:szCs w:val="24"/>
        </w:rPr>
        <w:t>Add 0.1 g (100 mg) lysozyme powder to 1 mL MQ Water (100 mg/mL)</w:t>
      </w:r>
    </w:p>
    <w:p w14:paraId="1F152FBB" w14:textId="6D4FA371" w:rsidR="00724FAC" w:rsidRPr="002259E8" w:rsidRDefault="00724FAC" w:rsidP="00DD1FED">
      <w:pPr>
        <w:spacing w:after="240" w:line="360" w:lineRule="auto"/>
        <w:jc w:val="both"/>
        <w:rPr>
          <w:rFonts w:ascii="Times New Roman" w:hAnsi="Times New Roman" w:cs="Times New Roman"/>
          <w:b/>
          <w:bCs/>
          <w:sz w:val="24"/>
          <w:szCs w:val="24"/>
        </w:rPr>
      </w:pPr>
    </w:p>
    <w:p w14:paraId="781AC45C" w14:textId="61F29716" w:rsidR="008A5D56" w:rsidRPr="002259E8" w:rsidRDefault="002259E8" w:rsidP="00EA6F21">
      <w:pPr>
        <w:spacing w:after="240" w:line="360" w:lineRule="auto"/>
        <w:rPr>
          <w:rFonts w:ascii="Times New Roman" w:hAnsi="Times New Roman" w:cs="Times New Roman"/>
          <w:b/>
          <w:bCs/>
        </w:rPr>
      </w:pPr>
      <w:r w:rsidRPr="002259E8">
        <w:rPr>
          <w:rFonts w:ascii="Times New Roman" w:hAnsi="Times New Roman" w:cs="Times New Roman"/>
          <w:b/>
          <w:bCs/>
        </w:rPr>
        <w:lastRenderedPageBreak/>
        <w:t>References</w:t>
      </w:r>
    </w:p>
    <w:sdt>
      <w:sdtPr>
        <w:rPr>
          <w:rFonts w:ascii="Times New Roman" w:hAnsi="Times New Roman" w:cs="Times New Roman"/>
        </w:rPr>
        <w:tag w:val="MENDELEY_BIBLIOGRAPHY"/>
        <w:id w:val="-1678493567"/>
        <w:placeholder>
          <w:docPart w:val="DefaultPlaceholder_-1854013440"/>
        </w:placeholder>
      </w:sdtPr>
      <w:sdtEndPr/>
      <w:sdtContent>
        <w:p w14:paraId="639D561D" w14:textId="77777777" w:rsidR="002259E8" w:rsidRPr="002259E8" w:rsidRDefault="002259E8">
          <w:pPr>
            <w:autoSpaceDE w:val="0"/>
            <w:autoSpaceDN w:val="0"/>
            <w:ind w:hanging="480"/>
            <w:divId w:val="1620330522"/>
            <w:rPr>
              <w:rFonts w:ascii="Times New Roman" w:eastAsia="Times New Roman" w:hAnsi="Times New Roman" w:cs="Times New Roman"/>
              <w:sz w:val="24"/>
              <w:szCs w:val="24"/>
            </w:rPr>
          </w:pPr>
          <w:proofErr w:type="spellStart"/>
          <w:r w:rsidRPr="002259E8">
            <w:rPr>
              <w:rFonts w:ascii="Times New Roman" w:eastAsia="Times New Roman" w:hAnsi="Times New Roman" w:cs="Times New Roman"/>
            </w:rPr>
            <w:t>Apprill</w:t>
          </w:r>
          <w:proofErr w:type="spellEnd"/>
          <w:r w:rsidRPr="002259E8">
            <w:rPr>
              <w:rFonts w:ascii="Times New Roman" w:eastAsia="Times New Roman" w:hAnsi="Times New Roman" w:cs="Times New Roman"/>
            </w:rPr>
            <w:t xml:space="preserve">, A., </w:t>
          </w:r>
          <w:proofErr w:type="spellStart"/>
          <w:r w:rsidRPr="002259E8">
            <w:rPr>
              <w:rFonts w:ascii="Times New Roman" w:eastAsia="Times New Roman" w:hAnsi="Times New Roman" w:cs="Times New Roman"/>
            </w:rPr>
            <w:t>Mcnally</w:t>
          </w:r>
          <w:proofErr w:type="spellEnd"/>
          <w:r w:rsidRPr="002259E8">
            <w:rPr>
              <w:rFonts w:ascii="Times New Roman" w:eastAsia="Times New Roman" w:hAnsi="Times New Roman" w:cs="Times New Roman"/>
            </w:rPr>
            <w:t xml:space="preserve">, S., Parsons, R., &amp; Weber, L. (2015). Minor revision to V4 region SSU rRNA 806R gene primer greatly increases detection of SAR11 bacterioplankton. </w:t>
          </w:r>
          <w:r w:rsidRPr="002259E8">
            <w:rPr>
              <w:rFonts w:ascii="Times New Roman" w:eastAsia="Times New Roman" w:hAnsi="Times New Roman" w:cs="Times New Roman"/>
              <w:i/>
              <w:iCs/>
            </w:rPr>
            <w:t>Aquatic Microbial Ecology</w:t>
          </w:r>
          <w:r w:rsidRPr="002259E8">
            <w:rPr>
              <w:rFonts w:ascii="Times New Roman" w:eastAsia="Times New Roman" w:hAnsi="Times New Roman" w:cs="Times New Roman"/>
            </w:rPr>
            <w:t xml:space="preserve">, </w:t>
          </w:r>
          <w:r w:rsidRPr="002259E8">
            <w:rPr>
              <w:rFonts w:ascii="Times New Roman" w:eastAsia="Times New Roman" w:hAnsi="Times New Roman" w:cs="Times New Roman"/>
              <w:i/>
              <w:iCs/>
            </w:rPr>
            <w:t>75</w:t>
          </w:r>
          <w:r w:rsidRPr="002259E8">
            <w:rPr>
              <w:rFonts w:ascii="Times New Roman" w:eastAsia="Times New Roman" w:hAnsi="Times New Roman" w:cs="Times New Roman"/>
            </w:rPr>
            <w:t>(2), 129–137. https://doi.org/10.3354/ame01753</w:t>
          </w:r>
        </w:p>
        <w:p w14:paraId="25FD8EA6" w14:textId="77777777" w:rsidR="002259E8" w:rsidRPr="002259E8" w:rsidRDefault="002259E8">
          <w:pPr>
            <w:autoSpaceDE w:val="0"/>
            <w:autoSpaceDN w:val="0"/>
            <w:ind w:hanging="480"/>
            <w:divId w:val="748774609"/>
            <w:rPr>
              <w:rFonts w:ascii="Times New Roman" w:eastAsia="Times New Roman" w:hAnsi="Times New Roman" w:cs="Times New Roman"/>
            </w:rPr>
          </w:pPr>
          <w:proofErr w:type="spellStart"/>
          <w:r w:rsidRPr="002259E8">
            <w:rPr>
              <w:rFonts w:ascii="Times New Roman" w:eastAsia="Times New Roman" w:hAnsi="Times New Roman" w:cs="Times New Roman"/>
            </w:rPr>
            <w:t>Botté</w:t>
          </w:r>
          <w:proofErr w:type="spellEnd"/>
          <w:r w:rsidRPr="002259E8">
            <w:rPr>
              <w:rFonts w:ascii="Times New Roman" w:eastAsia="Times New Roman" w:hAnsi="Times New Roman" w:cs="Times New Roman"/>
            </w:rPr>
            <w:t xml:space="preserve">, E. S., Nielsen, S., Abdul Wahab, M. A., Webster, J., Robbins, S., Thomas, T., &amp; Webster, N. S. (2019). Changes in the metabolic potential of the sponge microbiome under ocean acidification. </w:t>
          </w:r>
          <w:r w:rsidRPr="002259E8">
            <w:rPr>
              <w:rFonts w:ascii="Times New Roman" w:eastAsia="Times New Roman" w:hAnsi="Times New Roman" w:cs="Times New Roman"/>
              <w:i/>
              <w:iCs/>
            </w:rPr>
            <w:t>Nature Communications</w:t>
          </w:r>
          <w:r w:rsidRPr="002259E8">
            <w:rPr>
              <w:rFonts w:ascii="Times New Roman" w:eastAsia="Times New Roman" w:hAnsi="Times New Roman" w:cs="Times New Roman"/>
            </w:rPr>
            <w:t xml:space="preserve">, </w:t>
          </w:r>
          <w:r w:rsidRPr="002259E8">
            <w:rPr>
              <w:rFonts w:ascii="Times New Roman" w:eastAsia="Times New Roman" w:hAnsi="Times New Roman" w:cs="Times New Roman"/>
              <w:i/>
              <w:iCs/>
            </w:rPr>
            <w:t>10</w:t>
          </w:r>
          <w:r w:rsidRPr="002259E8">
            <w:rPr>
              <w:rFonts w:ascii="Times New Roman" w:eastAsia="Times New Roman" w:hAnsi="Times New Roman" w:cs="Times New Roman"/>
            </w:rPr>
            <w:t>(1), 1–10. https://doi.org/10.1038/s41467-019-12156-y</w:t>
          </w:r>
        </w:p>
        <w:p w14:paraId="0B56304D" w14:textId="77777777" w:rsidR="002259E8" w:rsidRPr="002259E8" w:rsidRDefault="002259E8">
          <w:pPr>
            <w:autoSpaceDE w:val="0"/>
            <w:autoSpaceDN w:val="0"/>
            <w:ind w:hanging="480"/>
            <w:divId w:val="1313870980"/>
            <w:rPr>
              <w:rFonts w:ascii="Times New Roman" w:eastAsia="Times New Roman" w:hAnsi="Times New Roman" w:cs="Times New Roman"/>
            </w:rPr>
          </w:pPr>
          <w:r w:rsidRPr="000435C8">
            <w:rPr>
              <w:rFonts w:ascii="Times New Roman" w:eastAsia="Times New Roman" w:hAnsi="Times New Roman" w:cs="Times New Roman"/>
              <w:lang w:val="pt-BR"/>
            </w:rPr>
            <w:t xml:space="preserve">Parada, A. E., Needham, D. M., &amp; Fuhrman, J. A. (2016). </w:t>
          </w:r>
          <w:r w:rsidRPr="002259E8">
            <w:rPr>
              <w:rFonts w:ascii="Times New Roman" w:eastAsia="Times New Roman" w:hAnsi="Times New Roman" w:cs="Times New Roman"/>
            </w:rPr>
            <w:t xml:space="preserve">Every base matters: Assessing small subunit rRNA primers for marine microbiomes with mock communities, time series and global field samples. </w:t>
          </w:r>
          <w:r w:rsidRPr="002259E8">
            <w:rPr>
              <w:rFonts w:ascii="Times New Roman" w:eastAsia="Times New Roman" w:hAnsi="Times New Roman" w:cs="Times New Roman"/>
              <w:i/>
              <w:iCs/>
            </w:rPr>
            <w:t>Environmental Microbiology</w:t>
          </w:r>
          <w:r w:rsidRPr="002259E8">
            <w:rPr>
              <w:rFonts w:ascii="Times New Roman" w:eastAsia="Times New Roman" w:hAnsi="Times New Roman" w:cs="Times New Roman"/>
            </w:rPr>
            <w:t xml:space="preserve">, </w:t>
          </w:r>
          <w:r w:rsidRPr="002259E8">
            <w:rPr>
              <w:rFonts w:ascii="Times New Roman" w:eastAsia="Times New Roman" w:hAnsi="Times New Roman" w:cs="Times New Roman"/>
              <w:i/>
              <w:iCs/>
            </w:rPr>
            <w:t>18</w:t>
          </w:r>
          <w:r w:rsidRPr="002259E8">
            <w:rPr>
              <w:rFonts w:ascii="Times New Roman" w:eastAsia="Times New Roman" w:hAnsi="Times New Roman" w:cs="Times New Roman"/>
            </w:rPr>
            <w:t>(5), 1403–1414. https://doi.org/10.1111/1462-2920.13023</w:t>
          </w:r>
        </w:p>
        <w:p w14:paraId="0364100D" w14:textId="0487C415" w:rsidR="002259E8" w:rsidRPr="001A023F" w:rsidRDefault="002259E8" w:rsidP="00EA6F21">
          <w:pPr>
            <w:spacing w:after="240" w:line="360" w:lineRule="auto"/>
            <w:rPr>
              <w:rFonts w:ascii="Times New Roman" w:hAnsi="Times New Roman" w:cs="Times New Roman"/>
            </w:rPr>
          </w:pPr>
          <w:r>
            <w:rPr>
              <w:rFonts w:eastAsia="Times New Roman"/>
            </w:rPr>
            <w:t> </w:t>
          </w:r>
        </w:p>
      </w:sdtContent>
    </w:sdt>
    <w:sectPr w:rsidR="002259E8" w:rsidRPr="001A023F" w:rsidSect="0083049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D57B6"/>
    <w:multiLevelType w:val="hybridMultilevel"/>
    <w:tmpl w:val="55F88D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D44C64"/>
    <w:multiLevelType w:val="hybridMultilevel"/>
    <w:tmpl w:val="82A2F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A149EC"/>
    <w:multiLevelType w:val="hybridMultilevel"/>
    <w:tmpl w:val="2D66E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D3512C"/>
    <w:multiLevelType w:val="hybridMultilevel"/>
    <w:tmpl w:val="42A63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442E5"/>
    <w:multiLevelType w:val="hybridMultilevel"/>
    <w:tmpl w:val="4E78C07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B2B6FA4"/>
    <w:multiLevelType w:val="hybridMultilevel"/>
    <w:tmpl w:val="60E47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43"/>
    <w:rsid w:val="00034376"/>
    <w:rsid w:val="000435C8"/>
    <w:rsid w:val="000A308C"/>
    <w:rsid w:val="000A58F9"/>
    <w:rsid w:val="001A023F"/>
    <w:rsid w:val="001A0B80"/>
    <w:rsid w:val="001B18A5"/>
    <w:rsid w:val="001D7731"/>
    <w:rsid w:val="002259E8"/>
    <w:rsid w:val="0029038B"/>
    <w:rsid w:val="0029459B"/>
    <w:rsid w:val="002A3FB5"/>
    <w:rsid w:val="002C4368"/>
    <w:rsid w:val="00361968"/>
    <w:rsid w:val="0037501E"/>
    <w:rsid w:val="003E307E"/>
    <w:rsid w:val="004155CA"/>
    <w:rsid w:val="00497598"/>
    <w:rsid w:val="004A21E8"/>
    <w:rsid w:val="004A69C4"/>
    <w:rsid w:val="004C03DA"/>
    <w:rsid w:val="004D5C2A"/>
    <w:rsid w:val="004E1323"/>
    <w:rsid w:val="00512F56"/>
    <w:rsid w:val="00516B43"/>
    <w:rsid w:val="005E2F2E"/>
    <w:rsid w:val="005E55D8"/>
    <w:rsid w:val="006654A3"/>
    <w:rsid w:val="006A7053"/>
    <w:rsid w:val="006D5E40"/>
    <w:rsid w:val="00724FAC"/>
    <w:rsid w:val="00797B10"/>
    <w:rsid w:val="007A0F12"/>
    <w:rsid w:val="007A212B"/>
    <w:rsid w:val="007A7AA0"/>
    <w:rsid w:val="007E5B05"/>
    <w:rsid w:val="007F6F0A"/>
    <w:rsid w:val="00807779"/>
    <w:rsid w:val="00830495"/>
    <w:rsid w:val="00830532"/>
    <w:rsid w:val="008A3271"/>
    <w:rsid w:val="008A5D56"/>
    <w:rsid w:val="008E6999"/>
    <w:rsid w:val="009365FA"/>
    <w:rsid w:val="009A3F51"/>
    <w:rsid w:val="009F4E87"/>
    <w:rsid w:val="00A84482"/>
    <w:rsid w:val="00AB23EE"/>
    <w:rsid w:val="00AF147C"/>
    <w:rsid w:val="00B15373"/>
    <w:rsid w:val="00B81AB2"/>
    <w:rsid w:val="00BA2076"/>
    <w:rsid w:val="00C31032"/>
    <w:rsid w:val="00C874D0"/>
    <w:rsid w:val="00CC2D95"/>
    <w:rsid w:val="00D00F97"/>
    <w:rsid w:val="00DB4F5B"/>
    <w:rsid w:val="00DB7663"/>
    <w:rsid w:val="00DC34BE"/>
    <w:rsid w:val="00DD1FED"/>
    <w:rsid w:val="00DE00DD"/>
    <w:rsid w:val="00E018C4"/>
    <w:rsid w:val="00E070B4"/>
    <w:rsid w:val="00EA6F21"/>
    <w:rsid w:val="00F65CE4"/>
    <w:rsid w:val="00FF5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942C"/>
  <w15:chartTrackingRefBased/>
  <w15:docId w15:val="{E7E0FA49-6F30-4E86-A22C-863E2817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6B43"/>
    <w:pPr>
      <w:spacing w:after="0" w:line="240" w:lineRule="auto"/>
    </w:pPr>
  </w:style>
  <w:style w:type="paragraph" w:styleId="ListParagraph">
    <w:name w:val="List Paragraph"/>
    <w:basedOn w:val="Normal"/>
    <w:uiPriority w:val="34"/>
    <w:qFormat/>
    <w:rsid w:val="00516B43"/>
    <w:pPr>
      <w:ind w:left="720"/>
      <w:contextualSpacing/>
    </w:pPr>
  </w:style>
  <w:style w:type="character" w:styleId="CommentReference">
    <w:name w:val="annotation reference"/>
    <w:basedOn w:val="DefaultParagraphFont"/>
    <w:uiPriority w:val="99"/>
    <w:semiHidden/>
    <w:unhideWhenUsed/>
    <w:rsid w:val="003E307E"/>
    <w:rPr>
      <w:sz w:val="16"/>
      <w:szCs w:val="16"/>
    </w:rPr>
  </w:style>
  <w:style w:type="paragraph" w:styleId="CommentText">
    <w:name w:val="annotation text"/>
    <w:basedOn w:val="Normal"/>
    <w:link w:val="CommentTextChar"/>
    <w:uiPriority w:val="99"/>
    <w:unhideWhenUsed/>
    <w:rsid w:val="003E307E"/>
    <w:pPr>
      <w:spacing w:line="240" w:lineRule="auto"/>
    </w:pPr>
    <w:rPr>
      <w:sz w:val="20"/>
      <w:szCs w:val="20"/>
    </w:rPr>
  </w:style>
  <w:style w:type="character" w:customStyle="1" w:styleId="CommentTextChar">
    <w:name w:val="Comment Text Char"/>
    <w:basedOn w:val="DefaultParagraphFont"/>
    <w:link w:val="CommentText"/>
    <w:uiPriority w:val="99"/>
    <w:rsid w:val="003E307E"/>
    <w:rPr>
      <w:sz w:val="20"/>
      <w:szCs w:val="20"/>
    </w:rPr>
  </w:style>
  <w:style w:type="paragraph" w:styleId="CommentSubject">
    <w:name w:val="annotation subject"/>
    <w:basedOn w:val="CommentText"/>
    <w:next w:val="CommentText"/>
    <w:link w:val="CommentSubjectChar"/>
    <w:uiPriority w:val="99"/>
    <w:semiHidden/>
    <w:unhideWhenUsed/>
    <w:rsid w:val="003E307E"/>
    <w:rPr>
      <w:b/>
      <w:bCs/>
    </w:rPr>
  </w:style>
  <w:style w:type="character" w:customStyle="1" w:styleId="CommentSubjectChar">
    <w:name w:val="Comment Subject Char"/>
    <w:basedOn w:val="CommentTextChar"/>
    <w:link w:val="CommentSubject"/>
    <w:uiPriority w:val="99"/>
    <w:semiHidden/>
    <w:rsid w:val="003E307E"/>
    <w:rPr>
      <w:b/>
      <w:bCs/>
      <w:sz w:val="20"/>
      <w:szCs w:val="20"/>
    </w:rPr>
  </w:style>
  <w:style w:type="paragraph" w:customStyle="1" w:styleId="TableText">
    <w:name w:val="Table Text"/>
    <w:basedOn w:val="Normal"/>
    <w:rsid w:val="00034376"/>
    <w:pPr>
      <w:spacing w:before="60" w:after="60" w:line="200" w:lineRule="atLeast"/>
      <w:ind w:left="72" w:firstLine="720"/>
      <w:jc w:val="both"/>
    </w:pPr>
    <w:rPr>
      <w:rFonts w:ascii="Arial Narrow" w:eastAsia="Times New Roman" w:hAnsi="Arial Narrow" w:cs="Times New Roman"/>
      <w:sz w:val="20"/>
      <w:szCs w:val="24"/>
      <w:lang w:val="en-US"/>
    </w:rPr>
  </w:style>
  <w:style w:type="character" w:styleId="PlaceholderText">
    <w:name w:val="Placeholder Text"/>
    <w:basedOn w:val="DefaultParagraphFont"/>
    <w:uiPriority w:val="99"/>
    <w:semiHidden/>
    <w:rsid w:val="002259E8"/>
    <w:rPr>
      <w:color w:val="666666"/>
    </w:rPr>
  </w:style>
  <w:style w:type="paragraph" w:styleId="Revision">
    <w:name w:val="Revision"/>
    <w:hidden/>
    <w:uiPriority w:val="99"/>
    <w:semiHidden/>
    <w:rsid w:val="004A21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45275">
      <w:bodyDiv w:val="1"/>
      <w:marLeft w:val="0"/>
      <w:marRight w:val="0"/>
      <w:marTop w:val="0"/>
      <w:marBottom w:val="0"/>
      <w:divBdr>
        <w:top w:val="none" w:sz="0" w:space="0" w:color="auto"/>
        <w:left w:val="none" w:sz="0" w:space="0" w:color="auto"/>
        <w:bottom w:val="none" w:sz="0" w:space="0" w:color="auto"/>
        <w:right w:val="none" w:sz="0" w:space="0" w:color="auto"/>
      </w:divBdr>
      <w:divsChild>
        <w:div w:id="1620330522">
          <w:marLeft w:val="480"/>
          <w:marRight w:val="0"/>
          <w:marTop w:val="0"/>
          <w:marBottom w:val="0"/>
          <w:divBdr>
            <w:top w:val="none" w:sz="0" w:space="0" w:color="auto"/>
            <w:left w:val="none" w:sz="0" w:space="0" w:color="auto"/>
            <w:bottom w:val="none" w:sz="0" w:space="0" w:color="auto"/>
            <w:right w:val="none" w:sz="0" w:space="0" w:color="auto"/>
          </w:divBdr>
        </w:div>
        <w:div w:id="748774609">
          <w:marLeft w:val="480"/>
          <w:marRight w:val="0"/>
          <w:marTop w:val="0"/>
          <w:marBottom w:val="0"/>
          <w:divBdr>
            <w:top w:val="none" w:sz="0" w:space="0" w:color="auto"/>
            <w:left w:val="none" w:sz="0" w:space="0" w:color="auto"/>
            <w:bottom w:val="none" w:sz="0" w:space="0" w:color="auto"/>
            <w:right w:val="none" w:sz="0" w:space="0" w:color="auto"/>
          </w:divBdr>
        </w:div>
        <w:div w:id="131387098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9FEBF48B5ED34FAB95F0AAC489CEDB"/>
        <w:category>
          <w:name w:val="General"/>
          <w:gallery w:val="placeholder"/>
        </w:category>
        <w:types>
          <w:type w:val="bbPlcHdr"/>
        </w:types>
        <w:behaviors>
          <w:behavior w:val="content"/>
        </w:behaviors>
        <w:guid w:val="{684F09E2-EEBB-414C-9D63-56314A8F5849}"/>
      </w:docPartPr>
      <w:docPartBody>
        <w:p w:rsidR="0036358C" w:rsidRDefault="004C254D" w:rsidP="004C254D">
          <w:pPr>
            <w:pStyle w:val="2B9FEBF48B5ED34FAB95F0AAC489CEDB"/>
          </w:pPr>
          <w:r w:rsidRPr="00A5629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E9D7E21-9AA3-9C41-80CF-B8DFB9BF4809}"/>
      </w:docPartPr>
      <w:docPartBody>
        <w:p w:rsidR="00651B74" w:rsidRDefault="000E0F44">
          <w:r w:rsidRPr="001C66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54D"/>
    <w:rsid w:val="00003F88"/>
    <w:rsid w:val="000E0F44"/>
    <w:rsid w:val="0029038B"/>
    <w:rsid w:val="0031713F"/>
    <w:rsid w:val="0036358C"/>
    <w:rsid w:val="004C254D"/>
    <w:rsid w:val="004E1323"/>
    <w:rsid w:val="00651B74"/>
    <w:rsid w:val="006D5E40"/>
    <w:rsid w:val="008754CD"/>
    <w:rsid w:val="00A86F3B"/>
    <w:rsid w:val="00B15373"/>
    <w:rsid w:val="00B663A7"/>
    <w:rsid w:val="00C31032"/>
    <w:rsid w:val="00CA4649"/>
    <w:rsid w:val="00D4361A"/>
    <w:rsid w:val="00DB7663"/>
    <w:rsid w:val="00E04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F44"/>
    <w:rPr>
      <w:color w:val="666666"/>
    </w:rPr>
  </w:style>
  <w:style w:type="paragraph" w:customStyle="1" w:styleId="2B9FEBF48B5ED34FAB95F0AAC489CEDB">
    <w:name w:val="2B9FEBF48B5ED34FAB95F0AAC489CEDB"/>
    <w:rsid w:val="004C2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0FAB74-0FAA-F844-9281-7DBD778F0EE8}">
  <we:reference id="wa104382081" version="1.55.1.0" store="en-GB" storeType="OMEX"/>
  <we:alternateReferences>
    <we:reference id="wa104382081" version="1.55.1.0" store="" storeType="OMEX"/>
  </we:alternateReferences>
  <we:properties>
    <we:property name="MENDELEY_CITATIONS" value="[{&quot;citationID&quot;:&quot;MENDELEY_CITATION_ef187ba5-0e6c-4391-b659-87e561acaad3&quot;,&quot;properties&quot;:{&quot;noteIndex&quot;:0},&quot;isEdited&quot;:false,&quot;manualOverride&quot;:{&quot;isManuallyOverridden&quot;:true,&quot;citeprocText&quot;:&quot;(Botté et al., 2019)&quot;,&quot;manualOverrideText&quot;:&quot;Botté et al., 2019&quot;},&quot;citationTag&quot;:&quot;MENDELEY_CITATION_v3_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&quot;,&quot;citationItems&quot;:[{&quot;id&quot;:&quot;6c85e5cf-599e-3835-a855-c59b55d3d109&quot;,&quot;itemData&quot;:{&quot;type&quot;:&quot;article-journal&quot;,&quot;id&quot;:&quot;6c85e5cf-599e-3835-a855-c59b55d3d109&quot;,&quot;title&quot;:&quot;Changes in the metabolic potential of the sponge microbiome under ocean acidification&quot;,&quot;author&quot;:[{&quot;family&quot;:&quot;Botté&quot;,&quot;given&quot;:&quot;Emmanuelle S.&quot;,&quot;parse-names&quot;:false,&quot;dropping-particle&quot;:&quot;&quot;,&quot;non-dropping-particle&quot;:&quot;&quot;},{&quot;family&quot;:&quot;Nielsen&quot;,&quot;given&quot;:&quot;Shaun&quot;,&quot;parse-names&quot;:false,&quot;dropping-particle&quot;:&quot;&quot;,&quot;non-dropping-particle&quot;:&quot;&quot;},{&quot;family&quot;:&quot;Abdul Wahab&quot;,&quot;given&quot;:&quot;Muhammad Azmi&quot;,&quot;parse-names&quot;:false,&quot;dropping-particle&quot;:&quot;&quot;,&quot;non-dropping-particle&quot;:&quot;&quot;},{&quot;family&quot;:&quot;Webster&quot;,&quot;given&quot;:&quot;John&quot;,&quot;parse-names&quot;:false,&quot;dropping-particle&quot;:&quot;&quot;,&quot;non-dropping-particle&quot;:&quot;&quot;},{&quot;family&quot;:&quot;Robbins&quot;,&quot;given&quot;:&quot;Steven&quot;,&quot;parse-names&quot;:false,&quot;dropping-particle&quot;:&quot;&quot;,&quot;non-dropping-particle&quot;:&quot;&quot;},{&quot;family&quot;:&quot;Thomas&quot;,&quot;given&quot;:&quot;Torsten&quot;,&quot;parse-names&quot;:false,&quot;dropping-particle&quot;:&quot;&quot;,&quot;non-dropping-particle&quot;:&quot;&quot;},{&quot;family&quot;:&quot;Webster&quot;,&quot;given&quot;:&quot;Nicole S.&quot;,&quot;parse-names&quot;:false,&quot;dropping-particle&quot;:&quot;&quot;,&quot;non-dropping-particle&quot;:&quot;&quot;}],&quot;container-title&quot;:&quot;Nature Communications&quot;,&quot;DOI&quot;:&quot;10.1038/s41467-019-12156-y&quot;,&quot;ISSN&quot;:&quot;20411723&quot;,&quot;PMID&quot;:&quot;31515490&quot;,&quot;URL&quot;:&quot;http://dx.doi.org/10.1038/s41467-019-12156-y&quot;,&quot;issued&quot;:{&quot;date-parts&quot;:[[2019]]},&quot;page&quot;:&quot;1-10&quot;,&quot;abstract&quot;:&quot;Anthropogenic CO2 emissions are causing ocean acidification, which can affect the physiology of marine organisms. Here we assess the possible effects of ocean acidification on the metabolic potential of sponge symbionts, inferred by metagenomic analyses of the microbiomes of two sponge species sampled at a shallow volcanic CO2 seep and a nearby control reef. When comparing microbial functions between the seep and control sites, the microbiome of the sponge Stylissa flabelliformis (which is more abundant at the control site) exhibits at the seep reduced potential for uptake of exogenous carbohydrates and amino acids, and for degradation of host-derived creatine, creatinine and taurine. The microbiome of Coelocarteria singaporensis (which is more abundant at the seep) exhibits reduced potential for carbohydrate import at the seep, but greater capacity for archaeal carbon fixation via the 3-hydroxypropionate/4-hydroxybutyrate pathway, as well as archaeal and bacterial urea production and ammonia assimilation from arginine and creatine catabolism. Together these metabolic features might contribute to enhanced tolerance of the sponge symbionts, and possibly their host, to ocean acidification.&quot;,&quot;publisher&quot;:&quot;Springer US&quot;,&quot;issue&quot;:&quot;1&quot;,&quot;volume&quot;:&quot;10&quot;,&quot;container-title-short&quot;:&quot;Nat Commun&quot;},&quot;isTemporary&quot;:false}]},{&quot;citationID&quot;:&quot;MENDELEY_CITATION_904b4470-7925-4c82-bf65-f23439549e6b&quot;,&quot;properties&quot;:{&quot;noteIndex&quot;:0},&quot;isEdited&quot;:false,&quot;manualOverride&quot;:{&quot;isManuallyOverridden&quot;:false,&quot;citeprocText&quot;:&quot;(Parada et al., 2016)&quot;,&quot;manualOverrideText&quot;:&quot;&quot;},&quot;citationTag&quot;:&quot;MENDELEY_CITATION_v3_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&quot;,&quot;citationItems&quot;:[{&quot;id&quot;:&quot;766d2cee-e1c9-3340-ba50-47d62a32bea7&quot;,&quot;itemData&quot;:{&quot;type&quot;:&quot;article-journal&quot;,&quot;id&quot;:&quot;766d2cee-e1c9-3340-ba50-47d62a32bea7&quot;,&quot;title&quot;:&quot;Every base matters: Assessing small subunit rRNA primers for marine microbiomes with mock communities, time series and global field samples&quot;,&quot;author&quot;:[{&quot;family&quot;:&quot;Parada&quot;,&quot;given&quot;:&quot;Alma E.&quot;,&quot;parse-names&quot;:false,&quot;dropping-particle&quot;:&quot;&quot;,&quot;non-dropping-particle&quot;:&quot;&quot;},{&quot;family&quot;:&quot;Needham&quot;,&quot;given&quot;:&quot;David M.&quot;,&quot;parse-names&quot;:false,&quot;dropping-particle&quot;:&quot;&quot;,&quot;non-dropping-particle&quot;:&quot;&quot;},{&quot;family&quot;:&quot;Fuhrman&quot;,&quot;given&quot;:&quot;Jed A.&quot;,&quot;parse-names&quot;:false,&quot;dropping-particle&quot;:&quot;&quot;,&quot;non-dropping-particle&quot;:&quot;&quot;}],&quot;container-title&quot;:&quot;Environmental Microbiology&quot;,&quot;container-title-short&quot;:&quot;Environ Microbiol&quot;,&quot;DOI&quot;:&quot;10.1111/1462-2920.13023&quot;,&quot;ISSN&quot;:&quot;14622920&quot;,&quot;issued&quot;:{&quot;date-parts&quot;:[[2016]]},&quot;page&quot;:&quot;1403-1414&quot;,&quot;abstract&quot;:&quot;Microbial community analysis via high-throughput sequencing of amplifi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 TAA) and 926R (5′-CCGYCAATTYMTTTRAGTTT) yield more accurate estimates of mock community abundances, produce longer amplicons that can differentiate taxa unresolvable with 515F-C/806R, and amplify eukaryotic 18S rRNA. Mock communities amplified with 515F-Y/926R yielded closer observed community composition versus expected (r2 = 0.95) compared with 515F-Y/806R (r2 ∼ 0.5). Unexpectedly, biases with 515F-Y/806R against SAR11 in field samples (∼4–10- fold) were stronger than in mock communities (∼2- fold). Correcting a mismatch to Thaumarchaea in the 515F-C increased their apparent abundance in field samples, but not as much as using 926R rather than 806R. With plankton samples rich in eukaryotic DNA (&gt; 1 \u0004m size fraction), 18S sequences averaged ∼17% of all sequences. A single mismatch can strongly bias amplification, but even perfectly matched primers can exhibit preferential amplification. We show that beyond in silico predictions, testing with mock communities and field samples is important in primer selection.&quot;,&quot;issue&quot;:&quot;5&quot;,&quot;volume&quot;:&quot;18&quot;},&quot;isTemporary&quot;:false}]},{&quot;citationID&quot;:&quot;MENDELEY_CITATION_2905ff02-17bb-4c95-a05b-5f0dbf380daa&quot;,&quot;properties&quot;:{&quot;noteIndex&quot;:0},&quot;isEdited&quot;:false,&quot;manualOverride&quot;:{&quot;isManuallyOverridden&quot;:false,&quot;citeprocText&quot;:&quot;(Apprill et al., 2015)&quot;,&quot;manualOverrideText&quot;:&quot;&quot;},&quot;citationTag&quot;:&quot;MENDELEY_CITATION_v3_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&quot;,&quot;citationItems&quot;:[{&quot;id&quot;:&quot;5b292a22-f1af-3e9f-b313-f459baad06df&quot;,&quot;itemData&quot;:{&quot;type&quot;:&quot;article-journal&quot;,&quot;id&quot;:&quot;5b292a22-f1af-3e9f-b313-f459baad06df&quot;,&quot;title&quot;:&quot;Minor revision to V4 region SSU rRNA 806R gene primer greatly increases detection of SAR11 bacterioplankton&quot;,&quot;author&quot;:[{&quot;family&quot;:&quot;Apprill&quot;,&quot;given&quot;:&quot;Amy&quot;,&quot;parse-names&quot;:false,&quot;dropping-particle&quot;:&quot;&quot;,&quot;non-dropping-particle&quot;:&quot;&quot;},{&quot;family&quot;:&quot;Mcnally&quot;,&quot;given&quot;:&quot;Sean&quot;,&quot;parse-names&quot;:false,&quot;dropping-particle&quot;:&quot;&quot;,&quot;non-dropping-particle&quot;:&quot;&quot;},{&quot;family&quot;:&quot;Parsons&quot;,&quot;given&quot;:&quot;Rachel&quot;,&quot;parse-names&quot;:false,&quot;dropping-particle&quot;:&quot;&quot;,&quot;non-dropping-particle&quot;:&quot;&quot;},{&quot;family&quot;:&quot;Weber&quot;,&quot;given&quot;:&quot;Laura&quot;,&quot;parse-names&quot;:false,&quot;dropping-particle&quot;:&quot;&quot;,&quot;non-dropping-particle&quot;:&quot;&quot;}],&quot;container-title&quot;:&quot;Aquatic Microbial Ecology&quot;,&quot;DOI&quot;:&quot;10.3354/ame01753&quot;,&quot;ISSN&quot;:&quot;09483055&quot;,&quot;issued&quot;:{&quot;date-parts&quot;:[[2015]]},&quot;page&quot;:&quot;129-137&quot;,&quot;abstract&quot;:&quot;High-throughput sequencing of small subunit ribosomal RNA (SSU rRNA) genes from marine environments is a widely applied method used to uncover the composition of micro- bial communities. We conducted an analysis of surface ocean waters with the commonly employed hypervariable 4 region SSU rRNA gene primers 515F and 806R, and found that bacteria belonging to the SAR11 clade of Alphaproteobacteria, a group typically making up 20 to 40% of the bacterioplankton in this environment, were greatly underrepresented and comprised &lt;4% of the total community. Using the SILVA reference database, we found a single nucleotide mismatch to nearly all SAR11 subclades, and revised the 806R primer so that it increased the detection of SAR11 clade sequences in the database from 2.6 to 96.7%. We then compared the performance of the original and revised 806R primers in surface seawater samples, and found that SAR11 com- prised 0.3 to 3.9% of sequences with the original primers and 17.5 to 30.5% of the sequences with the revised 806R primer. Furthermore, an investigation of seawater obtained from aquaria re - vealed that SAR11 sequences acquired with the revised 806R primer were more similar to natural cellular abundances of SAR11 detected using fluorescence in situ hybridization counts. Collectively, these results demonstrate that a minor adjustment to the 806R primer will greatly increase detec- tion of the globally abundant SAR11 clade in marine and lake environments, and enable inclusion of this important bacterial lineage in experimental and environmental-based studies.&quot;,&quot;issue&quot;:&quot;2&quot;,&quot;volume&quot;:&quot;75&quot;,&quot;container-title-short&quot;:&quot;&quot;},&quot;isTemporary&quot;:false}]}]"/>
    <we:property name="MENDELEY_CITATIONS_LOCALE_CODE" value="&quot;en-US&quot;"/>
    <we:property name="MENDELEY_CITATIONS_STYLE" value="{&quot;id&quot;:&quot;https://csl.mendeley.com/styles/497769101/apa&quot;,&quot;title&quot;:&quot;American Psychological Association 7th edition - Paul O'Brie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C3D38-C034-40A9-9487-093091F6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729</Words>
  <Characters>4159</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Atchaya   Mohan</cp:lastModifiedBy>
  <cp:revision>20</cp:revision>
  <dcterms:created xsi:type="dcterms:W3CDTF">2022-02-16T02:36:00Z</dcterms:created>
  <dcterms:modified xsi:type="dcterms:W3CDTF">2025-01-16T08:19:00Z</dcterms:modified>
</cp:coreProperties>
</file>