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A88390" w14:textId="77777777" w:rsidR="00372622" w:rsidRDefault="00000000">
      <w:pPr>
        <w:pStyle w:val="1"/>
        <w:ind w:firstLineChars="0" w:firstLine="0"/>
      </w:pPr>
      <w:r>
        <w:t>Materials and methods</w:t>
      </w:r>
    </w:p>
    <w:p w14:paraId="05CBF80B" w14:textId="77777777" w:rsidR="00372622" w:rsidRDefault="00000000">
      <w:pPr>
        <w:keepNext/>
        <w:keepLines/>
        <w:ind w:firstLineChars="0" w:firstLine="0"/>
        <w:outlineLvl w:val="1"/>
        <w:rPr>
          <w:rFonts w:eastAsiaTheme="majorEastAsia" w:cstheme="majorBidi"/>
          <w:b/>
          <w:bCs/>
          <w:szCs w:val="32"/>
        </w:rPr>
      </w:pPr>
      <w:r>
        <w:rPr>
          <w:rFonts w:eastAsiaTheme="majorEastAsia" w:cstheme="majorBidi"/>
          <w:b/>
          <w:bCs/>
          <w:szCs w:val="32"/>
        </w:rPr>
        <w:t>1. Samples preparation before determination</w:t>
      </w:r>
    </w:p>
    <w:p w14:paraId="3BC900A1" w14:textId="52DB556F" w:rsidR="00372622" w:rsidRPr="008242DA" w:rsidRDefault="006F4AA5" w:rsidP="008242DA">
      <w:pPr>
        <w:ind w:firstLine="480"/>
        <w:rPr>
          <w:rFonts w:eastAsia="DengXian" w:cs="Times New Roman"/>
        </w:rPr>
      </w:pPr>
      <w:r>
        <w:rPr>
          <w:rFonts w:eastAsia="宋体" w:cs="Times New Roman"/>
          <w:lang w:bidi="ar"/>
        </w:rPr>
        <w:t>50.0 g of each soil sample was immediately divided for soil moisture determination (10.0 g), dissolved organic carbon (DOC) and NH</w:t>
      </w:r>
      <w:r>
        <w:rPr>
          <w:rFonts w:eastAsia="宋体" w:cs="Times New Roman"/>
          <w:vertAlign w:val="subscript"/>
          <w:lang w:bidi="ar"/>
        </w:rPr>
        <w:t>4</w:t>
      </w:r>
      <w:r>
        <w:rPr>
          <w:rFonts w:eastAsia="宋体" w:cs="Times New Roman"/>
          <w:vertAlign w:val="superscript"/>
          <w:lang w:bidi="ar"/>
        </w:rPr>
        <w:t>+</w:t>
      </w:r>
      <w:r>
        <w:rPr>
          <w:rFonts w:eastAsia="宋体" w:cs="Times New Roman"/>
          <w:lang w:bidi="ar"/>
        </w:rPr>
        <w:t>-N and NO</w:t>
      </w:r>
      <w:r>
        <w:rPr>
          <w:rFonts w:eastAsia="宋体" w:cs="Times New Roman"/>
          <w:vertAlign w:val="subscript"/>
          <w:lang w:bidi="ar"/>
        </w:rPr>
        <w:t>3</w:t>
      </w:r>
      <w:r>
        <w:rPr>
          <w:rFonts w:eastAsia="宋体" w:cs="Times New Roman"/>
          <w:vertAlign w:val="superscript"/>
          <w:lang w:bidi="ar"/>
        </w:rPr>
        <w:t>-</w:t>
      </w:r>
      <w:r>
        <w:rPr>
          <w:rFonts w:eastAsia="宋体" w:cs="Times New Roman"/>
          <w:lang w:bidi="ar"/>
        </w:rPr>
        <w:t>-N extraction (10.0 g). The remaining soil sample was air dried, grounded and sieved to obtain different sizes for pH determination (less than 2 mm, 10.0 g), available phosphorus (AP) determination (less than 0.85 mm, 2.5 g), for soil sucrase (S-SC) (0.06 g), soil urease (S-UE) (0.10 g) and soil acid phosphatase (S_ACP) (0.10 g) determination (less than 0.425 mm), and pollutants concentration and soil organic matter (SOM) determination (less than 0.149 mm, 0.10 g for pollutants and 1.0 g for SOM).</w:t>
      </w:r>
    </w:p>
    <w:p w14:paraId="2929FA08" w14:textId="3CF39E3E" w:rsidR="00372622" w:rsidRDefault="00000000">
      <w:pPr>
        <w:keepNext/>
        <w:keepLines/>
        <w:ind w:firstLineChars="0" w:firstLine="0"/>
        <w:outlineLvl w:val="1"/>
        <w:rPr>
          <w:rFonts w:eastAsiaTheme="majorEastAsia" w:cstheme="majorBidi"/>
          <w:b/>
          <w:bCs/>
          <w:szCs w:val="32"/>
        </w:rPr>
      </w:pPr>
      <w:r>
        <w:rPr>
          <w:rFonts w:eastAsiaTheme="majorEastAsia" w:cstheme="majorBidi"/>
          <w:b/>
          <w:bCs/>
          <w:szCs w:val="32"/>
        </w:rPr>
        <w:t>2. Soil metagenomic sequencing and data processing</w:t>
      </w:r>
    </w:p>
    <w:p w14:paraId="4A69BAB4" w14:textId="77777777" w:rsidR="00372622" w:rsidRDefault="00000000">
      <w:pPr>
        <w:ind w:firstLine="480"/>
      </w:pPr>
      <w:r>
        <w:t>The quality of DNA extract was checked on 1% agarose gel. The extracted and purified DNA was fragmented to an average size of about 400 bp using Covaris M220 (Gene Company Limited, China) for paired-end library construction, which was performed by using NEXTFLEX® Rapid DNA-Seq (</w:t>
      </w:r>
      <w:proofErr w:type="spellStart"/>
      <w:r>
        <w:t>Bioo</w:t>
      </w:r>
      <w:proofErr w:type="spellEnd"/>
      <w:r>
        <w:t xml:space="preserve"> Scientific, Austin, USA). Adapters containing the full complement of sequencing primer hybridization sites were ligated to the blunt-end of fragments.</w:t>
      </w:r>
    </w:p>
    <w:p w14:paraId="552C7543" w14:textId="77777777" w:rsidR="00372622" w:rsidRDefault="00000000">
      <w:pPr>
        <w:ind w:firstLine="480"/>
      </w:pPr>
      <w:r>
        <w:t xml:space="preserve">The paired-end Illumina reads were trimmed of adaptors, and low-quality reads (length &lt; 50 bp or with a quality value &lt; 20 or having N bases) were removed by </w:t>
      </w:r>
      <w:proofErr w:type="spellStart"/>
      <w:r>
        <w:t>fastp</w:t>
      </w:r>
      <w:proofErr w:type="spellEnd"/>
      <w:r>
        <w:t xml:space="preserve"> [1]. Contigs with the length being or over 300 bp were retained for the subsequently gene prediction and annotation.</w:t>
      </w:r>
    </w:p>
    <w:p w14:paraId="259B7E6E" w14:textId="77777777" w:rsidR="00372622" w:rsidRDefault="00000000">
      <w:pPr>
        <w:ind w:firstLine="480"/>
      </w:pPr>
      <w:r>
        <w:t xml:space="preserve">High-quality reads were aligned to the non-redundant gene catalogue using </w:t>
      </w:r>
      <w:proofErr w:type="spellStart"/>
      <w:r>
        <w:t>SOAPaligner</w:t>
      </w:r>
      <w:proofErr w:type="spellEnd"/>
      <w:r>
        <w:rPr>
          <w:color w:val="000000"/>
        </w:rPr>
        <w:t xml:space="preserve"> [2] </w:t>
      </w:r>
      <w:r>
        <w:t>to calculate gene abundance at 95% identity.</w:t>
      </w:r>
    </w:p>
    <w:p w14:paraId="594E1BCC" w14:textId="690A7FF2" w:rsidR="00372622" w:rsidRDefault="00000000">
      <w:pPr>
        <w:keepNext/>
        <w:keepLines/>
        <w:ind w:firstLineChars="0" w:firstLine="0"/>
        <w:outlineLvl w:val="1"/>
        <w:rPr>
          <w:rFonts w:eastAsiaTheme="majorEastAsia" w:cstheme="majorBidi"/>
          <w:b/>
          <w:bCs/>
          <w:szCs w:val="32"/>
        </w:rPr>
      </w:pPr>
      <w:r>
        <w:rPr>
          <w:rFonts w:eastAsiaTheme="majorEastAsia" w:cstheme="majorBidi"/>
          <w:b/>
          <w:bCs/>
          <w:szCs w:val="32"/>
        </w:rPr>
        <w:t>3. Metabolite profiling</w:t>
      </w:r>
    </w:p>
    <w:p w14:paraId="248D5926" w14:textId="77777777" w:rsidR="00372622" w:rsidRDefault="00000000">
      <w:pPr>
        <w:ind w:firstLine="480"/>
      </w:pPr>
      <w:r>
        <w:rPr>
          <w:rFonts w:eastAsia="宋体"/>
        </w:rPr>
        <w:t>The LC-MS/MS non-targeted metabolomic analysis of rhizosphere soils was conducted according to the method described in a previous study</w:t>
      </w:r>
      <w:r>
        <w:rPr>
          <w:rFonts w:eastAsia="宋体"/>
          <w:color w:val="000000"/>
        </w:rPr>
        <w:t xml:space="preserve"> [3]. </w:t>
      </w:r>
      <w:r>
        <w:t xml:space="preserve">Briefly, 1000 mg of rhizosphere soil sample was mixed with 1000 </w:t>
      </w:r>
      <w:proofErr w:type="spellStart"/>
      <w:r>
        <w:t>μl</w:t>
      </w:r>
      <w:proofErr w:type="spellEnd"/>
      <w:r>
        <w:t xml:space="preserve"> of extraction solution (methanol: water = 4:1 (</w:t>
      </w:r>
      <w:proofErr w:type="spellStart"/>
      <w:proofErr w:type="gramStart"/>
      <w:r>
        <w:t>v:v</w:t>
      </w:r>
      <w:proofErr w:type="spellEnd"/>
      <w:proofErr w:type="gramEnd"/>
      <w:r>
        <w:t xml:space="preserve">), which containing 0.02 mg/ml of internal standard (L-2-chlorophenylalanine)) and a 6mm diameter grinding bead in a 2 ml centrifuge tube for </w:t>
      </w:r>
      <w:r>
        <w:lastRenderedPageBreak/>
        <w:t>metabolite extraction.</w:t>
      </w:r>
    </w:p>
    <w:p w14:paraId="5DA1B9D4" w14:textId="77777777" w:rsidR="00372622" w:rsidRDefault="00000000">
      <w:pPr>
        <w:ind w:firstLine="480"/>
      </w:pPr>
      <w:r>
        <w:t xml:space="preserve">Subsequently, the mixture was ground (-10℃, 50Hz, 6 minutes), followed by low-temperature ultrasonic extraction (5℃, 40Hz, 30 minutes), left at -20 ℃ for 30 minutes, then centrifuged (4℃, 13000 g, 15 minutes). The supernatant was dried by nitrogen blowing, and then re-dissolved by 120 </w:t>
      </w:r>
      <w:proofErr w:type="spellStart"/>
      <w:r>
        <w:t>μl</w:t>
      </w:r>
      <w:proofErr w:type="spellEnd"/>
      <w:r>
        <w:t xml:space="preserve"> of acetonitrile water (1:1) solution, followed by low-temperature ultrasonic extraction (5℃, 40Hz, 10 minutes), and centrifuged (4℃, 13000 g, 15 minutes). The supernatant was transferred to sample vials for metabolite profiling.</w:t>
      </w:r>
    </w:p>
    <w:p w14:paraId="2062EE9B" w14:textId="77777777" w:rsidR="00372622" w:rsidRDefault="00000000">
      <w:pPr>
        <w:ind w:firstLine="480"/>
      </w:pPr>
      <w:r>
        <w:t xml:space="preserve">The LC-MS/MS analysis of sample was conducted on a </w:t>
      </w:r>
      <w:proofErr w:type="spellStart"/>
      <w:r>
        <w:t>Thermo</w:t>
      </w:r>
      <w:proofErr w:type="spellEnd"/>
      <w:r>
        <w:t xml:space="preserve"> UHPLC-Q </w:t>
      </w:r>
      <w:proofErr w:type="spellStart"/>
      <w:r>
        <w:t>Exactive</w:t>
      </w:r>
      <w:proofErr w:type="spellEnd"/>
      <w:r>
        <w:t xml:space="preserve"> HF-X system equipped with an ACQUITY HSS T3 column (100 mm × 2.1 mm </w:t>
      </w:r>
      <w:proofErr w:type="spellStart"/>
      <w:r>
        <w:t>i.d.</w:t>
      </w:r>
      <w:proofErr w:type="spellEnd"/>
      <w:r>
        <w:t xml:space="preserve">, 1.8 </w:t>
      </w:r>
      <w:proofErr w:type="spellStart"/>
      <w:r>
        <w:t>μm</w:t>
      </w:r>
      <w:proofErr w:type="spellEnd"/>
      <w:r>
        <w:t xml:space="preserve">; Waters, USA) at </w:t>
      </w:r>
      <w:proofErr w:type="spellStart"/>
      <w:r>
        <w:t>Majorbio</w:t>
      </w:r>
      <w:proofErr w:type="spellEnd"/>
      <w:r>
        <w:t xml:space="preserve"> Bio-Pharm Technology Co. Ltd. (Shanghai, China). Sample quality control is performed throughout the entire analysis process to assess its stability. The quality control sample is made by mixing the extraction solution of all samples in equal volumes, and the volume of the quality control sample is the same as the sample volume.</w:t>
      </w:r>
    </w:p>
    <w:p w14:paraId="0E687C10" w14:textId="77777777" w:rsidR="00372622" w:rsidRDefault="00000000">
      <w:pPr>
        <w:ind w:firstLine="480"/>
      </w:pPr>
      <w:r>
        <w:t>Mobile phase A is water (containing 0.1% formic acid), mobile phase B is acetonitrile (containing 0.1% formic acid), mobile phase C is water (containing 6.5mM NH</w:t>
      </w:r>
      <w:r>
        <w:rPr>
          <w:vertAlign w:val="subscript"/>
        </w:rPr>
        <w:t>4</w:t>
      </w:r>
      <w:r>
        <w:t>HCO</w:t>
      </w:r>
      <w:r>
        <w:rPr>
          <w:vertAlign w:val="subscript"/>
        </w:rPr>
        <w:t>3</w:t>
      </w:r>
      <w:r>
        <w:t>), and mobile phase D is 95% methanol water (containing 6.5 mM NH</w:t>
      </w:r>
      <w:r>
        <w:rPr>
          <w:vertAlign w:val="subscript"/>
        </w:rPr>
        <w:t>4</w:t>
      </w:r>
      <w:r>
        <w:t>HCO</w:t>
      </w:r>
      <w:r>
        <w:rPr>
          <w:vertAlign w:val="subscript"/>
        </w:rPr>
        <w:t>3</w:t>
      </w:r>
      <w:r>
        <w:t xml:space="preserve">). Mobile phases A and B were used in positive mode, and mobile phases C and D were used in negative mode. The column temperature was 40℃ and the injection volume was 3 </w:t>
      </w:r>
      <w:proofErr w:type="spellStart"/>
      <w:r>
        <w:t>μl</w:t>
      </w:r>
      <w:proofErr w:type="spellEnd"/>
      <w:r>
        <w:t xml:space="preserve">. The mass spectrometric data were collected using a </w:t>
      </w:r>
      <w:proofErr w:type="spellStart"/>
      <w:r>
        <w:t>Thermo</w:t>
      </w:r>
      <w:proofErr w:type="spellEnd"/>
      <w:r>
        <w:t xml:space="preserve"> UHPLC-Q </w:t>
      </w:r>
      <w:proofErr w:type="spellStart"/>
      <w:r>
        <w:t>Exactive</w:t>
      </w:r>
      <w:proofErr w:type="spellEnd"/>
      <w:r>
        <w:t xml:space="preserve"> HF-X Mass Spectrometer equipped with an electrospray ionization (ESI) source operating in positive mode and negative mode. The optimal conditions were set as followed: heater temperature at 425℃; sheath gas flow rate at 50 </w:t>
      </w:r>
      <w:proofErr w:type="gramStart"/>
      <w:r>
        <w:t>arb</w:t>
      </w:r>
      <w:proofErr w:type="gramEnd"/>
      <w:r>
        <w:t xml:space="preserve">; Aux gas flow rate at 13 arb; spray voltage at 3500V in positive mode and -3500V in negative mode; Normalized collision energy, 20-40-60 eV; Full MS resolution was 60000; MS2 resolution was 7500; The scanning range was 70-1050 m/z.  </w:t>
      </w:r>
    </w:p>
    <w:p w14:paraId="596C3DCA" w14:textId="77777777" w:rsidR="00372622" w:rsidRDefault="00000000">
      <w:pPr>
        <w:ind w:firstLine="480"/>
      </w:pPr>
      <w:r>
        <w:t xml:space="preserve">The preprocessing method is as follows: the detected metabolic features in any group of samples shall not be less than 80%. After filtering, for specific samples with metabolite levels below the lower limit of quantification, the minimum metabolite value </w:t>
      </w:r>
      <w:r>
        <w:lastRenderedPageBreak/>
        <w:t xml:space="preserve">was estimated and each metabolic signature was normalized to the sum. The response intensities of the sample mass spectrometry peaks were normalized using the sum normalization method to reduce errors caused by sample preparation and instrument instability, to obtain the normalized data matrix. Meanwhile, QC sample variables with relative standard deviation (RSD)&gt;30% were excluded. Then the data was performed logarithmic transformation to obtain the final data matrix containing information such as retention time, mass to charge ratio (m/z) for subsequent analysis. Mass spectra of these metabolic features were identified by using the accurate mass, MS/MS fragments spectra and isotope ratio difference with searching in reliable biochemical databases as Human metabolome database (HMDB) and </w:t>
      </w:r>
      <w:proofErr w:type="spellStart"/>
      <w:r>
        <w:t>Metlin</w:t>
      </w:r>
      <w:proofErr w:type="spellEnd"/>
      <w:r>
        <w:t xml:space="preserve"> database.</w:t>
      </w:r>
    </w:p>
    <w:p w14:paraId="288B4F44" w14:textId="77777777" w:rsidR="00372622" w:rsidRDefault="00000000">
      <w:pPr>
        <w:pStyle w:val="1"/>
        <w:ind w:firstLineChars="0" w:firstLine="0"/>
      </w:pPr>
      <w:r>
        <w:t>Results</w:t>
      </w:r>
    </w:p>
    <w:p w14:paraId="036CB83A" w14:textId="77777777" w:rsidR="00372622" w:rsidRDefault="00000000">
      <w:pPr>
        <w:keepNext/>
        <w:keepLines/>
        <w:ind w:firstLineChars="0" w:firstLine="0"/>
        <w:outlineLvl w:val="1"/>
        <w:rPr>
          <w:rFonts w:eastAsiaTheme="majorEastAsia" w:cstheme="majorBidi"/>
          <w:b/>
          <w:bCs/>
          <w:szCs w:val="32"/>
        </w:rPr>
      </w:pPr>
      <w:r w:rsidRPr="008242DA">
        <w:rPr>
          <w:rFonts w:eastAsiaTheme="majorEastAsia" w:cstheme="majorBidi"/>
          <w:b/>
          <w:bCs/>
          <w:szCs w:val="32"/>
        </w:rPr>
        <w:t>1. Heavy metal concentrations in fava bean seeds</w:t>
      </w:r>
    </w:p>
    <w:p w14:paraId="7CE43859" w14:textId="560F52FE" w:rsidR="00372622" w:rsidRDefault="008813B2">
      <w:pPr>
        <w:ind w:firstLine="480"/>
        <w:rPr>
          <w:sz w:val="21"/>
        </w:rPr>
      </w:pPr>
      <w:r>
        <w:rPr>
          <w:rFonts w:cs="Times New Roman"/>
          <w:szCs w:val="24"/>
        </w:rPr>
        <w:t>C</w:t>
      </w:r>
      <w:r>
        <w:rPr>
          <w:rFonts w:cs="Times New Roman" w:hint="eastAsia"/>
          <w:szCs w:val="24"/>
        </w:rPr>
        <w:t>oncentrations of heavy metals in fava bean</w:t>
      </w:r>
      <w:r>
        <w:rPr>
          <w:rFonts w:cs="Times New Roman"/>
          <w:szCs w:val="24"/>
        </w:rPr>
        <w:t>s were listed in Table S6.</w:t>
      </w:r>
      <w:r>
        <w:rPr>
          <w:rFonts w:cs="Times New Roman" w:hint="eastAsia"/>
          <w:szCs w:val="24"/>
        </w:rPr>
        <w:t xml:space="preserve"> </w:t>
      </w:r>
      <w:r>
        <w:rPr>
          <w:rFonts w:cs="Times New Roman"/>
          <w:szCs w:val="24"/>
        </w:rPr>
        <w:t>According to the</w:t>
      </w:r>
      <w:r>
        <w:rPr>
          <w:rFonts w:cs="Times New Roman" w:hint="eastAsia"/>
          <w:szCs w:val="24"/>
        </w:rPr>
        <w:t xml:space="preserve"> National Standard for Food Security - Limits of Contaminants in Food (GB 2762-2022)</w:t>
      </w:r>
      <w:r>
        <w:rPr>
          <w:rFonts w:cs="Times New Roman"/>
          <w:szCs w:val="24"/>
        </w:rPr>
        <w:t xml:space="preserve">, </w:t>
      </w:r>
      <w:r>
        <w:rPr>
          <w:rFonts w:cs="Times New Roman" w:hint="eastAsia"/>
          <w:szCs w:val="24"/>
        </w:rPr>
        <w:t>the concentrations of Cd, As and Pb in fava bean</w:t>
      </w:r>
      <w:r>
        <w:rPr>
          <w:rFonts w:cs="Times New Roman"/>
          <w:szCs w:val="24"/>
        </w:rPr>
        <w:t>s</w:t>
      </w:r>
      <w:r>
        <w:rPr>
          <w:rFonts w:cs="Times New Roman" w:hint="eastAsia"/>
          <w:szCs w:val="24"/>
        </w:rPr>
        <w:t xml:space="preserve"> did not exceed the </w:t>
      </w:r>
      <w:r w:rsidR="00B3470E">
        <w:rPr>
          <w:rFonts w:cs="Times New Roman"/>
          <w:szCs w:val="24"/>
        </w:rPr>
        <w:t xml:space="preserve">safety </w:t>
      </w:r>
      <w:r>
        <w:rPr>
          <w:rFonts w:cs="Times New Roman" w:hint="eastAsia"/>
          <w:szCs w:val="24"/>
        </w:rPr>
        <w:t xml:space="preserve">limits, while the concentration of Ni exceeded the </w:t>
      </w:r>
      <w:r w:rsidR="00B3470E">
        <w:rPr>
          <w:rFonts w:cs="Times New Roman"/>
          <w:szCs w:val="24"/>
        </w:rPr>
        <w:t xml:space="preserve">safety </w:t>
      </w:r>
      <w:r>
        <w:rPr>
          <w:rFonts w:cs="Times New Roman" w:hint="eastAsia"/>
          <w:szCs w:val="24"/>
        </w:rPr>
        <w:t>limits.</w:t>
      </w:r>
    </w:p>
    <w:p w14:paraId="5877D0D4" w14:textId="77777777" w:rsidR="00372622" w:rsidRDefault="00372622">
      <w:pPr>
        <w:ind w:firstLine="480"/>
      </w:pPr>
    </w:p>
    <w:p w14:paraId="079349AF" w14:textId="77777777" w:rsidR="00372622" w:rsidRDefault="00000000">
      <w:pPr>
        <w:pStyle w:val="1"/>
        <w:ind w:firstLineChars="0" w:firstLine="0"/>
      </w:pPr>
      <w:r>
        <w:t>R</w:t>
      </w:r>
      <w:r>
        <w:rPr>
          <w:rFonts w:hint="eastAsia"/>
        </w:rPr>
        <w:t>eference</w:t>
      </w:r>
    </w:p>
    <w:p w14:paraId="387E6AEF" w14:textId="77777777" w:rsidR="00372622" w:rsidRDefault="00000000">
      <w:pPr>
        <w:ind w:firstLine="480"/>
      </w:pPr>
      <w:r>
        <w:fldChar w:fldCharType="begin"/>
      </w:r>
      <w:r>
        <w:instrText xml:space="preserve"> ADDIN ZOTERO_BIBL {"uncited":[],"omitted":[],"custom":[]} CSL_BIBLIOGRAPHY </w:instrText>
      </w:r>
      <w:r>
        <w:fldChar w:fldCharType="separate"/>
      </w:r>
      <w:r>
        <w:t>1.</w:t>
      </w:r>
      <w:r>
        <w:tab/>
        <w:t>Chen, S.; Zhou, Y.; Chen, Y.; Gu, J. Fastp: An Ultra-Fast All-in-One FASTQ Preprocessor. Bioinformatics. 2018;34(17):i884–i890. https://doi.org/10.1093/bioinformatics/bty560.</w:t>
      </w:r>
    </w:p>
    <w:p w14:paraId="64D91AAE" w14:textId="77777777" w:rsidR="00372622" w:rsidRDefault="00000000">
      <w:pPr>
        <w:ind w:firstLine="480"/>
      </w:pPr>
      <w:r>
        <w:t>2.</w:t>
      </w:r>
      <w:r>
        <w:tab/>
        <w:t>Li, R.; Li, Y.; Kristiansen, K.; Wang, J. SOAP: Short Oligonucleotide Alignment Program. Bioinformatics. 2008;24(5):713–714. https://doi.org/10.1093/bioinformatics/btn025.</w:t>
      </w:r>
    </w:p>
    <w:p w14:paraId="77E16677" w14:textId="77777777" w:rsidR="00372622" w:rsidRDefault="00000000">
      <w:pPr>
        <w:ind w:firstLine="480"/>
      </w:pPr>
      <w:r>
        <w:t>3.</w:t>
      </w:r>
      <w:r>
        <w:tab/>
        <w:t xml:space="preserve">Li, P.; Ye, S.; Chen, J.; Wang, L.; Li, Y.; Ge, L.; Wu, G.; Song, L.; Wang, C.; Sun, Y.; Wang, J.; Pan, A.; Quan, Z.; Wu, Y. Combined Metagenomic and Metabolomic Analyses Reveal That </w:t>
      </w:r>
      <w:r>
        <w:rPr>
          <w:i/>
          <w:iCs/>
        </w:rPr>
        <w:t>Bt</w:t>
      </w:r>
      <w:r>
        <w:t xml:space="preserve"> Rice Planting Alters Soil C-N Metabolism. ISME Communications. 2023;3(1):4. https://doi.org/10.1038/s43705-023-00217-9.</w:t>
      </w:r>
    </w:p>
    <w:p w14:paraId="1D24DA98" w14:textId="77777777" w:rsidR="00372622" w:rsidRDefault="00000000">
      <w:pPr>
        <w:ind w:firstLine="480"/>
      </w:pPr>
      <w:r>
        <w:fldChar w:fldCharType="end"/>
      </w:r>
    </w:p>
    <w:sectPr w:rsidR="00372622">
      <w:headerReference w:type="even" r:id="rId7"/>
      <w:headerReference w:type="default" r:id="rId8"/>
      <w:footerReference w:type="even" r:id="rId9"/>
      <w:footerReference w:type="default" r:id="rId10"/>
      <w:headerReference w:type="first" r:id="rId11"/>
      <w:footerReference w:type="first" r:id="rId1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F28FD1" w14:textId="77777777" w:rsidR="006955D7" w:rsidRDefault="006955D7">
      <w:pPr>
        <w:spacing w:line="240" w:lineRule="auto"/>
        <w:ind w:firstLine="480"/>
      </w:pPr>
      <w:r>
        <w:separator/>
      </w:r>
    </w:p>
  </w:endnote>
  <w:endnote w:type="continuationSeparator" w:id="0">
    <w:p w14:paraId="7F8BAC23" w14:textId="77777777" w:rsidR="006955D7" w:rsidRDefault="006955D7">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7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00A814" w14:textId="77777777" w:rsidR="00372622" w:rsidRDefault="00372622">
    <w:pPr>
      <w:pStyle w:val="a3"/>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0B2338" w14:textId="77777777" w:rsidR="00372622" w:rsidRDefault="00372622">
    <w:pPr>
      <w:pStyle w:val="a3"/>
      <w:ind w:firstLine="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8DDB79" w14:textId="77777777" w:rsidR="00372622" w:rsidRDefault="00372622">
    <w:pPr>
      <w:pStyle w:val="a3"/>
      <w:ind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C6B13D" w14:textId="77777777" w:rsidR="006955D7" w:rsidRDefault="006955D7">
      <w:pPr>
        <w:ind w:firstLine="480"/>
      </w:pPr>
      <w:r>
        <w:separator/>
      </w:r>
    </w:p>
  </w:footnote>
  <w:footnote w:type="continuationSeparator" w:id="0">
    <w:p w14:paraId="5EED13D5" w14:textId="77777777" w:rsidR="006955D7" w:rsidRDefault="006955D7">
      <w:pPr>
        <w:ind w:firstLine="48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25F4F3" w14:textId="77777777" w:rsidR="00372622" w:rsidRDefault="00372622">
    <w:pPr>
      <w:pStyle w:val="a5"/>
      <w:ind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FC61AE" w14:textId="77777777" w:rsidR="00372622" w:rsidRDefault="00372622">
    <w:pPr>
      <w:pStyle w:val="a5"/>
      <w:ind w:firstLine="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950942" w14:textId="77777777" w:rsidR="00372622" w:rsidRDefault="00372622">
    <w:pPr>
      <w:pStyle w:val="a5"/>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6CAB"/>
    <w:rsid w:val="0006498F"/>
    <w:rsid w:val="001060EA"/>
    <w:rsid w:val="001217D6"/>
    <w:rsid w:val="001E0674"/>
    <w:rsid w:val="00285AA5"/>
    <w:rsid w:val="002F452E"/>
    <w:rsid w:val="003436C1"/>
    <w:rsid w:val="00372622"/>
    <w:rsid w:val="003B0152"/>
    <w:rsid w:val="00520A7D"/>
    <w:rsid w:val="005D5DB3"/>
    <w:rsid w:val="00631325"/>
    <w:rsid w:val="006955D7"/>
    <w:rsid w:val="006A7F2C"/>
    <w:rsid w:val="006D646D"/>
    <w:rsid w:val="006F4AA5"/>
    <w:rsid w:val="008242DA"/>
    <w:rsid w:val="00841CB7"/>
    <w:rsid w:val="008813B2"/>
    <w:rsid w:val="008C5B61"/>
    <w:rsid w:val="008D6CAB"/>
    <w:rsid w:val="008E7A1D"/>
    <w:rsid w:val="00994EBA"/>
    <w:rsid w:val="009F5EE3"/>
    <w:rsid w:val="00A25E3E"/>
    <w:rsid w:val="00A360FE"/>
    <w:rsid w:val="00AC2F9E"/>
    <w:rsid w:val="00B258B2"/>
    <w:rsid w:val="00B345BE"/>
    <w:rsid w:val="00B3470E"/>
    <w:rsid w:val="00BC2EB5"/>
    <w:rsid w:val="00C04F47"/>
    <w:rsid w:val="00C05C46"/>
    <w:rsid w:val="00C74DF3"/>
    <w:rsid w:val="00CA3F14"/>
    <w:rsid w:val="00CC3DC7"/>
    <w:rsid w:val="00D43BDE"/>
    <w:rsid w:val="00D97FC9"/>
    <w:rsid w:val="00DB7530"/>
    <w:rsid w:val="00DF4BD4"/>
    <w:rsid w:val="00E16383"/>
    <w:rsid w:val="00E630DD"/>
    <w:rsid w:val="00EE1A49"/>
    <w:rsid w:val="00EF325C"/>
    <w:rsid w:val="00F64869"/>
    <w:rsid w:val="00FB3454"/>
    <w:rsid w:val="00FF5522"/>
    <w:rsid w:val="0CC7259C"/>
    <w:rsid w:val="402956AB"/>
    <w:rsid w:val="4CB61F0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21BAFA"/>
  <w15:docId w15:val="{C4495337-3C37-4EB5-BCAF-A7B76AA4F3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DengXian" w:eastAsia="DengXian" w:hAnsi="DengXian" w:cs="DengXi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pacing w:line="360" w:lineRule="auto"/>
      <w:ind w:firstLineChars="200" w:firstLine="200"/>
      <w:jc w:val="both"/>
    </w:pPr>
    <w:rPr>
      <w:rFonts w:ascii="Times New Roman" w:eastAsiaTheme="minorEastAsia" w:hAnsi="Times New Roman" w:cstheme="minorBidi"/>
      <w:kern w:val="2"/>
      <w:sz w:val="24"/>
      <w:szCs w:val="22"/>
    </w:rPr>
  </w:style>
  <w:style w:type="paragraph" w:styleId="1">
    <w:name w:val="heading 1"/>
    <w:basedOn w:val="a"/>
    <w:next w:val="a"/>
    <w:link w:val="10"/>
    <w:uiPriority w:val="9"/>
    <w:qFormat/>
    <w:pPr>
      <w:keepNext/>
      <w:keepLines/>
      <w:outlineLvl w:val="0"/>
    </w:pPr>
    <w:rPr>
      <w:rFonts w:eastAsiaTheme="majorEastAsia"/>
      <w:b/>
      <w:bCs/>
      <w:kern w:val="44"/>
      <w:szCs w:val="44"/>
    </w:rPr>
  </w:style>
  <w:style w:type="paragraph" w:styleId="2">
    <w:name w:val="heading 2"/>
    <w:basedOn w:val="a"/>
    <w:next w:val="a"/>
    <w:link w:val="20"/>
    <w:uiPriority w:val="9"/>
    <w:semiHidden/>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pPr>
      <w:tabs>
        <w:tab w:val="center" w:pos="4153"/>
        <w:tab w:val="right" w:pos="8306"/>
      </w:tabs>
      <w:snapToGrid w:val="0"/>
      <w:spacing w:line="240" w:lineRule="auto"/>
      <w:jc w:val="left"/>
    </w:pPr>
    <w:rPr>
      <w:sz w:val="18"/>
      <w:szCs w:val="18"/>
    </w:rPr>
  </w:style>
  <w:style w:type="paragraph" w:styleId="a5">
    <w:name w:val="header"/>
    <w:basedOn w:val="a"/>
    <w:link w:val="a6"/>
    <w:uiPriority w:val="99"/>
    <w:unhideWhenUsed/>
    <w:pPr>
      <w:pBdr>
        <w:bottom w:val="single" w:sz="6" w:space="1" w:color="auto"/>
      </w:pBdr>
      <w:tabs>
        <w:tab w:val="center" w:pos="4153"/>
        <w:tab w:val="right" w:pos="8306"/>
      </w:tabs>
      <w:snapToGrid w:val="0"/>
      <w:spacing w:line="240" w:lineRule="auto"/>
      <w:jc w:val="center"/>
    </w:pPr>
    <w:rPr>
      <w:sz w:val="18"/>
      <w:szCs w:val="18"/>
    </w:rPr>
  </w:style>
  <w:style w:type="paragraph" w:styleId="a7">
    <w:name w:val="Title"/>
    <w:basedOn w:val="a"/>
    <w:next w:val="a"/>
    <w:link w:val="a8"/>
    <w:uiPriority w:val="10"/>
    <w:qFormat/>
    <w:pPr>
      <w:spacing w:before="120" w:after="120" w:line="240" w:lineRule="auto"/>
      <w:ind w:firstLineChars="0" w:firstLine="0"/>
      <w:outlineLvl w:val="0"/>
    </w:pPr>
    <w:rPr>
      <w:rFonts w:eastAsia="Times New Roman" w:cstheme="majorBidi"/>
      <w:bCs/>
      <w:sz w:val="21"/>
      <w:szCs w:val="32"/>
    </w:rPr>
  </w:style>
  <w:style w:type="character" w:customStyle="1" w:styleId="10">
    <w:name w:val="标题 1 字符"/>
    <w:basedOn w:val="a0"/>
    <w:link w:val="1"/>
    <w:uiPriority w:val="9"/>
    <w:rPr>
      <w:rFonts w:ascii="Times New Roman" w:eastAsiaTheme="majorEastAsia" w:hAnsi="Times New Roman"/>
      <w:b/>
      <w:bCs/>
      <w:kern w:val="44"/>
      <w:sz w:val="24"/>
      <w:szCs w:val="44"/>
    </w:rPr>
  </w:style>
  <w:style w:type="character" w:customStyle="1" w:styleId="20">
    <w:name w:val="标题 2 字符"/>
    <w:basedOn w:val="a0"/>
    <w:link w:val="2"/>
    <w:uiPriority w:val="9"/>
    <w:semiHidden/>
    <w:qFormat/>
    <w:rPr>
      <w:rFonts w:asciiTheme="majorHAnsi" w:eastAsiaTheme="majorEastAsia" w:hAnsiTheme="majorHAnsi" w:cstheme="majorBidi"/>
      <w:b/>
      <w:bCs/>
      <w:sz w:val="32"/>
      <w:szCs w:val="32"/>
    </w:rPr>
  </w:style>
  <w:style w:type="paragraph" w:customStyle="1" w:styleId="11">
    <w:name w:val="书目1"/>
    <w:basedOn w:val="a"/>
    <w:next w:val="a"/>
    <w:uiPriority w:val="37"/>
    <w:unhideWhenUsed/>
    <w:qFormat/>
    <w:pPr>
      <w:tabs>
        <w:tab w:val="left" w:pos="384"/>
      </w:tabs>
      <w:spacing w:line="240" w:lineRule="auto"/>
      <w:ind w:left="384" w:hanging="384"/>
    </w:pPr>
  </w:style>
  <w:style w:type="character" w:customStyle="1" w:styleId="a8">
    <w:name w:val="标题 字符"/>
    <w:basedOn w:val="a0"/>
    <w:link w:val="a7"/>
    <w:uiPriority w:val="10"/>
    <w:qFormat/>
    <w:rPr>
      <w:rFonts w:ascii="Times New Roman" w:eastAsia="Times New Roman" w:hAnsi="Times New Roman" w:cstheme="majorBidi"/>
      <w:bCs/>
      <w:szCs w:val="32"/>
    </w:rPr>
  </w:style>
  <w:style w:type="character" w:customStyle="1" w:styleId="a6">
    <w:name w:val="页眉 字符"/>
    <w:basedOn w:val="a0"/>
    <w:link w:val="a5"/>
    <w:uiPriority w:val="99"/>
    <w:rPr>
      <w:rFonts w:ascii="Times New Roman" w:hAnsi="Times New Roman"/>
      <w:sz w:val="18"/>
      <w:szCs w:val="18"/>
    </w:rPr>
  </w:style>
  <w:style w:type="character" w:customStyle="1" w:styleId="a4">
    <w:name w:val="页脚 字符"/>
    <w:basedOn w:val="a0"/>
    <w:link w:val="a3"/>
    <w:uiPriority w:val="99"/>
    <w:qFormat/>
    <w:rPr>
      <w:rFonts w:ascii="Times New Roman" w:hAnsi="Times New Roman"/>
      <w:sz w:val="18"/>
      <w:szCs w:val="18"/>
    </w:rPr>
  </w:style>
  <w:style w:type="character" w:styleId="a9">
    <w:name w:val="Placeholder Text"/>
    <w:basedOn w:val="a0"/>
    <w:uiPriority w:val="99"/>
    <w:semiHidden/>
    <w:qFormat/>
    <w:rPr>
      <w:color w:val="808080"/>
    </w:rPr>
  </w:style>
  <w:style w:type="paragraph" w:customStyle="1" w:styleId="12">
    <w:name w:val="修订1"/>
    <w:hidden/>
    <w:uiPriority w:val="99"/>
    <w:semiHidden/>
    <w:rPr>
      <w:rFonts w:ascii="Times New Roman" w:eastAsiaTheme="minorEastAsia" w:hAnsi="Times New Roman" w:cstheme="minorBidi"/>
      <w:kern w:val="2"/>
      <w:sz w:val="24"/>
      <w:szCs w:val="22"/>
    </w:rPr>
  </w:style>
  <w:style w:type="paragraph" w:styleId="aa">
    <w:name w:val="List Paragraph"/>
    <w:basedOn w:val="a"/>
    <w:uiPriority w:val="34"/>
    <w:qFormat/>
    <w:pPr>
      <w:ind w:firstLine="420"/>
    </w:pPr>
  </w:style>
  <w:style w:type="table" w:customStyle="1" w:styleId="13">
    <w:name w:val="网格型1"/>
    <w:basedOn w:val="a1"/>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Revision"/>
    <w:hidden/>
    <w:uiPriority w:val="99"/>
    <w:unhideWhenUsed/>
    <w:rsid w:val="006F4AA5"/>
    <w:rPr>
      <w:rFonts w:ascii="Times New Roman" w:eastAsiaTheme="minorEastAsia" w:hAnsi="Times New Roman" w:cstheme="minorBidi"/>
      <w:kern w:val="2"/>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5619C3-DCFF-499B-BA47-0D1901C03D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929</Words>
  <Characters>5301</Characters>
  <Application>Microsoft Office Word</Application>
  <DocSecurity>0</DocSecurity>
  <Lines>44</Lines>
  <Paragraphs>12</Paragraphs>
  <ScaleCrop>false</ScaleCrop>
  <Company/>
  <LinksUpToDate>false</LinksUpToDate>
  <CharactersWithSpaces>6218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linbin W</dc:creator>
  <cp:lastModifiedBy>Zhibo Zhao</cp:lastModifiedBy>
  <cp:revision>6</cp:revision>
  <dcterms:created xsi:type="dcterms:W3CDTF">2025-03-30T13:22:00Z</dcterms:created>
  <dcterms:modified xsi:type="dcterms:W3CDTF">2025-04-03T02:41:00Z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zotero-version="6.0.36"&gt;&lt;session id="j6JCUOpU"/&gt;&lt;style id="http://www.zotero.org/styles/environmental-science-and-technology" hasBibliography="1" bibliographyStyleHasBeenSet="1"/&gt;&lt;prefs&gt;&lt;pref name="fieldType" value="Field"/&gt;&lt;/prefs&gt;</vt:lpwstr>
  </property>
  <property fmtid="{D5CDD505-2E9C-101B-9397-08002B2CF9AE}" pid="3" name="ZOTERO_PREF_2">
    <vt:lpwstr>&lt;/data&gt;</vt:lpwstr>
  </property>
  <property fmtid="{D5CDD505-2E9C-101B-9397-08002B2CF9AE}" pid="4" name="KSOTemplateDocerSaveRecord">
    <vt:lpwstr>eyJoZGlkIjoiZDU4MWRhMTY2N2ViNmJmMzQ1M2NhZGZhN2Q2MDFjMjgifQ==</vt:lpwstr>
  </property>
  <property fmtid="{D5CDD505-2E9C-101B-9397-08002B2CF9AE}" pid="5" name="KSOProductBuildVer">
    <vt:lpwstr>2052-12.1.0.20784</vt:lpwstr>
  </property>
  <property fmtid="{D5CDD505-2E9C-101B-9397-08002B2CF9AE}" pid="6" name="ICV">
    <vt:lpwstr>AE583FFD65774AF1B9FD290279E32D65_12</vt:lpwstr>
  </property>
</Properties>
</file>