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32A2D">
      <w:pPr>
        <w:pStyle w:val="52"/>
        <w:rPr>
          <w:color w:val="auto"/>
        </w:rPr>
      </w:pPr>
      <w:r>
        <w:rPr>
          <w:color w:val="auto"/>
        </w:rPr>
        <w:t>Supplementary Material</w:t>
      </w:r>
    </w:p>
    <w:p w14:paraId="7EDA8F6B">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eastAsia="宋体" w:cs="Times New Roman"/>
          <w:color w:val="auto"/>
          <w:kern w:val="0"/>
          <w:sz w:val="24"/>
          <w:szCs w:val="24"/>
          <w:lang w:val="en-US" w:eastAsia="zh-CN" w:bidi="ar"/>
        </w:rPr>
      </w:pPr>
      <w:r>
        <w:rPr>
          <w:rFonts w:hint="eastAsia" w:eastAsia="宋体" w:cs="Times New Roman"/>
          <w:b/>
          <w:bCs/>
          <w:color w:val="auto"/>
          <w:kern w:val="0"/>
          <w:sz w:val="24"/>
          <w:szCs w:val="24"/>
          <w:lang w:val="en-US" w:eastAsia="zh-CN" w:bidi="ar"/>
        </w:rPr>
        <w:t>Methods</w:t>
      </w:r>
    </w:p>
    <w:p w14:paraId="3AC9D60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eastAsia="宋体" w:cs="Times New Roman"/>
          <w:b/>
          <w:bCs/>
          <w:color w:val="auto"/>
          <w:kern w:val="0"/>
          <w:sz w:val="24"/>
          <w:szCs w:val="24"/>
          <w:lang w:val="en-US" w:eastAsia="zh-CN" w:bidi="ar"/>
        </w:rPr>
      </w:pPr>
      <w:r>
        <w:rPr>
          <w:rFonts w:hint="default" w:ascii="Times New Roman" w:hAnsi="Times New Roman" w:eastAsia="宋体" w:cs="Times New Roman"/>
          <w:b/>
          <w:bCs/>
          <w:color w:val="auto"/>
          <w:kern w:val="0"/>
          <w:sz w:val="24"/>
          <w:szCs w:val="24"/>
          <w:lang w:val="en-US" w:eastAsia="zh-CN" w:bidi="ar"/>
        </w:rPr>
        <w:t>Bioinformatics Analysis Workflow</w:t>
      </w:r>
    </w:p>
    <w:p w14:paraId="486BCF09">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Quality Filtering with Trimmomatic</w:t>
      </w:r>
      <w:r>
        <w:rPr>
          <w:rFonts w:hint="eastAsia"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val="en-US" w:eastAsia="zh-CN" w:bidi="ar"/>
        </w:rPr>
        <w:t>We used Trimmomatic [1] (version 0.33) to perform quality filtering on the raw sequencing data. Trimmomatic is a widely-used tool for quality control of Illumina high-throughput sequencing reads. It supports both single-end and paired-end FASTQ format data with Phred quality scores of 64.</w:t>
      </w:r>
    </w:p>
    <w:p w14:paraId="72F9A609">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Parameters:</w:t>
      </w:r>
    </w:p>
    <w:p w14:paraId="2B1A53C0">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Window size: 50 bp</w:t>
      </w:r>
    </w:p>
    <w:p w14:paraId="002A4C98">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Average quality threshold within the window: 20</w:t>
      </w:r>
    </w:p>
    <w:p w14:paraId="5392DEF8">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Trimming action: If the average quality within the window falls below 20, the sequence is trimmed from that point onward.</w:t>
      </w:r>
    </w:p>
    <w:p w14:paraId="383D36B0">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This step ensures that only high-quality reads are retained for downstream analysis.</w:t>
      </w:r>
    </w:p>
    <w:p w14:paraId="493818C2">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2. Primer Sequence Identification and Removal with Cutadapt</w:t>
      </w:r>
      <w:r>
        <w:rPr>
          <w:rFonts w:hint="eastAsia"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val="en-US" w:eastAsia="zh-CN" w:bidi="ar"/>
        </w:rPr>
        <w:t>We employed Cutadapt [2] (version 1.9.1) to identify and remove primer sequences from the filtered reads.</w:t>
      </w:r>
    </w:p>
    <w:p w14:paraId="02938321">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Parameters:</w:t>
      </w:r>
    </w:p>
    <w:p w14:paraId="14D02DED">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Maximum mismatch rate: 20%</w:t>
      </w:r>
    </w:p>
    <w:p w14:paraId="49969C30">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Minimum primer match coverage: 80%</w:t>
      </w:r>
    </w:p>
    <w:p w14:paraId="2342E4D3">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This step ensures that primer sequences do not interfere with subsequent analyses.</w:t>
      </w:r>
    </w:p>
    <w:p w14:paraId="338674C8">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3. Paired-End Reads Assembly with USEARCH</w:t>
      </w:r>
      <w:r>
        <w:rPr>
          <w:rFonts w:hint="eastAsia"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val="en-US" w:eastAsia="zh-CN" w:bidi="ar"/>
        </w:rPr>
        <w:t>We used USEARCH [</w:t>
      </w:r>
      <w:r>
        <w:rPr>
          <w:rFonts w:hint="eastAsia" w:eastAsia="宋体" w:cs="Times New Roman"/>
          <w:color w:val="auto"/>
          <w:kern w:val="0"/>
          <w:sz w:val="24"/>
          <w:szCs w:val="24"/>
          <w:lang w:val="en-US" w:eastAsia="zh-CN" w:bidi="ar"/>
        </w:rPr>
        <w:t>3</w:t>
      </w:r>
      <w:r>
        <w:rPr>
          <w:rFonts w:hint="default" w:ascii="Times New Roman" w:hAnsi="Times New Roman" w:eastAsia="宋体" w:cs="Times New Roman"/>
          <w:color w:val="auto"/>
          <w:kern w:val="0"/>
          <w:sz w:val="24"/>
          <w:szCs w:val="24"/>
          <w:lang w:val="en-US" w:eastAsia="zh-CN" w:bidi="ar"/>
        </w:rPr>
        <w:t>] (version 10) to merge the paired-end reads.</w:t>
      </w:r>
    </w:p>
    <w:p w14:paraId="50725695">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Parameters:</w:t>
      </w:r>
    </w:p>
    <w:p w14:paraId="586ABE97">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Minimum overlap length: 10 bp</w:t>
      </w:r>
    </w:p>
    <w:p w14:paraId="06D525C2">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Minimum similarity in the overlap region: 90%</w:t>
      </w:r>
    </w:p>
    <w:p w14:paraId="65DA2D57">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Maximum mismatches in the overlap region: 5 bp (default)</w:t>
      </w:r>
    </w:p>
    <w:p w14:paraId="66F47580">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This step combines the forward and reverse reads into contiguous sequences, enhancing the quality and length of the sequences for further analysis.</w:t>
      </w:r>
    </w:p>
    <w:p w14:paraId="6F6048A5">
      <w:pPr>
        <w:keepNext w:val="0"/>
        <w:keepLines w:val="0"/>
        <w:pageBreakBefore w:val="0"/>
        <w:widowControl/>
        <w:numPr>
          <w:ilvl w:val="0"/>
          <w:numId w:val="4"/>
        </w:numPr>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Chimera Detection and Removal with UCHIME</w:t>
      </w:r>
      <w:r>
        <w:rPr>
          <w:rFonts w:hint="eastAsia"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val="en-US" w:eastAsia="zh-CN" w:bidi="ar"/>
        </w:rPr>
        <w:t xml:space="preserve">We applied UCHIME [4] (version 8.1) to detect and remove chimeric sequences.  </w:t>
      </w:r>
    </w:p>
    <w:p w14:paraId="587F28FC">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Principle:</w:t>
      </w:r>
    </w:p>
    <w:p w14:paraId="5F662EEF">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Step 1: Split the query sequence into non-overlapping chunks and align them against a reference database.</w:t>
      </w:r>
    </w:p>
    <w:p w14:paraId="79D229A2">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Step 2: Identify the best matches for each chunk and select the two best parent sequences.</w:t>
      </w:r>
    </w:p>
    <w:p w14:paraId="119D790A">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Step 3: Compare the query sequence with the two parent sequences. If both parents have segments with a similarity of over 80% to the query sequence, the query is flagged as a chimera.</w:t>
      </w:r>
    </w:p>
    <w:p w14:paraId="4A193C54">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This step ensures that only genuine biological sequences are retained for downstream analysis.</w:t>
      </w:r>
    </w:p>
    <w:p w14:paraId="1E3DC1DE">
      <w:pPr>
        <w:keepNext w:val="0"/>
        <w:keepLines w:val="0"/>
        <w:pageBreakBefore w:val="0"/>
        <w:widowControl/>
        <w:numPr>
          <w:ilvl w:val="0"/>
          <w:numId w:val="4"/>
        </w:numPr>
        <w:kinsoku/>
        <w:wordWrap/>
        <w:overflowPunct/>
        <w:topLinePunct w:val="0"/>
        <w:autoSpaceDE/>
        <w:autoSpaceDN/>
        <w:bidi w:val="0"/>
        <w:adjustRightInd/>
        <w:snapToGrid/>
        <w:spacing w:after="0" w:line="240" w:lineRule="auto"/>
        <w:ind w:left="0" w:leftChars="0"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Denoising with DADA2 in QIIME2</w:t>
      </w:r>
      <w:r>
        <w:rPr>
          <w:rFonts w:hint="eastAsia"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val="en-US" w:eastAsia="zh-CN" w:bidi="ar"/>
        </w:rPr>
        <w:t xml:space="preserve">After quality filtering and primer removal, we performed denoising using the DADA2 </w:t>
      </w:r>
      <w:r>
        <w:rPr>
          <w:rFonts w:hint="eastAsia" w:eastAsia="宋体" w:cs="Times New Roman"/>
          <w:color w:val="auto"/>
          <w:kern w:val="0"/>
          <w:sz w:val="24"/>
          <w:szCs w:val="24"/>
          <w:lang w:val="en-US" w:eastAsia="zh-CN" w:bidi="ar"/>
        </w:rPr>
        <w:t xml:space="preserve">[5] </w:t>
      </w:r>
      <w:r>
        <w:rPr>
          <w:rFonts w:hint="default" w:ascii="Times New Roman" w:hAnsi="Times New Roman" w:eastAsia="宋体" w:cs="Times New Roman"/>
          <w:color w:val="auto"/>
          <w:kern w:val="0"/>
          <w:sz w:val="24"/>
          <w:szCs w:val="24"/>
          <w:lang w:val="en-US" w:eastAsia="zh-CN" w:bidi="ar"/>
        </w:rPr>
        <w:t>method implemented in QIIME2 [</w:t>
      </w:r>
      <w:r>
        <w:rPr>
          <w:rFonts w:hint="eastAsia" w:eastAsia="宋体" w:cs="Times New Roman"/>
          <w:color w:val="auto"/>
          <w:kern w:val="0"/>
          <w:sz w:val="24"/>
          <w:szCs w:val="24"/>
          <w:lang w:val="en-US" w:eastAsia="zh-CN" w:bidi="ar"/>
        </w:rPr>
        <w:t>6</w:t>
      </w:r>
      <w:r>
        <w:rPr>
          <w:rFonts w:hint="default" w:ascii="Times New Roman" w:hAnsi="Times New Roman" w:eastAsia="宋体" w:cs="Times New Roman"/>
          <w:color w:val="auto"/>
          <w:kern w:val="0"/>
          <w:sz w:val="24"/>
          <w:szCs w:val="24"/>
          <w:lang w:val="en-US" w:eastAsia="zh-CN" w:bidi="ar"/>
        </w:rPr>
        <w:t>] (version 2020.6). DADA2 is a state-of-the-art method for resolving exact sequence variants from amplicon sequencing data, providing a more accurate representation of microbial diversity compared to traditional OTU clustering methods.</w:t>
      </w:r>
    </w:p>
    <w:p w14:paraId="1ECA892B">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Parameters:</w:t>
      </w:r>
    </w:p>
    <w:p w14:paraId="33ADA924">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Default threshold: 0.005% of the total number of sequences for filtering ASVs.</w:t>
      </w:r>
      <w:r>
        <w:rPr>
          <w:rFonts w:hint="default" w:ascii="Times New Roman" w:hAnsi="Times New Roman" w:eastAsia="宋体" w:cs="Times New Roman"/>
          <w:color w:val="auto"/>
          <w:kern w:val="0"/>
          <w:sz w:val="24"/>
          <w:szCs w:val="24"/>
          <w:lang w:val="en-US" w:eastAsia="zh-CN" w:bidi="ar"/>
        </w:rPr>
        <w:br w:type="textWrapping"/>
      </w:r>
      <w:r>
        <w:rPr>
          <w:rFonts w:hint="default" w:ascii="Times New Roman" w:hAnsi="Times New Roman" w:eastAsia="宋体" w:cs="Times New Roman"/>
          <w:color w:val="auto"/>
          <w:kern w:val="0"/>
          <w:sz w:val="24"/>
          <w:szCs w:val="24"/>
          <w:lang w:val="en-US" w:eastAsia="zh-CN" w:bidi="ar"/>
        </w:rPr>
        <w:t>This step ensures that only true biological sequences are retained, minimizing the impact of sequencing errors..</w:t>
      </w:r>
    </w:p>
    <w:p w14:paraId="25A63D41">
      <w:pPr>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The trim lengths for the 16S and ITS sequencing prior to merging and taxonomic assignment are now detailed in Supplementary Figure 1 and Supplementary Figure 2, respectively.</w:t>
      </w:r>
    </w:p>
    <w:p w14:paraId="0B8312C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eastAsia"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References</w:t>
      </w:r>
      <w:r>
        <w:rPr>
          <w:rFonts w:hint="eastAsia" w:ascii="Times New Roman" w:hAnsi="Times New Roman" w:eastAsia="宋体" w:cs="Times New Roman"/>
          <w:color w:val="auto"/>
          <w:kern w:val="0"/>
          <w:sz w:val="24"/>
          <w:szCs w:val="24"/>
          <w:lang w:val="en-US" w:eastAsia="zh-CN" w:bidi="ar"/>
        </w:rPr>
        <w:t>:</w:t>
      </w:r>
    </w:p>
    <w:p w14:paraId="7E0A54FD">
      <w:pPr>
        <w:keepNext w:val="0"/>
        <w:keepLines w:val="0"/>
        <w:pageBreakBefore w:val="0"/>
        <w:widowControl/>
        <w:numPr>
          <w:ilvl w:val="0"/>
          <w:numId w:val="5"/>
        </w:numPr>
        <w:kinsoku/>
        <w:wordWrap/>
        <w:overflowPunct/>
        <w:topLinePunct w:val="0"/>
        <w:autoSpaceDE/>
        <w:autoSpaceDN/>
        <w:bidi w:val="0"/>
        <w:adjustRightInd/>
        <w:snapToGrid/>
        <w:spacing w:after="0" w:line="240" w:lineRule="auto"/>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Bolger A M, Lohse M, Usadel B. Trimmomatic: a flexible trimmer for Illumina sequence data. Bioinformatics, 2014, 30(15): 2114-2120.</w:t>
      </w:r>
      <w:r>
        <w:rPr>
          <w:rFonts w:hint="eastAsia"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val="en-US" w:eastAsia="zh-CN" w:bidi="ar"/>
        </w:rPr>
        <w:t>https://doi.org/10.1093/bioinformatics/btu170</w:t>
      </w:r>
    </w:p>
    <w:p w14:paraId="29DD0674">
      <w:pPr>
        <w:keepNext w:val="0"/>
        <w:keepLines w:val="0"/>
        <w:pageBreakBefore w:val="0"/>
        <w:widowControl/>
        <w:numPr>
          <w:ilvl w:val="0"/>
          <w:numId w:val="5"/>
        </w:numPr>
        <w:kinsoku/>
        <w:wordWrap/>
        <w:overflowPunct/>
        <w:topLinePunct w:val="0"/>
        <w:autoSpaceDE/>
        <w:autoSpaceDN/>
        <w:bidi w:val="0"/>
        <w:adjustRightInd/>
        <w:snapToGrid/>
        <w:spacing w:after="0" w:line="240" w:lineRule="auto"/>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Martin M. Cutadapt removes adapter sequences from high-throughput sequencing reads. EMBnet. journal, 2011, 17(1): 10-12.</w:t>
      </w:r>
      <w:r>
        <w:rPr>
          <w:rFonts w:hint="eastAsia"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val="en-US" w:eastAsia="zh-CN" w:bidi="ar"/>
        </w:rPr>
        <w:fldChar w:fldCharType="begin"/>
      </w:r>
      <w:r>
        <w:rPr>
          <w:rFonts w:hint="default" w:ascii="Times New Roman" w:hAnsi="Times New Roman" w:eastAsia="宋体" w:cs="Times New Roman"/>
          <w:color w:val="auto"/>
          <w:kern w:val="0"/>
          <w:sz w:val="24"/>
          <w:szCs w:val="24"/>
          <w:lang w:val="en-US" w:eastAsia="zh-CN" w:bidi="ar"/>
        </w:rPr>
        <w:instrText xml:space="preserve"> HYPERLINK "https://doi.org/10.14806/ej.17.1.200" </w:instrText>
      </w:r>
      <w:r>
        <w:rPr>
          <w:rFonts w:hint="default" w:ascii="Times New Roman" w:hAnsi="Times New Roman" w:eastAsia="宋体" w:cs="Times New Roman"/>
          <w:color w:val="auto"/>
          <w:kern w:val="0"/>
          <w:sz w:val="24"/>
          <w:szCs w:val="24"/>
          <w:lang w:val="en-US" w:eastAsia="zh-CN" w:bidi="ar"/>
        </w:rPr>
        <w:fldChar w:fldCharType="separate"/>
      </w:r>
      <w:r>
        <w:rPr>
          <w:rFonts w:hint="default" w:ascii="Times New Roman" w:hAnsi="Times New Roman" w:eastAsia="宋体" w:cs="Times New Roman"/>
          <w:color w:val="auto"/>
          <w:kern w:val="0"/>
          <w:sz w:val="24"/>
          <w:szCs w:val="24"/>
          <w:lang w:val="en-US" w:eastAsia="zh-CN" w:bidi="ar"/>
        </w:rPr>
        <w:t>https://doi.org/10.14806/ej.17.1.200</w:t>
      </w:r>
      <w:r>
        <w:rPr>
          <w:rFonts w:hint="default" w:ascii="Times New Roman" w:hAnsi="Times New Roman" w:eastAsia="宋体" w:cs="Times New Roman"/>
          <w:color w:val="auto"/>
          <w:kern w:val="0"/>
          <w:sz w:val="24"/>
          <w:szCs w:val="24"/>
          <w:lang w:val="en-US" w:eastAsia="zh-CN" w:bidi="ar"/>
        </w:rPr>
        <w:fldChar w:fldCharType="end"/>
      </w:r>
    </w:p>
    <w:p w14:paraId="063885BF">
      <w:pPr>
        <w:keepNext w:val="0"/>
        <w:keepLines w:val="0"/>
        <w:pageBreakBefore w:val="0"/>
        <w:widowControl/>
        <w:numPr>
          <w:ilvl w:val="0"/>
          <w:numId w:val="5"/>
        </w:numPr>
        <w:kinsoku/>
        <w:wordWrap/>
        <w:overflowPunct/>
        <w:topLinePunct w:val="0"/>
        <w:autoSpaceDE/>
        <w:autoSpaceDN/>
        <w:bidi w:val="0"/>
        <w:adjustRightInd/>
        <w:snapToGrid/>
        <w:spacing w:after="0" w:line="240" w:lineRule="auto"/>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Edgar R C. UPARSE: highly accurate OTU sequences from microbial amplicon reads. Nature methods, 2013, 10(10): 996-998.</w:t>
      </w:r>
      <w:r>
        <w:rPr>
          <w:rFonts w:hint="eastAsia"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val="en-US" w:eastAsia="zh-CN" w:bidi="ar"/>
        </w:rPr>
        <w:fldChar w:fldCharType="begin"/>
      </w:r>
      <w:r>
        <w:rPr>
          <w:rFonts w:hint="default" w:ascii="Times New Roman" w:hAnsi="Times New Roman" w:eastAsia="宋体" w:cs="Times New Roman"/>
          <w:color w:val="auto"/>
          <w:kern w:val="0"/>
          <w:sz w:val="24"/>
          <w:szCs w:val="24"/>
          <w:lang w:val="en-US" w:eastAsia="zh-CN" w:bidi="ar"/>
        </w:rPr>
        <w:instrText xml:space="preserve"> HYPERLINK "https://spis.hnlat.com/scholar/redirect?url=https://doi.org/10.1038/nmeth.2604" \t "https://spis.hnlat.com/scholar/detail/_blank" </w:instrText>
      </w:r>
      <w:r>
        <w:rPr>
          <w:rFonts w:hint="default" w:ascii="Times New Roman" w:hAnsi="Times New Roman" w:eastAsia="宋体" w:cs="Times New Roman"/>
          <w:color w:val="auto"/>
          <w:kern w:val="0"/>
          <w:sz w:val="24"/>
          <w:szCs w:val="24"/>
          <w:lang w:val="en-US" w:eastAsia="zh-CN" w:bidi="ar"/>
        </w:rPr>
        <w:fldChar w:fldCharType="separate"/>
      </w:r>
      <w:r>
        <w:rPr>
          <w:rFonts w:hint="eastAsia" w:ascii="Times New Roman" w:hAnsi="Times New Roman" w:eastAsia="宋体" w:cs="Times New Roman"/>
          <w:color w:val="auto"/>
          <w:kern w:val="0"/>
          <w:sz w:val="24"/>
          <w:szCs w:val="24"/>
          <w:lang w:val="en-US" w:eastAsia="zh-CN" w:bidi="ar"/>
        </w:rPr>
        <w:t>https://doi.org/10.1038/nmeth.2604</w:t>
      </w:r>
      <w:r>
        <w:rPr>
          <w:rFonts w:hint="eastAsia" w:ascii="Times New Roman" w:hAnsi="Times New Roman" w:eastAsia="宋体" w:cs="Times New Roman"/>
          <w:color w:val="auto"/>
          <w:kern w:val="0"/>
          <w:sz w:val="24"/>
          <w:szCs w:val="24"/>
          <w:lang w:val="en-US" w:eastAsia="zh-CN" w:bidi="ar"/>
        </w:rPr>
        <w:fldChar w:fldCharType="end"/>
      </w:r>
    </w:p>
    <w:p w14:paraId="4D323ED7">
      <w:pPr>
        <w:keepNext w:val="0"/>
        <w:keepLines w:val="0"/>
        <w:pageBreakBefore w:val="0"/>
        <w:widowControl/>
        <w:numPr>
          <w:ilvl w:val="0"/>
          <w:numId w:val="5"/>
        </w:numPr>
        <w:kinsoku/>
        <w:wordWrap/>
        <w:overflowPunct/>
        <w:topLinePunct w:val="0"/>
        <w:autoSpaceDE/>
        <w:autoSpaceDN/>
        <w:bidi w:val="0"/>
        <w:adjustRightInd/>
        <w:snapToGrid/>
        <w:spacing w:after="0" w:line="240" w:lineRule="auto"/>
        <w:jc w:val="both"/>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Edgar R C, Haas B J, Clemente J C, et al. UCHIME improves sensitivity and speed of chimera detection. Bioinformatics, 2011, 27(16): 2194-2200.</w:t>
      </w:r>
      <w:r>
        <w:rPr>
          <w:rFonts w:hint="eastAsia" w:ascii="Times New Roman" w:hAnsi="Times New Roman" w:eastAsia="宋体" w:cs="Times New Roman"/>
          <w:color w:val="auto"/>
          <w:kern w:val="0"/>
          <w:sz w:val="24"/>
          <w:szCs w:val="24"/>
          <w:lang w:val="en-US" w:eastAsia="zh-CN" w:bidi="ar"/>
        </w:rPr>
        <w:t xml:space="preserve"> </w:t>
      </w:r>
      <w:r>
        <w:rPr>
          <w:rFonts w:hint="default" w:ascii="Times New Roman" w:hAnsi="Times New Roman" w:eastAsia="宋体" w:cs="Times New Roman"/>
          <w:color w:val="auto"/>
          <w:kern w:val="0"/>
          <w:sz w:val="24"/>
          <w:szCs w:val="24"/>
          <w:lang w:val="en-US" w:eastAsia="zh-CN" w:bidi="ar"/>
        </w:rPr>
        <w:fldChar w:fldCharType="begin"/>
      </w:r>
      <w:r>
        <w:rPr>
          <w:rFonts w:hint="default" w:ascii="Times New Roman" w:hAnsi="Times New Roman" w:eastAsia="宋体" w:cs="Times New Roman"/>
          <w:color w:val="auto"/>
          <w:kern w:val="0"/>
          <w:sz w:val="24"/>
          <w:szCs w:val="24"/>
          <w:lang w:val="en-US" w:eastAsia="zh-CN" w:bidi="ar"/>
        </w:rPr>
        <w:instrText xml:space="preserve"> HYPERLINK "https://doi.org/10.1093/bioinformatics/btr381" </w:instrText>
      </w:r>
      <w:r>
        <w:rPr>
          <w:rFonts w:hint="default" w:ascii="Times New Roman" w:hAnsi="Times New Roman" w:eastAsia="宋体" w:cs="Times New Roman"/>
          <w:color w:val="auto"/>
          <w:kern w:val="0"/>
          <w:sz w:val="24"/>
          <w:szCs w:val="24"/>
          <w:lang w:val="en-US" w:eastAsia="zh-CN" w:bidi="ar"/>
        </w:rPr>
        <w:fldChar w:fldCharType="separate"/>
      </w:r>
      <w:r>
        <w:rPr>
          <w:rFonts w:hint="default" w:ascii="Times New Roman" w:hAnsi="Times New Roman" w:eastAsia="宋体" w:cs="Times New Roman"/>
          <w:color w:val="auto"/>
          <w:kern w:val="0"/>
          <w:sz w:val="24"/>
          <w:szCs w:val="24"/>
          <w:lang w:val="en-US" w:eastAsia="zh-CN" w:bidi="ar"/>
        </w:rPr>
        <w:t>https://doi.org/10.1093/bioinformatics/btr381</w:t>
      </w:r>
      <w:r>
        <w:rPr>
          <w:rFonts w:hint="default" w:ascii="Times New Roman" w:hAnsi="Times New Roman" w:eastAsia="宋体" w:cs="Times New Roman"/>
          <w:color w:val="auto"/>
          <w:kern w:val="0"/>
          <w:sz w:val="24"/>
          <w:szCs w:val="24"/>
          <w:lang w:val="en-US" w:eastAsia="zh-CN" w:bidi="ar"/>
        </w:rPr>
        <w:fldChar w:fldCharType="end"/>
      </w:r>
    </w:p>
    <w:p w14:paraId="7A93F54E">
      <w:pPr>
        <w:keepNext w:val="0"/>
        <w:keepLines w:val="0"/>
        <w:pageBreakBefore w:val="0"/>
        <w:widowControl/>
        <w:numPr>
          <w:ilvl w:val="0"/>
          <w:numId w:val="5"/>
        </w:numPr>
        <w:kinsoku/>
        <w:wordWrap/>
        <w:overflowPunct/>
        <w:topLinePunct w:val="0"/>
        <w:autoSpaceDE/>
        <w:autoSpaceDN/>
        <w:bidi w:val="0"/>
        <w:adjustRightInd/>
        <w:snapToGrid/>
        <w:spacing w:after="0" w:line="240" w:lineRule="auto"/>
        <w:jc w:val="both"/>
        <w:textAlignment w:val="auto"/>
        <w:rPr>
          <w:rFonts w:hint="default"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 xml:space="preserve">Callahan B J, McMurdie P J, Rosen M J, et al. DADA2: High-resolution sample inference from Illumina amplicon data. Nature methods, 2016, 13(7): 581-583. </w:t>
      </w:r>
      <w:r>
        <w:rPr>
          <w:rFonts w:hint="eastAsia" w:ascii="Times New Roman" w:hAnsi="Times New Roman" w:eastAsia="宋体" w:cs="Times New Roman"/>
          <w:color w:val="auto"/>
          <w:kern w:val="0"/>
          <w:sz w:val="24"/>
          <w:szCs w:val="24"/>
          <w:lang w:val="en-US" w:eastAsia="zh-CN" w:bidi="ar"/>
        </w:rPr>
        <w:fldChar w:fldCharType="begin"/>
      </w:r>
      <w:r>
        <w:rPr>
          <w:rFonts w:hint="eastAsia" w:ascii="Times New Roman" w:hAnsi="Times New Roman" w:eastAsia="宋体" w:cs="Times New Roman"/>
          <w:color w:val="auto"/>
          <w:kern w:val="0"/>
          <w:sz w:val="24"/>
          <w:szCs w:val="24"/>
          <w:lang w:val="en-US" w:eastAsia="zh-CN" w:bidi="ar"/>
        </w:rPr>
        <w:instrText xml:space="preserve"> HYPERLINK "https://doi.org/10.1038/nmeth.3869" </w:instrText>
      </w:r>
      <w:r>
        <w:rPr>
          <w:rFonts w:hint="eastAsia" w:ascii="Times New Roman" w:hAnsi="Times New Roman" w:eastAsia="宋体" w:cs="Times New Roman"/>
          <w:color w:val="auto"/>
          <w:kern w:val="0"/>
          <w:sz w:val="24"/>
          <w:szCs w:val="24"/>
          <w:lang w:val="en-US" w:eastAsia="zh-CN" w:bidi="ar"/>
        </w:rPr>
        <w:fldChar w:fldCharType="separate"/>
      </w:r>
      <w:r>
        <w:rPr>
          <w:rFonts w:hint="eastAsia" w:ascii="Times New Roman" w:hAnsi="Times New Roman" w:eastAsia="宋体" w:cs="Times New Roman"/>
          <w:color w:val="auto"/>
          <w:kern w:val="0"/>
          <w:sz w:val="24"/>
          <w:szCs w:val="24"/>
          <w:lang w:val="en-US" w:eastAsia="zh-CN" w:bidi="ar"/>
        </w:rPr>
        <w:t>https://doi.org/10.1038/nmeth.3869</w:t>
      </w:r>
      <w:r>
        <w:rPr>
          <w:rFonts w:hint="eastAsia" w:ascii="Times New Roman" w:hAnsi="Times New Roman" w:eastAsia="宋体" w:cs="Times New Roman"/>
          <w:color w:val="auto"/>
          <w:kern w:val="0"/>
          <w:sz w:val="24"/>
          <w:szCs w:val="24"/>
          <w:lang w:val="en-US" w:eastAsia="zh-CN" w:bidi="ar"/>
        </w:rPr>
        <w:fldChar w:fldCharType="end"/>
      </w:r>
    </w:p>
    <w:p w14:paraId="470934B1">
      <w:pPr>
        <w:keepNext w:val="0"/>
        <w:keepLines w:val="0"/>
        <w:pageBreakBefore w:val="0"/>
        <w:widowControl/>
        <w:numPr>
          <w:ilvl w:val="0"/>
          <w:numId w:val="5"/>
        </w:numPr>
        <w:kinsoku/>
        <w:wordWrap/>
        <w:overflowPunct/>
        <w:topLinePunct w:val="0"/>
        <w:autoSpaceDE/>
        <w:autoSpaceDN/>
        <w:bidi w:val="0"/>
        <w:adjustRightInd/>
        <w:snapToGrid/>
        <w:spacing w:after="0" w:line="240" w:lineRule="auto"/>
        <w:jc w:val="both"/>
        <w:textAlignment w:val="auto"/>
        <w:rPr>
          <w:rFonts w:hint="default"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 xml:space="preserve">Bolyen E, Rideout J R, Dillon M R, et al. Reproducible, interactive, scalable and extensible microbiome data science using QIIME 2. Nature biotechnology, 2019, 37(8): 852-857. </w:t>
      </w:r>
      <w:r>
        <w:rPr>
          <w:rFonts w:hint="eastAsia" w:ascii="Times New Roman" w:hAnsi="Times New Roman" w:eastAsia="宋体" w:cs="Times New Roman"/>
          <w:color w:val="auto"/>
          <w:kern w:val="0"/>
          <w:sz w:val="24"/>
          <w:szCs w:val="24"/>
          <w:lang w:val="en-US" w:eastAsia="zh-CN" w:bidi="ar"/>
        </w:rPr>
        <w:fldChar w:fldCharType="begin"/>
      </w:r>
      <w:r>
        <w:rPr>
          <w:rFonts w:hint="eastAsia" w:ascii="Times New Roman" w:hAnsi="Times New Roman" w:eastAsia="宋体" w:cs="Times New Roman"/>
          <w:color w:val="auto"/>
          <w:kern w:val="0"/>
          <w:sz w:val="24"/>
          <w:szCs w:val="24"/>
          <w:lang w:val="en-US" w:eastAsia="zh-CN" w:bidi="ar"/>
        </w:rPr>
        <w:instrText xml:space="preserve"> HYPERLINK "https://doi.org/10.1038/s41587-019-0209-9" </w:instrText>
      </w:r>
      <w:r>
        <w:rPr>
          <w:rFonts w:hint="eastAsia" w:ascii="Times New Roman" w:hAnsi="Times New Roman" w:eastAsia="宋体" w:cs="Times New Roman"/>
          <w:color w:val="auto"/>
          <w:kern w:val="0"/>
          <w:sz w:val="24"/>
          <w:szCs w:val="24"/>
          <w:lang w:val="en-US" w:eastAsia="zh-CN" w:bidi="ar"/>
        </w:rPr>
        <w:fldChar w:fldCharType="separate"/>
      </w:r>
      <w:r>
        <w:rPr>
          <w:rFonts w:hint="eastAsia" w:ascii="Times New Roman" w:hAnsi="Times New Roman" w:eastAsia="宋体" w:cs="Times New Roman"/>
          <w:color w:val="auto"/>
          <w:kern w:val="0"/>
          <w:sz w:val="24"/>
          <w:szCs w:val="24"/>
          <w:lang w:val="en-US" w:eastAsia="zh-CN" w:bidi="ar"/>
        </w:rPr>
        <w:t>https://doi.org/10.1038/s41587-019-0209-9</w:t>
      </w:r>
      <w:r>
        <w:rPr>
          <w:rFonts w:hint="eastAsia" w:ascii="Times New Roman" w:hAnsi="Times New Roman" w:eastAsia="宋体" w:cs="Times New Roman"/>
          <w:color w:val="auto"/>
          <w:kern w:val="0"/>
          <w:sz w:val="24"/>
          <w:szCs w:val="24"/>
          <w:lang w:val="en-US" w:eastAsia="zh-CN" w:bidi="ar"/>
        </w:rPr>
        <w:fldChar w:fldCharType="end"/>
      </w:r>
    </w:p>
    <w:p w14:paraId="4E92F190">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both"/>
        <w:textAlignment w:val="auto"/>
        <w:rPr>
          <w:rFonts w:hint="eastAsia" w:ascii="Times New Roman" w:hAnsi="Times New Roman" w:eastAsia="宋体" w:cs="Times New Roman"/>
          <w:color w:val="auto"/>
          <w:kern w:val="0"/>
          <w:sz w:val="24"/>
          <w:szCs w:val="24"/>
          <w:lang w:val="en-US" w:eastAsia="zh-CN" w:bidi="ar"/>
        </w:rPr>
      </w:pPr>
    </w:p>
    <w:p w14:paraId="254C1991">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both"/>
        <w:textAlignment w:val="auto"/>
        <w:rPr>
          <w:rFonts w:hint="eastAsia" w:ascii="Times New Roman" w:hAnsi="Times New Roman" w:eastAsia="宋体" w:cs="Times New Roman"/>
          <w:color w:val="auto"/>
          <w:kern w:val="0"/>
          <w:sz w:val="24"/>
          <w:szCs w:val="24"/>
          <w:lang w:val="en-US" w:eastAsia="zh-CN" w:bidi="ar"/>
        </w:rPr>
      </w:pPr>
    </w:p>
    <w:p w14:paraId="490CBEFB">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both"/>
        <w:textAlignment w:val="auto"/>
        <w:rPr>
          <w:rFonts w:hint="eastAsia" w:ascii="Times New Roman" w:hAnsi="Times New Roman" w:eastAsia="宋体" w:cs="Times New Roman"/>
          <w:color w:val="auto"/>
          <w:kern w:val="0"/>
          <w:sz w:val="24"/>
          <w:szCs w:val="24"/>
          <w:lang w:val="en-US" w:eastAsia="zh-CN" w:bidi="ar"/>
        </w:rPr>
      </w:pPr>
    </w:p>
    <w:p w14:paraId="0337ACC3">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both"/>
        <w:textAlignment w:val="auto"/>
        <w:rPr>
          <w:rFonts w:hint="eastAsia" w:ascii="Times New Roman" w:hAnsi="Times New Roman" w:eastAsia="宋体" w:cs="Times New Roman"/>
          <w:color w:val="auto"/>
          <w:kern w:val="0"/>
          <w:sz w:val="24"/>
          <w:szCs w:val="24"/>
          <w:lang w:val="en-US" w:eastAsia="zh-CN" w:bidi="ar"/>
        </w:rPr>
      </w:pPr>
    </w:p>
    <w:p w14:paraId="2EF7228F">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both"/>
        <w:textAlignment w:val="auto"/>
        <w:rPr>
          <w:rFonts w:hint="eastAsia" w:ascii="Times New Roman" w:hAnsi="Times New Roman" w:eastAsia="宋体" w:cs="Times New Roman"/>
          <w:color w:val="auto"/>
          <w:kern w:val="0"/>
          <w:sz w:val="24"/>
          <w:szCs w:val="24"/>
          <w:lang w:val="en-US" w:eastAsia="zh-CN" w:bidi="ar"/>
        </w:rPr>
      </w:pPr>
    </w:p>
    <w:p w14:paraId="04451EA7">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both"/>
        <w:textAlignment w:val="auto"/>
        <w:rPr>
          <w:rFonts w:hint="eastAsia" w:ascii="Times New Roman" w:hAnsi="Times New Roman" w:eastAsia="宋体" w:cs="Times New Roman"/>
          <w:color w:val="auto"/>
          <w:kern w:val="0"/>
          <w:sz w:val="24"/>
          <w:szCs w:val="24"/>
          <w:lang w:val="en-US" w:eastAsia="zh-CN" w:bidi="ar"/>
        </w:rPr>
      </w:pPr>
    </w:p>
    <w:p w14:paraId="2B2171D8">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both"/>
        <w:textAlignment w:val="auto"/>
        <w:rPr>
          <w:rFonts w:hint="eastAsia" w:ascii="Times New Roman" w:hAnsi="Times New Roman" w:eastAsia="宋体" w:cs="Times New Roman"/>
          <w:color w:val="auto"/>
          <w:kern w:val="0"/>
          <w:sz w:val="24"/>
          <w:szCs w:val="24"/>
          <w:lang w:val="en-US" w:eastAsia="zh-CN" w:bidi="ar"/>
        </w:rPr>
      </w:pPr>
    </w:p>
    <w:p w14:paraId="6E074EC2">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both"/>
        <w:textAlignment w:val="auto"/>
        <w:rPr>
          <w:rFonts w:hint="eastAsia" w:ascii="Times New Roman" w:hAnsi="Times New Roman" w:eastAsia="宋体" w:cs="Times New Roman"/>
          <w:color w:val="auto"/>
          <w:kern w:val="0"/>
          <w:sz w:val="24"/>
          <w:szCs w:val="24"/>
          <w:lang w:val="en-US" w:eastAsia="zh-CN" w:bidi="ar"/>
        </w:rPr>
      </w:pPr>
    </w:p>
    <w:p w14:paraId="7D656BED">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both"/>
        <w:textAlignment w:val="auto"/>
        <w:rPr>
          <w:rFonts w:hint="eastAsia" w:ascii="Times New Roman" w:hAnsi="Times New Roman" w:eastAsia="宋体" w:cs="Times New Roman"/>
          <w:color w:val="auto"/>
          <w:kern w:val="0"/>
          <w:sz w:val="24"/>
          <w:szCs w:val="24"/>
          <w:lang w:val="en-US" w:eastAsia="zh-CN" w:bidi="ar"/>
        </w:rPr>
      </w:pPr>
    </w:p>
    <w:p w14:paraId="7F44CCE9">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both"/>
        <w:textAlignment w:val="auto"/>
        <w:rPr>
          <w:rFonts w:hint="eastAsia" w:ascii="Times New Roman" w:hAnsi="Times New Roman" w:eastAsia="宋体" w:cs="Times New Roman"/>
          <w:color w:val="auto"/>
          <w:kern w:val="0"/>
          <w:sz w:val="24"/>
          <w:szCs w:val="24"/>
          <w:lang w:val="en-US" w:eastAsia="zh-CN" w:bidi="ar"/>
        </w:rPr>
      </w:pPr>
    </w:p>
    <w:p w14:paraId="770B6F73">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both"/>
        <w:textAlignment w:val="auto"/>
        <w:rPr>
          <w:rFonts w:hint="eastAsia" w:ascii="Times New Roman" w:hAnsi="Times New Roman" w:eastAsia="宋体" w:cs="Times New Roman"/>
          <w:color w:val="auto"/>
          <w:kern w:val="0"/>
          <w:sz w:val="24"/>
          <w:szCs w:val="24"/>
          <w:lang w:val="en-US" w:eastAsia="zh-CN" w:bidi="ar"/>
        </w:rPr>
      </w:pPr>
    </w:p>
    <w:p w14:paraId="4324C1F9">
      <w:pPr>
        <w:ind w:firstLine="0" w:firstLineChars="0"/>
        <w:rPr>
          <w:rFonts w:hint="default" w:ascii="Times New Roman" w:hAnsi="Times New Roman" w:eastAsia="宋体" w:cs="Times New Roman"/>
          <w:color w:val="C00000"/>
          <w:kern w:val="0"/>
          <w:sz w:val="24"/>
          <w:szCs w:val="24"/>
          <w:lang w:val="en-US" w:eastAsia="zh-CN" w:bidi="ar"/>
        </w:rPr>
      </w:pPr>
    </w:p>
    <w:p w14:paraId="0F1C6D16">
      <w:pPr>
        <w:ind w:firstLine="0" w:firstLineChars="0"/>
        <w:jc w:val="center"/>
        <w:rPr>
          <w:rFonts w:hint="default" w:ascii="Times New Roman" w:hAnsi="Times New Roman" w:eastAsia="宋体" w:cs="Times New Roman"/>
          <w:color w:val="C00000"/>
          <w:kern w:val="0"/>
          <w:sz w:val="24"/>
          <w:szCs w:val="24"/>
          <w:lang w:val="en-US" w:eastAsia="zh-CN" w:bidi="ar"/>
        </w:rPr>
      </w:pPr>
      <w:r>
        <w:rPr>
          <w:rFonts w:hint="default" w:ascii="Times New Roman" w:hAnsi="Times New Roman" w:eastAsia="宋体" w:cs="Times New Roman"/>
          <w:color w:val="C00000"/>
          <w:kern w:val="0"/>
          <w:sz w:val="24"/>
          <w:szCs w:val="24"/>
          <w:lang w:val="en-US" w:eastAsia="zh-CN" w:bidi="ar"/>
        </w:rPr>
        <w:drawing>
          <wp:anchor distT="0" distB="0" distL="114300" distR="114300" simplePos="0" relativeHeight="251662336" behindDoc="0" locked="0" layoutInCell="1" allowOverlap="1">
            <wp:simplePos x="0" y="0"/>
            <wp:positionH relativeFrom="column">
              <wp:posOffset>863600</wp:posOffset>
            </wp:positionH>
            <wp:positionV relativeFrom="paragraph">
              <wp:posOffset>4224020</wp:posOffset>
            </wp:positionV>
            <wp:extent cx="4696460" cy="3197225"/>
            <wp:effectExtent l="0" t="0" r="8890" b="3175"/>
            <wp:wrapTopAndBottom/>
            <wp:docPr id="7" name="图片 7" descr="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TS"/>
                    <pic:cNvPicPr>
                      <a:picLocks noChangeAspect="1"/>
                    </pic:cNvPicPr>
                  </pic:nvPicPr>
                  <pic:blipFill>
                    <a:blip r:embed="rId10"/>
                    <a:stretch>
                      <a:fillRect/>
                    </a:stretch>
                  </pic:blipFill>
                  <pic:spPr>
                    <a:xfrm>
                      <a:off x="0" y="0"/>
                      <a:ext cx="4696460" cy="3197225"/>
                    </a:xfrm>
                    <a:prstGeom prst="rect">
                      <a:avLst/>
                    </a:prstGeom>
                  </pic:spPr>
                </pic:pic>
              </a:graphicData>
            </a:graphic>
          </wp:anchor>
        </w:drawing>
      </w:r>
      <w:r>
        <w:rPr>
          <w:rFonts w:hint="default" w:ascii="Times New Roman" w:hAnsi="Times New Roman" w:eastAsia="宋体" w:cs="Times New Roman"/>
          <w:color w:val="C00000"/>
          <w:kern w:val="0"/>
          <w:sz w:val="24"/>
          <w:szCs w:val="24"/>
          <w:lang w:val="en-US" w:eastAsia="zh-CN" w:bidi="ar"/>
        </w:rPr>
        <w:drawing>
          <wp:anchor distT="0" distB="0" distL="114300" distR="114300" simplePos="0" relativeHeight="251661312" behindDoc="0" locked="0" layoutInCell="1" allowOverlap="1">
            <wp:simplePos x="0" y="0"/>
            <wp:positionH relativeFrom="column">
              <wp:posOffset>615950</wp:posOffset>
            </wp:positionH>
            <wp:positionV relativeFrom="paragraph">
              <wp:posOffset>320040</wp:posOffset>
            </wp:positionV>
            <wp:extent cx="4997450" cy="3383915"/>
            <wp:effectExtent l="0" t="0" r="12700" b="6985"/>
            <wp:wrapTopAndBottom/>
            <wp:docPr id="6" name="图片 6" descr="16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S"/>
                    <pic:cNvPicPr>
                      <a:picLocks noChangeAspect="1"/>
                    </pic:cNvPicPr>
                  </pic:nvPicPr>
                  <pic:blipFill>
                    <a:blip r:embed="rId11"/>
                    <a:stretch>
                      <a:fillRect/>
                    </a:stretch>
                  </pic:blipFill>
                  <pic:spPr>
                    <a:xfrm>
                      <a:off x="0" y="0"/>
                      <a:ext cx="4997450" cy="3383915"/>
                    </a:xfrm>
                    <a:prstGeom prst="rect">
                      <a:avLst/>
                    </a:prstGeom>
                  </pic:spPr>
                </pic:pic>
              </a:graphicData>
            </a:graphic>
          </wp:anchor>
        </w:drawing>
      </w:r>
      <w:r>
        <w:rPr>
          <w:rFonts w:hint="default" w:ascii="Times New Roman" w:hAnsi="Times New Roman" w:cs="Times New Roman"/>
          <w:b/>
          <w:color w:val="auto"/>
          <w:sz w:val="24"/>
          <w:szCs w:val="24"/>
        </w:rPr>
        <w:t>Supplementary</w:t>
      </w:r>
      <w:r>
        <w:rPr>
          <w:rFonts w:hint="eastAsia" w:eastAsia="宋体" w:cs="Times New Roman"/>
          <w:b/>
          <w:color w:val="auto"/>
          <w:sz w:val="24"/>
          <w:szCs w:val="24"/>
          <w:lang w:val="en-US" w:eastAsia="zh-CN"/>
        </w:rPr>
        <w:t xml:space="preserve"> Fig.</w:t>
      </w:r>
      <w:r>
        <w:rPr>
          <w:rFonts w:hint="default" w:ascii="Times New Roman" w:hAnsi="Times New Roman" w:cs="Times New Roman"/>
          <w:b/>
          <w:color w:val="auto"/>
          <w:sz w:val="24"/>
          <w:szCs w:val="24"/>
        </w:rPr>
        <w:t xml:space="preserve"> </w:t>
      </w:r>
      <w:r>
        <w:rPr>
          <w:rFonts w:hint="eastAsia" w:eastAsia="宋体" w:cs="Times New Roman"/>
          <w:b/>
          <w:color w:val="auto"/>
          <w:sz w:val="24"/>
          <w:szCs w:val="24"/>
          <w:lang w:val="en-US" w:eastAsia="zh-CN"/>
        </w:rPr>
        <w:t xml:space="preserve">1 </w:t>
      </w:r>
      <w:r>
        <w:rPr>
          <w:rFonts w:hint="eastAsia" w:ascii="Times New Roman" w:hAnsi="Times New Roman" w:cs="Times New Roman"/>
          <w:sz w:val="24"/>
          <w:szCs w:val="24"/>
          <w:lang w:val="en-US" w:eastAsia="zh-CN"/>
        </w:rPr>
        <w:t>T</w:t>
      </w:r>
      <w:r>
        <w:rPr>
          <w:rFonts w:hint="default" w:ascii="Times New Roman" w:hAnsi="Times New Roman" w:cs="Times New Roman"/>
          <w:sz w:val="24"/>
          <w:szCs w:val="24"/>
          <w:lang w:val="en-US" w:eastAsia="zh-CN"/>
        </w:rPr>
        <w:t>he trim length of the 16S sequencing</w:t>
      </w:r>
    </w:p>
    <w:p w14:paraId="454DCD08">
      <w:pPr>
        <w:ind w:firstLine="0" w:firstLineChars="0"/>
        <w:jc w:val="center"/>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Supplementary</w:t>
      </w:r>
      <w:r>
        <w:rPr>
          <w:rFonts w:hint="eastAsia" w:eastAsia="宋体" w:cs="Times New Roman"/>
          <w:b/>
          <w:color w:val="auto"/>
          <w:sz w:val="24"/>
          <w:szCs w:val="24"/>
          <w:lang w:val="en-US" w:eastAsia="zh-CN"/>
        </w:rPr>
        <w:t xml:space="preserve"> Fig.</w:t>
      </w:r>
      <w:r>
        <w:rPr>
          <w:rFonts w:hint="default" w:ascii="Times New Roman" w:hAnsi="Times New Roman" w:cs="Times New Roman"/>
          <w:b/>
          <w:color w:val="auto"/>
          <w:sz w:val="24"/>
          <w:szCs w:val="24"/>
        </w:rPr>
        <w:t xml:space="preserve"> </w:t>
      </w:r>
      <w:r>
        <w:rPr>
          <w:rFonts w:hint="eastAsia" w:eastAsia="宋体" w:cs="Times New Roman"/>
          <w:b/>
          <w:color w:val="auto"/>
          <w:sz w:val="24"/>
          <w:szCs w:val="24"/>
          <w:lang w:val="en-US" w:eastAsia="zh-CN"/>
        </w:rPr>
        <w:t xml:space="preserve">2 </w:t>
      </w:r>
      <w:r>
        <w:rPr>
          <w:rFonts w:hint="eastAsia" w:ascii="Times New Roman" w:hAnsi="Times New Roman" w:cs="Times New Roman"/>
          <w:sz w:val="24"/>
          <w:szCs w:val="24"/>
          <w:lang w:val="en-US" w:eastAsia="zh-CN"/>
        </w:rPr>
        <w:t>T</w:t>
      </w:r>
      <w:r>
        <w:rPr>
          <w:rFonts w:hint="default" w:ascii="Times New Roman" w:hAnsi="Times New Roman" w:cs="Times New Roman"/>
          <w:sz w:val="24"/>
          <w:szCs w:val="24"/>
          <w:lang w:val="en-US" w:eastAsia="zh-CN"/>
        </w:rPr>
        <w:t>he trim length of the ITS sequencing</w:t>
      </w:r>
    </w:p>
    <w:p w14:paraId="79CE6946">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eastAsia="宋体" w:cs="Times New Roman"/>
          <w:b/>
          <w:bCs/>
          <w:color w:val="auto"/>
          <w:kern w:val="0"/>
          <w:sz w:val="24"/>
          <w:szCs w:val="24"/>
          <w:lang w:val="en-US" w:eastAsia="zh-CN" w:bidi="ar"/>
        </w:rPr>
      </w:pPr>
    </w:p>
    <w:p w14:paraId="79AF84E3">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eastAsia="宋体" w:cs="Times New Roman"/>
          <w:b/>
          <w:bCs/>
          <w:color w:val="auto"/>
          <w:kern w:val="0"/>
          <w:sz w:val="24"/>
          <w:szCs w:val="24"/>
          <w:lang w:val="en-US" w:eastAsia="zh-CN" w:bidi="ar"/>
        </w:rPr>
      </w:pPr>
    </w:p>
    <w:p w14:paraId="2367B519">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eastAsia="宋体" w:cs="Times New Roman"/>
          <w:b/>
          <w:bCs/>
          <w:color w:val="auto"/>
          <w:kern w:val="0"/>
          <w:sz w:val="24"/>
          <w:szCs w:val="24"/>
          <w:lang w:val="en-US" w:eastAsia="zh-CN" w:bidi="ar"/>
        </w:rPr>
      </w:pPr>
      <w:r>
        <w:rPr>
          <w:rFonts w:hint="eastAsia" w:eastAsia="宋体" w:cs="Times New Roman"/>
          <w:b/>
          <w:bCs/>
          <w:color w:val="auto"/>
          <w:kern w:val="0"/>
          <w:sz w:val="24"/>
          <w:szCs w:val="24"/>
          <w:lang w:val="en-US" w:eastAsia="zh-CN" w:bidi="ar"/>
        </w:rPr>
        <w:t>Methods</w:t>
      </w:r>
    </w:p>
    <w:p w14:paraId="3F8F53AF">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eastAsia="宋体" w:cs="Times New Roman"/>
          <w:b/>
          <w:bCs/>
          <w:color w:val="auto"/>
          <w:kern w:val="0"/>
          <w:sz w:val="24"/>
          <w:szCs w:val="24"/>
          <w:lang w:val="en-US" w:eastAsia="zh-CN" w:bidi="ar"/>
        </w:rPr>
      </w:pPr>
      <w:r>
        <w:rPr>
          <w:rFonts w:hint="default" w:ascii="Times New Roman" w:hAnsi="Times New Roman" w:cs="Times New Roman"/>
          <w:b/>
          <w:bCs w:val="0"/>
          <w:i w:val="0"/>
          <w:iCs w:val="0"/>
          <w:color w:val="auto"/>
          <w:sz w:val="22"/>
          <w:szCs w:val="22"/>
        </w:rPr>
        <w:t>Soil DNA extraction</w:t>
      </w:r>
      <w:r>
        <w:rPr>
          <w:rFonts w:hint="eastAsia" w:eastAsia="宋体" w:cs="Times New Roman"/>
          <w:b/>
          <w:bCs w:val="0"/>
          <w:i w:val="0"/>
          <w:iCs w:val="0"/>
          <w:color w:val="auto"/>
          <w:sz w:val="22"/>
          <w:szCs w:val="22"/>
          <w:lang w:val="en-US" w:eastAsia="zh-CN"/>
        </w:rPr>
        <w:t xml:space="preserve"> and r</w:t>
      </w:r>
      <w:r>
        <w:rPr>
          <w:rFonts w:hint="default" w:ascii="Times New Roman" w:hAnsi="Times New Roman" w:cs="Times New Roman"/>
          <w:b/>
          <w:bCs w:val="0"/>
          <w:i w:val="0"/>
          <w:iCs w:val="0"/>
          <w:color w:val="auto"/>
          <w:sz w:val="22"/>
          <w:szCs w:val="22"/>
          <w:lang w:val="en-US" w:eastAsia="zh-CN"/>
        </w:rPr>
        <w:t>eal-time quantitative PCR</w:t>
      </w:r>
      <w:r>
        <w:rPr>
          <w:rFonts w:hint="default" w:ascii="Times New Roman" w:hAnsi="Times New Roman" w:cs="Times New Roman"/>
          <w:b/>
          <w:bCs w:val="0"/>
          <w:i w:val="0"/>
          <w:iCs w:val="0"/>
          <w:color w:val="auto"/>
          <w:sz w:val="22"/>
          <w:szCs w:val="22"/>
        </w:rPr>
        <w:t xml:space="preserve"> amplifcation</w:t>
      </w:r>
    </w:p>
    <w:p w14:paraId="4F8C4292">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cs="Times New Roman"/>
          <w:color w:val="auto"/>
          <w:sz w:val="24"/>
          <w:szCs w:val="24"/>
          <w:lang w:val="en-US" w:eastAsia="zh-CN"/>
        </w:rPr>
      </w:pPr>
      <w:r>
        <w:rPr>
          <w:rFonts w:hint="default" w:ascii="Times New Roman" w:hAnsi="Times New Roman" w:cs="Times New Roman"/>
          <w:color w:val="auto"/>
          <w:sz w:val="24"/>
          <w:szCs w:val="24"/>
        </w:rPr>
        <w:t xml:space="preserve">The total DNA of </w:t>
      </w:r>
      <w:r>
        <w:rPr>
          <w:rFonts w:hint="eastAsia" w:ascii="Times New Roman" w:hAnsi="Times New Roman" w:eastAsia="宋体" w:cs="Times New Roman"/>
          <w:color w:val="auto"/>
          <w:sz w:val="24"/>
          <w:szCs w:val="24"/>
          <w:lang w:val="en-US" w:eastAsia="zh-CN"/>
        </w:rPr>
        <w:t xml:space="preserve">0.1 g </w:t>
      </w:r>
      <w:r>
        <w:rPr>
          <w:rFonts w:hint="default" w:ascii="Times New Roman" w:hAnsi="Times New Roman" w:cs="Times New Roman"/>
          <w:color w:val="auto"/>
          <w:sz w:val="24"/>
          <w:szCs w:val="24"/>
        </w:rPr>
        <w:t>rhizosphere soil was extracted by using Fast DNA Spin Kit for Soil (MP biomedicals, USA), and the quality of DNA were detected by nanodrop</w:t>
      </w:r>
      <w:r>
        <w:rPr>
          <w:rFonts w:hint="default" w:ascii="Times New Roman" w:hAnsi="Times New Roman" w:eastAsia="宋体" w:cs="Times New Roman"/>
          <w:color w:val="auto"/>
          <w:sz w:val="24"/>
          <w:szCs w:val="24"/>
          <w:lang w:eastAsia="zh-CN"/>
        </w:rPr>
        <w:t xml:space="preserve"> </w:t>
      </w:r>
      <w:r>
        <w:rPr>
          <w:rFonts w:hint="default" w:ascii="Times New Roman" w:hAnsi="Times New Roman" w:cs="Times New Roman"/>
          <w:color w:val="auto"/>
          <w:sz w:val="24"/>
          <w:szCs w:val="24"/>
        </w:rPr>
        <w:t xml:space="preserve">2000. </w:t>
      </w:r>
      <w:r>
        <w:rPr>
          <w:rFonts w:hint="default" w:ascii="Times New Roman" w:hAnsi="Times New Roman" w:cs="Times New Roman"/>
          <w:color w:val="auto"/>
          <w:sz w:val="24"/>
          <w:szCs w:val="24"/>
          <w:lang w:val="en-US" w:eastAsia="zh-CN"/>
        </w:rPr>
        <w:t>The total</w:t>
      </w:r>
      <w:r>
        <w:rPr>
          <w:rFonts w:hint="eastAsia" w:cs="Times New Roman"/>
          <w:color w:val="auto"/>
          <w:sz w:val="24"/>
          <w:szCs w:val="24"/>
          <w:lang w:val="en-US" w:eastAsia="zh-CN"/>
        </w:rPr>
        <w:t xml:space="preserve"> </w:t>
      </w:r>
      <w:r>
        <w:rPr>
          <w:rFonts w:hint="default" w:ascii="Times New Roman" w:hAnsi="Times New Roman" w:eastAsia="Corbel-Bold2" w:cs="Times New Roman"/>
          <w:i/>
          <w:iCs/>
          <w:color w:val="auto"/>
          <w:sz w:val="24"/>
          <w:szCs w:val="24"/>
          <w:lang w:eastAsia="zh-CN" w:bidi="ar"/>
        </w:rPr>
        <w:t>Fusarium</w:t>
      </w:r>
      <w:r>
        <w:rPr>
          <w:rFonts w:hint="default" w:ascii="Times New Roman" w:hAnsi="Times New Roman" w:cs="Times New Roman"/>
          <w:color w:val="auto"/>
          <w:sz w:val="24"/>
          <w:szCs w:val="24"/>
          <w:lang w:val="en-US" w:eastAsia="zh-CN"/>
        </w:rPr>
        <w:t xml:space="preserve"> </w:t>
      </w:r>
      <w:r>
        <w:rPr>
          <w:rFonts w:hint="eastAsia" w:cs="Times New Roman"/>
          <w:color w:val="auto"/>
          <w:sz w:val="24"/>
          <w:szCs w:val="24"/>
          <w:lang w:val="en-US" w:eastAsia="zh-CN"/>
        </w:rPr>
        <w:t xml:space="preserve">species </w:t>
      </w:r>
      <w:r>
        <w:rPr>
          <w:rFonts w:hint="default" w:ascii="Times New Roman" w:hAnsi="Times New Roman" w:cs="Times New Roman"/>
          <w:color w:val="auto"/>
          <w:sz w:val="24"/>
          <w:szCs w:val="24"/>
          <w:lang w:val="en-US" w:eastAsia="zh-CN"/>
        </w:rPr>
        <w:t>abundances were estimated in the rhizosphere soil using real-time</w:t>
      </w:r>
      <w:r>
        <w:rPr>
          <w:rFonts w:hint="eastAsia" w:cs="Times New Roman"/>
          <w:color w:val="auto"/>
          <w:sz w:val="24"/>
          <w:szCs w:val="24"/>
          <w:lang w:val="en-US" w:eastAsia="zh-CN"/>
        </w:rPr>
        <w:t xml:space="preserve"> </w:t>
      </w:r>
      <w:r>
        <w:rPr>
          <w:rFonts w:hint="default" w:ascii="Times New Roman" w:hAnsi="Times New Roman" w:cs="Times New Roman"/>
          <w:color w:val="auto"/>
          <w:sz w:val="24"/>
          <w:szCs w:val="24"/>
          <w:lang w:val="en-US" w:eastAsia="zh-CN"/>
        </w:rPr>
        <w:t>qPCR with</w:t>
      </w:r>
      <w:r>
        <w:rPr>
          <w:rFonts w:hint="default" w:ascii="Times New Roman" w:hAnsi="Times New Roman" w:cs="Times New Roman"/>
          <w:color w:val="auto"/>
          <w:sz w:val="24"/>
          <w:szCs w:val="24"/>
        </w:rPr>
        <w:t xml:space="preserve"> the forward</w:t>
      </w:r>
      <w:r>
        <w:rPr>
          <w:rFonts w:hint="default" w:ascii="Times New Roman" w:hAnsi="Times New Roman" w:cs="Times New Roman"/>
          <w:color w:val="auto"/>
          <w:sz w:val="24"/>
          <w:szCs w:val="24"/>
          <w:lang w:val="en-US" w:eastAsia="zh-CN"/>
        </w:rPr>
        <w:t xml:space="preserve"> primer FusEF (</w:t>
      </w:r>
      <w:r>
        <w:rPr>
          <w:rFonts w:hint="default" w:ascii="Times New Roman" w:hAnsi="Times New Roman" w:cs="Times New Roman"/>
          <w:color w:val="auto"/>
          <w:sz w:val="24"/>
          <w:szCs w:val="24"/>
        </w:rPr>
        <w:t>5'-</w:t>
      </w:r>
      <w:r>
        <w:rPr>
          <w:rFonts w:hint="default" w:ascii="Times New Roman" w:hAnsi="Times New Roman" w:cs="Times New Roman"/>
          <w:color w:val="auto"/>
          <w:sz w:val="24"/>
          <w:szCs w:val="24"/>
          <w:lang w:val="en-US" w:eastAsia="zh-CN"/>
        </w:rPr>
        <w:t>CTGGGTTCTTGACAAGCTCA</w:t>
      </w:r>
      <w:r>
        <w:rPr>
          <w:rFonts w:hint="eastAsia" w:cs="Times New Roman"/>
          <w:color w:val="auto"/>
          <w:sz w:val="24"/>
          <w:szCs w:val="24"/>
          <w:lang w:val="en-US" w:eastAsia="zh-CN"/>
        </w:rPr>
        <w:t>-</w:t>
      </w:r>
      <w:r>
        <w:rPr>
          <w:rFonts w:hint="default" w:ascii="Times New Roman" w:hAnsi="Times New Roman" w:cs="Times New Roman"/>
          <w:color w:val="auto"/>
          <w:sz w:val="24"/>
          <w:szCs w:val="24"/>
        </w:rPr>
        <w:t>3'</w:t>
      </w:r>
      <w:r>
        <w:rPr>
          <w:rFonts w:hint="eastAsia" w:cs="Times New Roman"/>
          <w:color w:val="auto"/>
          <w:sz w:val="24"/>
          <w:szCs w:val="24"/>
          <w:lang w:val="en-US" w:eastAsia="zh-CN"/>
        </w:rPr>
        <w:t xml:space="preserve">), </w:t>
      </w:r>
      <w:r>
        <w:rPr>
          <w:rFonts w:hint="default" w:ascii="Times New Roman" w:hAnsi="Times New Roman" w:cs="Times New Roman"/>
          <w:color w:val="auto"/>
          <w:sz w:val="24"/>
          <w:szCs w:val="24"/>
        </w:rPr>
        <w:t>and the reverse primer</w:t>
      </w:r>
      <w:r>
        <w:rPr>
          <w:rFonts w:hint="eastAsia" w:eastAsia="宋体" w:cs="Times New Roman"/>
          <w:color w:val="auto"/>
          <w:sz w:val="24"/>
          <w:szCs w:val="24"/>
          <w:lang w:val="en-US" w:eastAsia="zh-CN"/>
        </w:rPr>
        <w:t xml:space="preserve"> </w:t>
      </w:r>
      <w:r>
        <w:rPr>
          <w:rFonts w:hint="default" w:ascii="Times New Roman" w:hAnsi="Times New Roman" w:cs="Times New Roman"/>
          <w:color w:val="auto"/>
          <w:sz w:val="24"/>
          <w:szCs w:val="24"/>
          <w:lang w:val="en-US" w:eastAsia="zh-CN"/>
        </w:rPr>
        <w:t>FusER (</w:t>
      </w:r>
      <w:r>
        <w:rPr>
          <w:rFonts w:hint="default" w:ascii="Times New Roman" w:hAnsi="Times New Roman" w:cs="Times New Roman"/>
          <w:color w:val="auto"/>
          <w:sz w:val="24"/>
          <w:szCs w:val="24"/>
        </w:rPr>
        <w:t>5'-</w:t>
      </w:r>
      <w:r>
        <w:rPr>
          <w:rFonts w:hint="default" w:ascii="Times New Roman" w:hAnsi="Times New Roman" w:cs="Times New Roman"/>
          <w:color w:val="auto"/>
          <w:sz w:val="24"/>
          <w:szCs w:val="24"/>
          <w:lang w:val="en-US" w:eastAsia="zh-CN"/>
        </w:rPr>
        <w:t>CGGTGACATAGTAGCGAGGA</w:t>
      </w:r>
      <w:r>
        <w:rPr>
          <w:rFonts w:hint="eastAsia" w:cs="Times New Roman"/>
          <w:color w:val="auto"/>
          <w:sz w:val="24"/>
          <w:szCs w:val="24"/>
          <w:lang w:val="en-US" w:eastAsia="zh-CN"/>
        </w:rPr>
        <w:t>-</w:t>
      </w:r>
      <w:r>
        <w:rPr>
          <w:rFonts w:hint="default" w:ascii="Times New Roman" w:hAnsi="Times New Roman" w:cs="Times New Roman"/>
          <w:color w:val="auto"/>
          <w:sz w:val="24"/>
          <w:szCs w:val="24"/>
        </w:rPr>
        <w:t>3'</w:t>
      </w:r>
      <w:r>
        <w:rPr>
          <w:rFonts w:hint="eastAsia" w:cs="Times New Roman"/>
          <w:color w:val="auto"/>
          <w:sz w:val="24"/>
          <w:szCs w:val="24"/>
          <w:lang w:val="en-US" w:eastAsia="zh-CN"/>
        </w:rPr>
        <w:t xml:space="preserve">) [1]. </w:t>
      </w:r>
      <w:r>
        <w:rPr>
          <w:rFonts w:hint="default" w:ascii="Times New Roman" w:hAnsi="Times New Roman" w:cs="Times New Roman"/>
          <w:color w:val="auto"/>
          <w:sz w:val="24"/>
          <w:szCs w:val="24"/>
          <w:lang w:val="en-US" w:eastAsia="zh-CN"/>
        </w:rPr>
        <w:t>The specific primers</w:t>
      </w:r>
      <w:r>
        <w:rPr>
          <w:rFonts w:hint="eastAsia" w:cs="Times New Roman"/>
          <w:color w:val="auto"/>
          <w:sz w:val="24"/>
          <w:szCs w:val="24"/>
          <w:lang w:val="en-US" w:eastAsia="zh-CN"/>
        </w:rPr>
        <w:t xml:space="preserve"> of </w:t>
      </w:r>
      <w:r>
        <w:rPr>
          <w:rFonts w:hint="default" w:ascii="Times New Roman" w:hAnsi="Times New Roman" w:cs="Times New Roman"/>
          <w:color w:val="auto"/>
          <w:sz w:val="24"/>
          <w:szCs w:val="24"/>
          <w:lang w:val="en-US" w:eastAsia="zh-CN"/>
        </w:rPr>
        <w:t xml:space="preserve"> </w:t>
      </w:r>
      <w:r>
        <w:rPr>
          <w:rFonts w:hint="default" w:ascii="Times New Roman" w:hAnsi="Times New Roman" w:eastAsia="Corbel-Bold2" w:cs="Times New Roman"/>
          <w:i/>
          <w:iCs/>
          <w:color w:val="auto"/>
          <w:sz w:val="24"/>
          <w:szCs w:val="24"/>
          <w:lang w:eastAsia="zh-CN" w:bidi="ar"/>
        </w:rPr>
        <w:t>Fusarium oxysporum</w:t>
      </w:r>
      <w:r>
        <w:rPr>
          <w:rFonts w:hint="default" w:ascii="Times New Roman" w:hAnsi="Times New Roman" w:cs="Times New Roman"/>
          <w:color w:val="auto"/>
          <w:sz w:val="24"/>
          <w:szCs w:val="24"/>
          <w:lang w:val="en-US" w:eastAsia="zh-CN"/>
        </w:rPr>
        <w:t>,</w:t>
      </w:r>
      <w:r>
        <w:rPr>
          <w:rFonts w:hint="eastAsia" w:cs="Times New Roman"/>
          <w:color w:val="auto"/>
          <w:sz w:val="24"/>
          <w:szCs w:val="24"/>
          <w:lang w:val="en-US" w:eastAsia="zh-CN"/>
        </w:rPr>
        <w:t xml:space="preserve"> </w:t>
      </w:r>
      <w:r>
        <w:rPr>
          <w:rFonts w:hint="default" w:ascii="Times New Roman" w:hAnsi="Times New Roman" w:cs="Times New Roman"/>
          <w:color w:val="auto"/>
          <w:sz w:val="24"/>
          <w:szCs w:val="24"/>
          <w:lang w:val="en-US" w:eastAsia="zh-CN"/>
        </w:rPr>
        <w:t>F</w:t>
      </w:r>
      <w:r>
        <w:rPr>
          <w:rFonts w:hint="eastAsia" w:cs="Times New Roman"/>
          <w:color w:val="auto"/>
          <w:sz w:val="24"/>
          <w:szCs w:val="24"/>
          <w:lang w:val="en-US" w:eastAsia="zh-CN"/>
        </w:rPr>
        <w:t>oQF</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5'-</w:t>
      </w:r>
      <w:r>
        <w:rPr>
          <w:rFonts w:hint="default" w:ascii="Times New Roman" w:hAnsi="Times New Roman" w:cs="Times New Roman"/>
          <w:color w:val="auto"/>
          <w:sz w:val="24"/>
          <w:szCs w:val="24"/>
          <w:lang w:val="en-US" w:eastAsia="zh-CN"/>
        </w:rPr>
        <w:t>CTCAAACAGTGGTACATGCGAGG</w:t>
      </w:r>
      <w:r>
        <w:rPr>
          <w:rFonts w:hint="eastAsia" w:cs="Times New Roman"/>
          <w:color w:val="auto"/>
          <w:sz w:val="24"/>
          <w:szCs w:val="24"/>
          <w:lang w:val="en-US" w:eastAsia="zh-CN"/>
        </w:rPr>
        <w:t>-</w:t>
      </w:r>
      <w:r>
        <w:rPr>
          <w:rFonts w:hint="default" w:ascii="Times New Roman" w:hAnsi="Times New Roman" w:cs="Times New Roman"/>
          <w:color w:val="auto"/>
          <w:sz w:val="24"/>
          <w:szCs w:val="24"/>
        </w:rPr>
        <w:t>3'</w:t>
      </w:r>
      <w:r>
        <w:rPr>
          <w:rFonts w:hint="default" w:ascii="Times New Roman" w:hAnsi="Times New Roman" w:cs="Times New Roman"/>
          <w:color w:val="auto"/>
          <w:sz w:val="24"/>
          <w:szCs w:val="24"/>
          <w:lang w:val="en-US" w:eastAsia="zh-CN"/>
        </w:rPr>
        <w:t>) and F</w:t>
      </w:r>
      <w:r>
        <w:rPr>
          <w:rFonts w:hint="eastAsia" w:cs="Times New Roman"/>
          <w:color w:val="auto"/>
          <w:sz w:val="24"/>
          <w:szCs w:val="24"/>
          <w:lang w:val="en-US" w:eastAsia="zh-CN"/>
        </w:rPr>
        <w:t>oQR</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5'-</w:t>
      </w:r>
      <w:r>
        <w:rPr>
          <w:rFonts w:hint="default" w:ascii="Times New Roman" w:hAnsi="Times New Roman" w:cs="Times New Roman"/>
          <w:color w:val="auto"/>
          <w:sz w:val="24"/>
          <w:szCs w:val="24"/>
          <w:lang w:val="en-US" w:eastAsia="zh-CN"/>
        </w:rPr>
        <w:t>CATCTAGGTCTTCCATCCACTTGA</w:t>
      </w:r>
      <w:r>
        <w:rPr>
          <w:rFonts w:hint="eastAsia" w:cs="Times New Roman"/>
          <w:color w:val="auto"/>
          <w:sz w:val="24"/>
          <w:szCs w:val="24"/>
          <w:lang w:val="en-US" w:eastAsia="zh-CN"/>
        </w:rPr>
        <w:t>-</w:t>
      </w:r>
      <w:r>
        <w:rPr>
          <w:rFonts w:hint="default" w:ascii="Times New Roman" w:hAnsi="Times New Roman" w:cs="Times New Roman"/>
          <w:color w:val="auto"/>
          <w:sz w:val="24"/>
          <w:szCs w:val="24"/>
        </w:rPr>
        <w:t>3'</w:t>
      </w:r>
      <w:r>
        <w:rPr>
          <w:rFonts w:hint="default" w:ascii="Times New Roman" w:hAnsi="Times New Roman" w:cs="Times New Roman"/>
          <w:color w:val="auto"/>
          <w:sz w:val="24"/>
          <w:szCs w:val="24"/>
          <w:lang w:val="en-US" w:eastAsia="zh-CN"/>
        </w:rPr>
        <w:t>) was designed to amplify PCR products of</w:t>
      </w:r>
      <w:r>
        <w:rPr>
          <w:rFonts w:hint="eastAsia" w:cs="Times New Roman"/>
          <w:color w:val="auto"/>
          <w:sz w:val="24"/>
          <w:szCs w:val="24"/>
          <w:lang w:val="en-US" w:eastAsia="zh-CN"/>
        </w:rPr>
        <w:t xml:space="preserve"> 209 </w:t>
      </w:r>
      <w:r>
        <w:rPr>
          <w:rFonts w:hint="default" w:ascii="Times New Roman" w:hAnsi="Times New Roman" w:cs="Times New Roman"/>
          <w:color w:val="auto"/>
          <w:sz w:val="24"/>
          <w:szCs w:val="24"/>
          <w:lang w:val="en-US" w:eastAsia="zh-CN"/>
        </w:rPr>
        <w:t>bp</w:t>
      </w:r>
      <w:r>
        <w:rPr>
          <w:rFonts w:hint="eastAsia" w:cs="Times New Roman"/>
          <w:color w:val="auto"/>
          <w:sz w:val="24"/>
          <w:szCs w:val="24"/>
          <w:lang w:val="en-US" w:eastAsia="zh-CN"/>
        </w:rPr>
        <w:t xml:space="preserve"> [2]. </w:t>
      </w:r>
      <w:r>
        <w:rPr>
          <w:rFonts w:hint="default" w:ascii="Times New Roman" w:hAnsi="Times New Roman" w:cs="Times New Roman"/>
          <w:color w:val="auto"/>
          <w:sz w:val="24"/>
          <w:szCs w:val="24"/>
          <w:lang w:val="en-US" w:eastAsia="zh-CN"/>
        </w:rPr>
        <w:t xml:space="preserve">Standard curve obtained by plotting the log of a known DNA concentration of </w:t>
      </w:r>
      <w:r>
        <w:rPr>
          <w:rFonts w:hint="default" w:ascii="Times New Roman" w:hAnsi="Times New Roman" w:eastAsia="Corbel-Bold2" w:cs="Times New Roman"/>
          <w:i/>
          <w:iCs/>
          <w:color w:val="auto"/>
          <w:sz w:val="24"/>
          <w:szCs w:val="24"/>
          <w:lang w:eastAsia="zh-CN" w:bidi="ar"/>
        </w:rPr>
        <w:t>Fusarium oxysporum f.sp. foetens</w:t>
      </w:r>
      <w:r>
        <w:rPr>
          <w:rFonts w:hint="default" w:ascii="Times New Roman" w:hAnsi="Times New Roman" w:eastAsia="Corbel-Bold2" w:cs="Times New Roman"/>
          <w:color w:val="auto"/>
          <w:sz w:val="24"/>
          <w:szCs w:val="24"/>
          <w:lang w:eastAsia="zh-CN" w:bidi="ar"/>
        </w:rPr>
        <w:t xml:space="preserve"> strain ZJ-3-1</w:t>
      </w:r>
      <w:r>
        <w:rPr>
          <w:rFonts w:hint="default" w:ascii="Times New Roman" w:hAnsi="Times New Roman" w:cs="Times New Roman"/>
          <w:color w:val="auto"/>
          <w:sz w:val="24"/>
          <w:szCs w:val="24"/>
          <w:lang w:val="en-US" w:eastAsia="zh-CN"/>
        </w:rPr>
        <w:t xml:space="preserve"> </w:t>
      </w:r>
      <w:r>
        <w:rPr>
          <w:rFonts w:hint="eastAsia" w:cs="Times New Roman"/>
          <w:color w:val="auto"/>
          <w:sz w:val="24"/>
          <w:szCs w:val="24"/>
          <w:lang w:val="en-US" w:eastAsia="zh-CN"/>
        </w:rPr>
        <w:t>(34.9 p</w:t>
      </w:r>
      <w:r>
        <w:rPr>
          <w:rFonts w:hint="default" w:ascii="Times New Roman" w:hAnsi="Times New Roman" w:cs="Times New Roman"/>
          <w:color w:val="auto"/>
          <w:sz w:val="24"/>
          <w:szCs w:val="24"/>
          <w:lang w:val="en-US" w:eastAsia="zh-CN"/>
        </w:rPr>
        <w:t>g</w:t>
      </w:r>
      <w:r>
        <w:rPr>
          <w:rFonts w:hint="eastAsia" w:cs="Times New Roman"/>
          <w:color w:val="auto"/>
          <w:sz w:val="24"/>
          <w:szCs w:val="24"/>
          <w:lang w:val="en-US" w:eastAsia="zh-CN"/>
        </w:rPr>
        <w:t>-</w:t>
      </w:r>
      <w:r>
        <w:rPr>
          <w:rFonts w:hint="default" w:ascii="Times New Roman" w:hAnsi="Times New Roman" w:cs="Times New Roman"/>
          <w:color w:val="auto"/>
          <w:sz w:val="24"/>
          <w:szCs w:val="24"/>
          <w:lang w:val="en-US" w:eastAsia="zh-CN"/>
        </w:rPr>
        <w:t xml:space="preserve">34.9 ng) against the Ct values obtained from real-time qPCR assays. Real-time fluorescent qPCR reactions were carried out in a </w:t>
      </w:r>
      <w:r>
        <w:rPr>
          <w:rFonts w:hint="eastAsia" w:cs="Times New Roman"/>
          <w:color w:val="auto"/>
          <w:sz w:val="24"/>
          <w:szCs w:val="24"/>
          <w:lang w:val="en-US" w:eastAsia="zh-CN"/>
        </w:rPr>
        <w:t xml:space="preserve">20 </w:t>
      </w:r>
      <w:r>
        <w:rPr>
          <w:rFonts w:hint="default" w:ascii="Times New Roman" w:hAnsi="Times New Roman" w:cs="Times New Roman"/>
          <w:color w:val="auto"/>
          <w:sz w:val="24"/>
          <w:szCs w:val="24"/>
        </w:rPr>
        <w:t>μL</w:t>
      </w:r>
      <w:r>
        <w:rPr>
          <w:rFonts w:hint="default" w:ascii="Times New Roman" w:hAnsi="Times New Roman" w:cs="Times New Roman"/>
          <w:color w:val="auto"/>
          <w:sz w:val="24"/>
          <w:szCs w:val="24"/>
          <w:lang w:val="en-US" w:eastAsia="zh-CN"/>
        </w:rPr>
        <w:t xml:space="preserve"> volume</w:t>
      </w:r>
      <w:r>
        <w:rPr>
          <w:rFonts w:hint="eastAsia" w:cs="Times New Roman"/>
          <w:color w:val="auto"/>
          <w:sz w:val="24"/>
          <w:szCs w:val="24"/>
          <w:lang w:val="en-US" w:eastAsia="zh-CN"/>
        </w:rPr>
        <w:t xml:space="preserve"> according to </w:t>
      </w:r>
      <w:r>
        <w:rPr>
          <w:rFonts w:hint="eastAsia" w:ascii="Times New Roman" w:hAnsi="Times New Roman" w:cs="Times New Roman"/>
          <w:color w:val="auto"/>
          <w:sz w:val="24"/>
          <w:szCs w:val="24"/>
          <w:lang w:val="en-US" w:eastAsia="zh-CN"/>
        </w:rPr>
        <w:t>realUniversal</w:t>
      </w:r>
      <w:r>
        <w:rPr>
          <w:rFonts w:hint="default" w:ascii="Times New Roman" w:hAnsi="Times New Roman" w:cs="Times New Roman"/>
          <w:color w:val="auto"/>
          <w:sz w:val="24"/>
          <w:szCs w:val="24"/>
          <w:lang w:val="en-US" w:eastAsia="zh-CN"/>
        </w:rPr>
        <w:t xml:space="preserve"> </w:t>
      </w:r>
      <w:r>
        <w:rPr>
          <w:rFonts w:hint="eastAsia" w:ascii="Times New Roman" w:hAnsi="Times New Roman" w:cs="Times New Roman"/>
          <w:color w:val="auto"/>
          <w:sz w:val="24"/>
          <w:szCs w:val="24"/>
          <w:lang w:val="en-US" w:eastAsia="zh-CN"/>
        </w:rPr>
        <w:t xml:space="preserve">kit </w:t>
      </w:r>
      <w:r>
        <w:rPr>
          <w:rFonts w:hint="default" w:ascii="Times New Roman" w:hAnsi="Times New Roman" w:cs="Times New Roman"/>
          <w:color w:val="auto"/>
          <w:sz w:val="24"/>
          <w:szCs w:val="24"/>
          <w:lang w:val="en-US" w:eastAsia="zh-CN"/>
        </w:rPr>
        <w:t>instructions</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lang w:val="en-US" w:eastAsia="zh-CN"/>
        </w:rPr>
        <w:t>mention</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lang w:val="en-US" w:eastAsia="zh-CN"/>
        </w:rPr>
        <w:t>(Tiangen Biochemical Technology (Beijing) Co., Ltd)</w:t>
      </w:r>
      <w:r>
        <w:rPr>
          <w:rFonts w:hint="eastAsia" w:cs="Times New Roman"/>
          <w:color w:val="auto"/>
          <w:sz w:val="24"/>
          <w:szCs w:val="24"/>
          <w:lang w:val="en-US" w:eastAsia="zh-CN"/>
        </w:rPr>
        <w:t>.</w:t>
      </w:r>
    </w:p>
    <w:p w14:paraId="723AD9E4">
      <w:pPr>
        <w:keepNext w:val="0"/>
        <w:keepLines w:val="0"/>
        <w:pageBreakBefore w:val="0"/>
        <w:widowControl/>
        <w:numPr>
          <w:ilvl w:val="0"/>
          <w:numId w:val="6"/>
        </w:numPr>
        <w:kinsoku/>
        <w:wordWrap/>
        <w:overflowPunct/>
        <w:topLinePunct w:val="0"/>
        <w:autoSpaceDE/>
        <w:autoSpaceDN/>
        <w:bidi w:val="0"/>
        <w:adjustRightInd/>
        <w:snapToGrid/>
        <w:spacing w:before="0" w:after="0" w:line="360" w:lineRule="auto"/>
        <w:jc w:val="both"/>
        <w:textAlignment w:val="auto"/>
        <w:rPr>
          <w:rFonts w:ascii="Times New Roman" w:hAnsi="Times New Roman" w:cs="Times New Roman" w:eastAsiaTheme="minorHAnsi"/>
          <w:color w:val="auto"/>
          <w:sz w:val="24"/>
          <w:szCs w:val="22"/>
          <w:lang w:val="en-US" w:eastAsia="en-US" w:bidi="ar-SA"/>
        </w:rPr>
      </w:pPr>
      <w:r>
        <w:rPr>
          <w:rFonts w:ascii="Times New Roman" w:hAnsi="Times New Roman" w:cs="Times New Roman" w:eastAsiaTheme="minorHAnsi"/>
          <w:color w:val="auto"/>
          <w:sz w:val="24"/>
          <w:szCs w:val="22"/>
          <w:lang w:val="en-US" w:eastAsia="en-US" w:bidi="ar-SA"/>
        </w:rPr>
        <w:t>Sohlberg E, Virkajärvi V, Parikka P, Rämö S, Laitila A, Sarlin T (2022) Taqman qPCR Quantification and Fusarium Community Analysis to Evaluate Toxigenic Fungi in Cereals. Toxins 14 (1):45. doi:</w:t>
      </w:r>
      <w:r>
        <w:rPr>
          <w:rFonts w:ascii="Times New Roman" w:hAnsi="Times New Roman" w:cs="Times New Roman" w:eastAsiaTheme="minorHAnsi"/>
          <w:color w:val="auto"/>
          <w:sz w:val="24"/>
          <w:szCs w:val="22"/>
          <w:lang w:val="en-US" w:eastAsia="en-US" w:bidi="ar-SA"/>
        </w:rPr>
        <w:fldChar w:fldCharType="begin"/>
      </w:r>
      <w:r>
        <w:rPr>
          <w:rFonts w:ascii="Times New Roman" w:hAnsi="Times New Roman" w:cs="Times New Roman" w:eastAsiaTheme="minorHAnsi"/>
          <w:color w:val="auto"/>
          <w:sz w:val="24"/>
          <w:szCs w:val="22"/>
          <w:lang w:val="en-US" w:eastAsia="en-US" w:bidi="ar-SA"/>
        </w:rPr>
        <w:instrText xml:space="preserve"> HYPERLINK "http://www.doi.org/10.3390/toxins14010045" </w:instrText>
      </w:r>
      <w:r>
        <w:rPr>
          <w:rFonts w:ascii="Times New Roman" w:hAnsi="Times New Roman" w:cs="Times New Roman" w:eastAsiaTheme="minorHAnsi"/>
          <w:color w:val="auto"/>
          <w:sz w:val="24"/>
          <w:szCs w:val="22"/>
          <w:lang w:val="en-US" w:eastAsia="en-US" w:bidi="ar-SA"/>
        </w:rPr>
        <w:fldChar w:fldCharType="separate"/>
      </w:r>
      <w:r>
        <w:rPr>
          <w:rStyle w:val="28"/>
          <w:rFonts w:ascii="Times New Roman" w:hAnsi="Times New Roman" w:cs="Times New Roman" w:eastAsiaTheme="minorHAnsi"/>
          <w:color w:val="auto"/>
          <w:sz w:val="24"/>
          <w:szCs w:val="22"/>
          <w:lang w:val="en-US" w:eastAsia="en-US" w:bidi="ar-SA"/>
        </w:rPr>
        <w:t>http://www.doi.org/10.3390/toxins14010045</w:t>
      </w:r>
      <w:r>
        <w:rPr>
          <w:rFonts w:ascii="Times New Roman" w:hAnsi="Times New Roman" w:cs="Times New Roman" w:eastAsiaTheme="minorHAnsi"/>
          <w:color w:val="auto"/>
          <w:sz w:val="24"/>
          <w:szCs w:val="22"/>
          <w:lang w:val="en-US" w:eastAsia="en-US" w:bidi="ar-SA"/>
        </w:rPr>
        <w:fldChar w:fldCharType="end"/>
      </w:r>
    </w:p>
    <w:p w14:paraId="5413DF77">
      <w:pPr>
        <w:keepNext w:val="0"/>
        <w:keepLines w:val="0"/>
        <w:pageBreakBefore w:val="0"/>
        <w:widowControl/>
        <w:numPr>
          <w:ilvl w:val="0"/>
          <w:numId w:val="6"/>
        </w:numPr>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eastAsiaTheme="minorHAnsi"/>
          <w:color w:val="auto"/>
          <w:sz w:val="24"/>
          <w:szCs w:val="22"/>
          <w:lang w:val="en-US" w:eastAsia="zh-CN" w:bidi="ar-SA"/>
        </w:rPr>
      </w:pPr>
      <w:r>
        <w:rPr>
          <w:rFonts w:ascii="Times New Roman" w:hAnsi="Times New Roman" w:cs="Times New Roman" w:eastAsiaTheme="minorHAnsi"/>
          <w:color w:val="auto"/>
          <w:sz w:val="24"/>
          <w:szCs w:val="22"/>
          <w:lang w:val="en-US" w:eastAsia="en-US" w:bidi="ar-SA"/>
        </w:rPr>
        <w:t>Li X, Cui XM, Liu DQ, Sun T, Guo AL, Chen J (2019) Real-time PCR detection method of Panax notoginseng root rot pathogen Fusarium oxysporum. Hua Bei Nong Xue Bao 34 (S01):7</w:t>
      </w:r>
    </w:p>
    <w:p w14:paraId="522246C5">
      <w:pPr>
        <w:keepNext w:val="0"/>
        <w:keepLines w:val="0"/>
        <w:pageBreakBefore w:val="0"/>
        <w:widowControl/>
        <w:kinsoku/>
        <w:wordWrap/>
        <w:overflowPunct/>
        <w:topLinePunct w:val="0"/>
        <w:autoSpaceDE/>
        <w:autoSpaceDN/>
        <w:bidi w:val="0"/>
        <w:adjustRightInd/>
        <w:snapToGrid/>
        <w:spacing w:before="0" w:after="0" w:line="360" w:lineRule="auto"/>
        <w:ind w:firstLine="440" w:firstLineChars="200"/>
        <w:jc w:val="both"/>
        <w:textAlignment w:val="auto"/>
        <w:rPr>
          <w:rFonts w:hint="default" w:cs="Times New Roman"/>
          <w:color w:val="auto"/>
          <w:sz w:val="22"/>
          <w:szCs w:val="22"/>
          <w:lang w:val="en-US" w:eastAsia="zh-CN"/>
        </w:rPr>
      </w:pPr>
    </w:p>
    <w:p w14:paraId="24A307D1">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both"/>
        <w:textAlignment w:val="auto"/>
        <w:rPr>
          <w:rFonts w:hint="eastAsia" w:ascii="Times New Roman" w:hAnsi="Times New Roman" w:eastAsia="宋体" w:cs="Times New Roman"/>
          <w:b/>
          <w:bCs/>
          <w:color w:val="auto"/>
          <w:kern w:val="0"/>
          <w:sz w:val="24"/>
          <w:szCs w:val="24"/>
          <w:lang w:val="en-US" w:eastAsia="zh-CN" w:bidi="ar"/>
        </w:rPr>
      </w:pPr>
    </w:p>
    <w:p w14:paraId="5CD0FC9D">
      <w:pPr>
        <w:keepNext w:val="0"/>
        <w:keepLines w:val="0"/>
        <w:pageBreakBefore w:val="0"/>
        <w:widowControl/>
        <w:numPr>
          <w:ilvl w:val="0"/>
          <w:numId w:val="0"/>
        </w:numPr>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color w:val="auto"/>
          <w:kern w:val="0"/>
          <w:sz w:val="24"/>
          <w:szCs w:val="24"/>
          <w:lang w:val="en-US" w:eastAsia="zh-CN" w:bidi="ar"/>
        </w:rPr>
      </w:pPr>
      <w:bookmarkStart w:id="0" w:name="_GoBack"/>
      <w:r>
        <w:rPr>
          <w:rFonts w:hint="default" w:ascii="Times New Roman" w:hAnsi="Times New Roman" w:cs="Times New Roman"/>
          <w:b/>
          <w:color w:val="auto"/>
          <w:sz w:val="24"/>
          <w:szCs w:val="24"/>
        </w:rPr>
        <w:t>Supplementary</w:t>
      </w:r>
      <w:r>
        <w:rPr>
          <w:rFonts w:hint="eastAsia" w:eastAsia="宋体" w:cs="Times New Roman"/>
          <w:b/>
          <w:color w:val="auto"/>
          <w:sz w:val="24"/>
          <w:szCs w:val="24"/>
          <w:lang w:val="en-US" w:eastAsia="zh-CN"/>
        </w:rPr>
        <w:t xml:space="preserve"> Fig.</w:t>
      </w:r>
      <w:r>
        <w:rPr>
          <w:rFonts w:hint="default" w:ascii="Times New Roman" w:hAnsi="Times New Roman" w:cs="Times New Roman"/>
          <w:b/>
          <w:color w:val="auto"/>
          <w:sz w:val="24"/>
          <w:szCs w:val="24"/>
        </w:rPr>
        <w:t xml:space="preserve"> </w:t>
      </w:r>
      <w:r>
        <w:rPr>
          <w:rFonts w:hint="eastAsia" w:eastAsia="宋体" w:cs="Times New Roman"/>
          <w:b/>
          <w:color w:val="auto"/>
          <w:sz w:val="24"/>
          <w:szCs w:val="24"/>
          <w:lang w:val="en-US" w:eastAsia="zh-CN"/>
        </w:rPr>
        <w:t>3</w:t>
      </w:r>
      <w:bookmarkEnd w:id="0"/>
      <w:r>
        <w:rPr>
          <w:rFonts w:hint="eastAsia" w:eastAsia="宋体" w:cs="Times New Roman"/>
          <w:b/>
          <w:color w:val="auto"/>
          <w:sz w:val="24"/>
          <w:szCs w:val="24"/>
          <w:lang w:val="en-US" w:eastAsia="zh-CN"/>
        </w:rPr>
        <w:t xml:space="preserve"> </w:t>
      </w:r>
      <w:r>
        <w:rPr>
          <w:rFonts w:hint="default" w:ascii="Times New Roman" w:hAnsi="Times New Roman" w:cs="Times New Roman" w:eastAsiaTheme="minorHAnsi"/>
          <w:color w:val="auto"/>
          <w:sz w:val="24"/>
          <w:szCs w:val="22"/>
          <w:lang w:val="en-US" w:eastAsia="zh-CN" w:bidi="ar-SA"/>
        </w:rPr>
        <w:t xml:space="preserve">Absolute abundance of </w:t>
      </w:r>
      <w:r>
        <w:rPr>
          <w:rFonts w:hint="default" w:ascii="Times New Roman" w:hAnsi="Times New Roman" w:cs="Times New Roman" w:eastAsiaTheme="minorHAnsi"/>
          <w:i/>
          <w:iCs/>
          <w:color w:val="auto"/>
          <w:sz w:val="24"/>
          <w:szCs w:val="22"/>
          <w:lang w:val="en-US" w:eastAsia="zh-CN" w:bidi="ar-SA"/>
        </w:rPr>
        <w:t>Fusarium</w:t>
      </w:r>
      <w:r>
        <w:rPr>
          <w:rFonts w:hint="eastAsia" w:ascii="Times New Roman" w:hAnsi="Times New Roman" w:cs="Times New Roman" w:eastAsiaTheme="minorHAnsi"/>
          <w:color w:val="auto"/>
          <w:sz w:val="24"/>
          <w:szCs w:val="22"/>
          <w:lang w:val="en-US" w:eastAsia="zh-CN" w:bidi="ar-SA"/>
        </w:rPr>
        <w:t xml:space="preserve"> species and</w:t>
      </w:r>
      <w:r>
        <w:rPr>
          <w:rFonts w:hint="default" w:ascii="Times New Roman" w:hAnsi="Times New Roman" w:cs="Times New Roman" w:eastAsiaTheme="minorHAnsi"/>
          <w:color w:val="auto"/>
          <w:sz w:val="24"/>
          <w:szCs w:val="22"/>
          <w:lang w:val="en-US" w:eastAsia="zh-CN" w:bidi="ar-SA"/>
        </w:rPr>
        <w:t xml:space="preserve"> </w:t>
      </w:r>
      <w:r>
        <w:rPr>
          <w:rFonts w:hint="default" w:ascii="Times New Roman" w:hAnsi="Times New Roman" w:cs="Times New Roman" w:eastAsiaTheme="minorHAnsi"/>
          <w:i/>
          <w:iCs/>
          <w:color w:val="auto"/>
          <w:sz w:val="24"/>
          <w:szCs w:val="22"/>
          <w:lang w:val="en-US" w:eastAsia="zh-CN" w:bidi="ar-SA"/>
        </w:rPr>
        <w:t>F</w:t>
      </w:r>
      <w:r>
        <w:rPr>
          <w:rFonts w:hint="eastAsia" w:cs="Times New Roman"/>
          <w:i/>
          <w:iCs/>
          <w:color w:val="auto"/>
          <w:sz w:val="24"/>
          <w:szCs w:val="22"/>
          <w:lang w:val="en-US" w:eastAsia="zh-CN" w:bidi="ar-SA"/>
        </w:rPr>
        <w:t>.</w:t>
      </w:r>
      <w:r>
        <w:rPr>
          <w:rFonts w:hint="default" w:ascii="Times New Roman" w:hAnsi="Times New Roman" w:cs="Times New Roman" w:eastAsiaTheme="minorHAnsi"/>
          <w:i/>
          <w:iCs/>
          <w:color w:val="auto"/>
          <w:sz w:val="24"/>
          <w:szCs w:val="22"/>
          <w:lang w:val="en-US" w:eastAsia="zh-CN" w:bidi="ar-SA"/>
        </w:rPr>
        <w:t xml:space="preserve"> oxysporum</w:t>
      </w:r>
      <w:r>
        <w:rPr>
          <w:rFonts w:hint="default" w:ascii="Times New Roman" w:hAnsi="Times New Roman" w:cs="Times New Roman" w:eastAsiaTheme="minorHAnsi"/>
          <w:color w:val="auto"/>
          <w:sz w:val="24"/>
          <w:szCs w:val="22"/>
          <w:lang w:val="en-US" w:eastAsia="zh-CN" w:bidi="ar-SA"/>
        </w:rPr>
        <w:t xml:space="preserve"> </w:t>
      </w:r>
      <w:r>
        <w:rPr>
          <w:rFonts w:hint="eastAsia" w:cs="Times New Roman"/>
          <w:color w:val="auto"/>
          <w:sz w:val="24"/>
          <w:szCs w:val="22"/>
          <w:lang w:val="en-US" w:eastAsia="zh-CN" w:bidi="ar-SA"/>
        </w:rPr>
        <w:t>in</w:t>
      </w:r>
      <w:r>
        <w:rPr>
          <w:rFonts w:hint="default" w:ascii="Times New Roman" w:hAnsi="Times New Roman" w:cs="Times New Roman"/>
          <w:color w:val="auto"/>
          <w:sz w:val="22"/>
          <w:szCs w:val="22"/>
          <w:lang w:eastAsia="zh-CN" w:bidi="ar"/>
        </w:rPr>
        <w:t xml:space="preserve"> </w:t>
      </w:r>
      <w:r>
        <w:rPr>
          <w:rFonts w:hint="eastAsia" w:cs="Times New Roman"/>
          <w:color w:val="auto"/>
          <w:sz w:val="22"/>
          <w:szCs w:val="22"/>
          <w:lang w:eastAsia="zh-CN" w:bidi="ar"/>
        </w:rPr>
        <w:t>rhizosphere soil</w:t>
      </w:r>
      <w:r>
        <w:rPr>
          <w:rFonts w:hint="eastAsia" w:cs="Times New Roman"/>
          <w:color w:val="auto"/>
          <w:sz w:val="22"/>
          <w:szCs w:val="22"/>
          <w:lang w:val="en-US" w:eastAsia="zh-CN" w:bidi="ar"/>
        </w:rPr>
        <w:t xml:space="preserve"> of </w:t>
      </w:r>
      <w:r>
        <w:rPr>
          <w:rFonts w:hint="default" w:ascii="Times New Roman" w:hAnsi="Times New Roman" w:cs="Times New Roman"/>
          <w:i/>
          <w:iCs/>
          <w:color w:val="auto"/>
          <w:sz w:val="22"/>
          <w:szCs w:val="22"/>
        </w:rPr>
        <w:t>C. morifolium</w:t>
      </w:r>
      <w:r>
        <w:rPr>
          <w:rFonts w:hint="eastAsia" w:eastAsia="宋体" w:cs="Times New Roman"/>
          <w:i/>
          <w:iCs/>
          <w:color w:val="auto"/>
          <w:sz w:val="22"/>
          <w:szCs w:val="22"/>
          <w:lang w:val="en-US" w:eastAsia="zh-CN"/>
        </w:rPr>
        <w:t xml:space="preserve"> </w:t>
      </w:r>
      <w:r>
        <w:rPr>
          <w:rFonts w:hint="default" w:ascii="Times New Roman" w:hAnsi="Times New Roman" w:cs="Times New Roman" w:eastAsiaTheme="minorHAnsi"/>
          <w:color w:val="auto"/>
          <w:sz w:val="24"/>
          <w:szCs w:val="22"/>
          <w:lang w:val="en-US" w:eastAsia="zh-CN" w:bidi="ar-SA"/>
        </w:rPr>
        <w:t>by real-time quantitative PCR</w:t>
      </w:r>
      <w:r>
        <w:rPr>
          <w:rFonts w:hint="eastAsia" w:ascii="Times New Roman" w:hAnsi="Times New Roman" w:cs="Times New Roman" w:eastAsiaTheme="minorHAnsi"/>
          <w:color w:val="auto"/>
          <w:sz w:val="24"/>
          <w:szCs w:val="22"/>
          <w:lang w:val="en-US" w:eastAsia="zh-CN" w:bidi="ar-SA"/>
        </w:rPr>
        <w:t>.</w:t>
      </w:r>
      <w:r>
        <w:rPr>
          <w:rFonts w:hint="default" w:ascii="Times New Roman" w:hAnsi="Times New Roman" w:eastAsia="宋体" w:cs="Times New Roman"/>
          <w:color w:val="auto"/>
          <w:kern w:val="0"/>
          <w:sz w:val="24"/>
          <w:szCs w:val="24"/>
          <w:lang w:val="en-US" w:eastAsia="zh-CN" w:bidi="ar"/>
        </w:rPr>
        <w:drawing>
          <wp:anchor distT="0" distB="0" distL="114300" distR="114300" simplePos="0" relativeHeight="251663360" behindDoc="0" locked="0" layoutInCell="1" allowOverlap="1">
            <wp:simplePos x="0" y="0"/>
            <wp:positionH relativeFrom="column">
              <wp:posOffset>1405255</wp:posOffset>
            </wp:positionH>
            <wp:positionV relativeFrom="paragraph">
              <wp:posOffset>48895</wp:posOffset>
            </wp:positionV>
            <wp:extent cx="3150235" cy="2316480"/>
            <wp:effectExtent l="0" t="0" r="12065" b="7620"/>
            <wp:wrapTopAndBottom/>
            <wp:docPr id="3" name="图片 3"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未标题-1"/>
                    <pic:cNvPicPr>
                      <a:picLocks noChangeAspect="1"/>
                    </pic:cNvPicPr>
                  </pic:nvPicPr>
                  <pic:blipFill>
                    <a:blip r:embed="rId12"/>
                    <a:stretch>
                      <a:fillRect/>
                    </a:stretch>
                  </pic:blipFill>
                  <pic:spPr>
                    <a:xfrm>
                      <a:off x="0" y="0"/>
                      <a:ext cx="3150235" cy="2316480"/>
                    </a:xfrm>
                    <a:prstGeom prst="rect">
                      <a:avLst/>
                    </a:prstGeom>
                  </pic:spPr>
                </pic:pic>
              </a:graphicData>
            </a:graphic>
          </wp:anchor>
        </w:drawing>
      </w:r>
    </w:p>
    <w:p w14:paraId="18CB807B">
      <w:pPr>
        <w:spacing w:line="360" w:lineRule="auto"/>
        <w:rPr>
          <w:rFonts w:hint="eastAsia" w:eastAsia="宋体"/>
          <w:color w:val="auto"/>
          <w:lang w:eastAsia="zh-CN"/>
        </w:rPr>
      </w:pPr>
      <w:r>
        <w:rPr>
          <w:rFonts w:hint="eastAsia" w:eastAsia="宋体"/>
          <w:color w:val="auto"/>
          <w:lang w:eastAsia="zh-CN"/>
        </w:rPr>
        <w:drawing>
          <wp:inline distT="0" distB="0" distL="114300" distR="114300">
            <wp:extent cx="4151630" cy="3517265"/>
            <wp:effectExtent l="0" t="0" r="1270" b="6985"/>
            <wp:docPr id="2" name="图片 2"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 S1"/>
                    <pic:cNvPicPr>
                      <a:picLocks noChangeAspect="1"/>
                    </pic:cNvPicPr>
                  </pic:nvPicPr>
                  <pic:blipFill>
                    <a:blip r:embed="rId13"/>
                    <a:stretch>
                      <a:fillRect/>
                    </a:stretch>
                  </pic:blipFill>
                  <pic:spPr>
                    <a:xfrm>
                      <a:off x="0" y="0"/>
                      <a:ext cx="4151630" cy="3517265"/>
                    </a:xfrm>
                    <a:prstGeom prst="rect">
                      <a:avLst/>
                    </a:prstGeom>
                  </pic:spPr>
                </pic:pic>
              </a:graphicData>
            </a:graphic>
          </wp:inline>
        </w:drawing>
      </w:r>
    </w:p>
    <w:p w14:paraId="2CFE0668">
      <w:pPr>
        <w:keepNext w:val="0"/>
        <w:keepLines w:val="0"/>
        <w:widowControl/>
        <w:suppressLineNumbers w:val="0"/>
        <w:spacing w:line="360" w:lineRule="auto"/>
        <w:jc w:val="center"/>
        <w:rPr>
          <w:rFonts w:hint="default" w:ascii="Times New Roman" w:hAnsi="Times New Roman" w:cs="Times New Roman"/>
          <w:b w:val="0"/>
          <w:bCs/>
          <w:color w:val="auto"/>
          <w:sz w:val="24"/>
          <w:szCs w:val="24"/>
          <w:lang w:val="en-US" w:eastAsia="zh-CN"/>
        </w:rPr>
      </w:pPr>
      <w:r>
        <w:rPr>
          <w:rFonts w:hint="default" w:ascii="Times New Roman" w:hAnsi="Times New Roman" w:cs="Times New Roman"/>
          <w:b/>
          <w:color w:val="auto"/>
          <w:sz w:val="24"/>
          <w:szCs w:val="24"/>
        </w:rPr>
        <w:t>Supplementary</w:t>
      </w:r>
      <w:r>
        <w:rPr>
          <w:rFonts w:hint="eastAsia" w:eastAsia="宋体" w:cs="Times New Roman"/>
          <w:b/>
          <w:color w:val="auto"/>
          <w:sz w:val="24"/>
          <w:szCs w:val="24"/>
          <w:lang w:val="en-US" w:eastAsia="zh-CN"/>
        </w:rPr>
        <w:t xml:space="preserve"> Fig.</w:t>
      </w:r>
      <w:r>
        <w:rPr>
          <w:rFonts w:hint="default" w:ascii="Times New Roman" w:hAnsi="Times New Roman" w:cs="Times New Roman"/>
          <w:b/>
          <w:color w:val="auto"/>
          <w:sz w:val="24"/>
          <w:szCs w:val="24"/>
        </w:rPr>
        <w:t xml:space="preserve"> </w:t>
      </w:r>
      <w:r>
        <w:rPr>
          <w:rFonts w:hint="eastAsia" w:eastAsia="宋体" w:cs="Times New Roman"/>
          <w:b/>
          <w:color w:val="auto"/>
          <w:sz w:val="24"/>
          <w:szCs w:val="24"/>
          <w:lang w:val="en-US" w:eastAsia="zh-CN"/>
        </w:rPr>
        <w:t>4</w:t>
      </w:r>
      <w:r>
        <w:rPr>
          <w:rFonts w:hint="default" w:ascii="Times New Roman" w:hAnsi="Times New Roman" w:cs="Times New Roman"/>
          <w:b/>
          <w:color w:val="auto"/>
          <w:sz w:val="24"/>
          <w:szCs w:val="24"/>
        </w:rPr>
        <w:t xml:space="preserve"> </w:t>
      </w:r>
      <w:r>
        <w:rPr>
          <w:rFonts w:hint="eastAsia" w:eastAsia="宋体" w:cs="Times New Roman"/>
          <w:b w:val="0"/>
          <w:bCs/>
          <w:color w:val="auto"/>
          <w:sz w:val="24"/>
          <w:szCs w:val="24"/>
          <w:lang w:val="en-US" w:eastAsia="zh-CN"/>
        </w:rPr>
        <w:t>T</w:t>
      </w:r>
      <w:r>
        <w:rPr>
          <w:rFonts w:hint="eastAsia" w:ascii="Times New Roman" w:hAnsi="Times New Roman" w:cs="Times New Roman"/>
          <w:b w:val="0"/>
          <w:bCs/>
          <w:color w:val="auto"/>
          <w:sz w:val="24"/>
          <w:szCs w:val="24"/>
          <w:lang w:val="en-US" w:eastAsia="zh-CN"/>
        </w:rPr>
        <w:t>op 15 metabolites in key KEGG pathways</w:t>
      </w:r>
      <w:r>
        <w:rPr>
          <w:rFonts w:hint="eastAsia" w:cs="Times New Roman"/>
          <w:b w:val="0"/>
          <w:bCs/>
          <w:color w:val="auto"/>
          <w:sz w:val="24"/>
          <w:szCs w:val="24"/>
          <w:lang w:val="en-US" w:eastAsia="zh-CN"/>
        </w:rPr>
        <w:t xml:space="preserve"> </w:t>
      </w:r>
      <w:r>
        <w:rPr>
          <w:rFonts w:hint="default" w:ascii="Times New Roman" w:hAnsi="Times New Roman" w:cs="Times New Roman"/>
          <w:b w:val="0"/>
          <w:bCs/>
          <w:color w:val="auto"/>
          <w:sz w:val="24"/>
          <w:szCs w:val="24"/>
        </w:rPr>
        <w:t xml:space="preserve">of </w:t>
      </w:r>
      <w:r>
        <w:rPr>
          <w:rFonts w:hint="default" w:ascii="Times New Roman" w:hAnsi="Times New Roman" w:cs="Times New Roman"/>
          <w:b w:val="0"/>
          <w:bCs/>
          <w:i/>
          <w:iCs/>
          <w:color w:val="auto"/>
          <w:sz w:val="24"/>
          <w:szCs w:val="24"/>
          <w:lang w:val="en-US" w:eastAsia="zh-CN"/>
        </w:rPr>
        <w:t>C. morifolium</w:t>
      </w:r>
      <w:r>
        <w:rPr>
          <w:rFonts w:hint="default" w:ascii="Times New Roman" w:hAnsi="Times New Roman" w:cs="Times New Roman"/>
          <w:b w:val="0"/>
          <w:bCs/>
          <w:color w:val="auto"/>
          <w:sz w:val="24"/>
          <w:szCs w:val="24"/>
        </w:rPr>
        <w:t xml:space="preserve"> rhizosphere </w:t>
      </w:r>
      <w:r>
        <w:rPr>
          <w:rFonts w:hint="default" w:ascii="Times New Roman" w:hAnsi="Times New Roman" w:cs="Times New Roman"/>
          <w:b w:val="0"/>
          <w:bCs/>
          <w:color w:val="auto"/>
          <w:sz w:val="24"/>
          <w:szCs w:val="24"/>
          <w:lang w:val="en-US" w:eastAsia="zh-CN"/>
        </w:rPr>
        <w:t>soil</w:t>
      </w:r>
      <w:r>
        <w:rPr>
          <w:rFonts w:hint="eastAsia" w:cs="Times New Roman"/>
          <w:b w:val="0"/>
          <w:bCs/>
          <w:color w:val="auto"/>
          <w:sz w:val="24"/>
          <w:szCs w:val="24"/>
          <w:lang w:val="en-US" w:eastAsia="zh-CN"/>
        </w:rPr>
        <w:t xml:space="preserve"> </w:t>
      </w:r>
      <w:r>
        <w:rPr>
          <w:rFonts w:hint="default" w:ascii="Times New Roman" w:hAnsi="Times New Roman" w:cs="Times New Roman"/>
          <w:b w:val="0"/>
          <w:bCs/>
          <w:color w:val="auto"/>
          <w:sz w:val="24"/>
          <w:szCs w:val="24"/>
          <w:lang w:val="en-US" w:eastAsia="zh-CN"/>
        </w:rPr>
        <w:t>in</w:t>
      </w:r>
      <w:r>
        <w:rPr>
          <w:rFonts w:hint="default" w:ascii="Times New Roman" w:hAnsi="Times New Roman" w:cs="Times New Roman"/>
          <w:b w:val="0"/>
          <w:bCs/>
          <w:color w:val="auto"/>
          <w:sz w:val="24"/>
          <w:szCs w:val="24"/>
        </w:rPr>
        <w:t xml:space="preserve"> </w:t>
      </w:r>
      <w:r>
        <w:rPr>
          <w:rFonts w:hint="eastAsia" w:eastAsia="宋体" w:cs="Times New Roman"/>
          <w:b w:val="0"/>
          <w:bCs/>
          <w:color w:val="auto"/>
          <w:sz w:val="24"/>
          <w:szCs w:val="24"/>
          <w:lang w:val="en-US" w:eastAsia="zh-CN"/>
        </w:rPr>
        <w:t>two</w:t>
      </w:r>
      <w:r>
        <w:rPr>
          <w:rFonts w:hint="default" w:ascii="Times New Roman" w:hAnsi="Times New Roman" w:cs="Times New Roman"/>
          <w:b w:val="0"/>
          <w:bCs/>
          <w:color w:val="auto"/>
          <w:sz w:val="24"/>
          <w:szCs w:val="24"/>
        </w:rPr>
        <w:t xml:space="preserve"> treatments.</w:t>
      </w:r>
    </w:p>
    <w:p w14:paraId="20A86113">
      <w:pPr>
        <w:spacing w:line="360" w:lineRule="auto"/>
        <w:jc w:val="both"/>
        <w:rPr>
          <w:rFonts w:hint="eastAsia" w:cs="Times New Roman" w:eastAsiaTheme="minorEastAsia"/>
          <w:color w:val="auto"/>
          <w:sz w:val="24"/>
          <w:szCs w:val="24"/>
          <w:lang w:val="en-US" w:eastAsia="zh-CN"/>
        </w:rPr>
      </w:pPr>
      <w:r>
        <w:rPr>
          <w:rFonts w:hint="eastAsia" w:ascii="Times New Roman" w:hAnsi="Times New Roman" w:cs="Times New Roman"/>
          <w:b w:val="0"/>
          <w:bCs/>
          <w:color w:val="auto"/>
          <w:sz w:val="24"/>
          <w:szCs w:val="24"/>
          <w:lang w:val="en-US" w:eastAsia="zh-CN"/>
        </w:rPr>
        <w:t xml:space="preserve">Note: </w:t>
      </w:r>
      <w:r>
        <w:rPr>
          <w:rFonts w:hint="eastAsia" w:cs="Times New Roman"/>
          <w:b w:val="0"/>
          <w:bCs/>
          <w:color w:val="auto"/>
          <w:sz w:val="24"/>
          <w:szCs w:val="24"/>
          <w:lang w:val="en-US" w:eastAsia="zh-CN"/>
        </w:rPr>
        <w:t xml:space="preserve">A: </w:t>
      </w:r>
      <w:r>
        <w:rPr>
          <w:rFonts w:hint="default" w:ascii="Times New Roman" w:hAnsi="Times New Roman" w:cs="Times New Roman"/>
          <w:b w:val="0"/>
          <w:bCs/>
          <w:color w:val="auto"/>
          <w:sz w:val="24"/>
          <w:szCs w:val="24"/>
          <w:lang w:val="en-US" w:eastAsia="zh-CN"/>
        </w:rPr>
        <w:t xml:space="preserve">Biosynthesis of 12-, 14- and 16-membered macrolides (ko00522), </w:t>
      </w:r>
      <w:r>
        <w:rPr>
          <w:rFonts w:hint="eastAsia" w:cs="Times New Roman"/>
          <w:b w:val="0"/>
          <w:bCs/>
          <w:color w:val="auto"/>
          <w:sz w:val="24"/>
          <w:szCs w:val="24"/>
          <w:lang w:val="en-US" w:eastAsia="zh-CN"/>
        </w:rPr>
        <w:t xml:space="preserve">B: </w:t>
      </w:r>
      <w:r>
        <w:rPr>
          <w:rFonts w:hint="default" w:ascii="Times New Roman" w:hAnsi="Times New Roman" w:cs="Times New Roman"/>
          <w:b w:val="0"/>
          <w:bCs/>
          <w:color w:val="auto"/>
          <w:sz w:val="24"/>
          <w:szCs w:val="24"/>
          <w:lang w:val="en-US" w:eastAsia="zh-CN"/>
        </w:rPr>
        <w:t xml:space="preserve">Biosynthesis of plant secondary metabolites (ko01060), </w:t>
      </w:r>
      <w:r>
        <w:rPr>
          <w:rFonts w:hint="eastAsia" w:cs="Times New Roman"/>
          <w:b w:val="0"/>
          <w:bCs/>
          <w:color w:val="auto"/>
          <w:sz w:val="24"/>
          <w:szCs w:val="24"/>
          <w:lang w:val="en-US" w:eastAsia="zh-CN"/>
        </w:rPr>
        <w:t xml:space="preserve">C: </w:t>
      </w:r>
      <w:r>
        <w:rPr>
          <w:rFonts w:hint="default" w:ascii="Times New Roman" w:hAnsi="Times New Roman" w:cs="Times New Roman"/>
          <w:b w:val="0"/>
          <w:bCs/>
          <w:color w:val="auto"/>
          <w:sz w:val="24"/>
          <w:szCs w:val="24"/>
          <w:lang w:val="en-US" w:eastAsia="zh-CN"/>
        </w:rPr>
        <w:t xml:space="preserve">Biosynthesis of phenylpropanoids (ko01061), </w:t>
      </w:r>
      <w:r>
        <w:rPr>
          <w:rFonts w:hint="eastAsia" w:cs="Times New Roman"/>
          <w:b w:val="0"/>
          <w:bCs/>
          <w:color w:val="auto"/>
          <w:sz w:val="24"/>
          <w:szCs w:val="24"/>
          <w:lang w:val="en-US" w:eastAsia="zh-CN"/>
        </w:rPr>
        <w:t>D:</w:t>
      </w:r>
      <w:r>
        <w:rPr>
          <w:rFonts w:hint="eastAsia" w:ascii="Times New Roman" w:hAnsi="Times New Roman" w:cs="Times New Roman"/>
          <w:b w:val="0"/>
          <w:bCs/>
          <w:color w:val="auto"/>
          <w:sz w:val="24"/>
          <w:szCs w:val="24"/>
          <w:lang w:val="en-US" w:eastAsia="zh-CN"/>
        </w:rPr>
        <w:t xml:space="preserve"> B</w:t>
      </w:r>
      <w:r>
        <w:rPr>
          <w:rFonts w:hint="default" w:ascii="Times New Roman" w:hAnsi="Times New Roman" w:cs="Times New Roman"/>
          <w:b w:val="0"/>
          <w:bCs/>
          <w:color w:val="auto"/>
          <w:sz w:val="24"/>
          <w:szCs w:val="24"/>
          <w:lang w:val="en-US" w:eastAsia="zh-CN"/>
        </w:rPr>
        <w:t>iosynthesis</w:t>
      </w:r>
      <w:r>
        <w:rPr>
          <w:rFonts w:hint="eastAsia" w:ascii="Times New Roman" w:hAnsi="Times New Roman" w:cs="Times New Roman"/>
          <w:b w:val="0"/>
          <w:bCs/>
          <w:color w:val="auto"/>
          <w:sz w:val="24"/>
          <w:szCs w:val="24"/>
          <w:lang w:val="en-US" w:eastAsia="zh-CN"/>
        </w:rPr>
        <w:t xml:space="preserve"> of i</w:t>
      </w:r>
      <w:r>
        <w:rPr>
          <w:rFonts w:hint="default" w:ascii="Times New Roman" w:hAnsi="Times New Roman" w:cs="Times New Roman"/>
          <w:b w:val="0"/>
          <w:bCs/>
          <w:color w:val="auto"/>
          <w:sz w:val="24"/>
          <w:szCs w:val="24"/>
          <w:lang w:val="en-US" w:eastAsia="zh-CN"/>
        </w:rPr>
        <w:t>soquinoline alkaloid (ko00950)</w:t>
      </w:r>
      <w:r>
        <w:rPr>
          <w:rFonts w:hint="eastAsia" w:cs="Times New Roman"/>
          <w:b w:val="0"/>
          <w:bCs/>
          <w:color w:val="auto"/>
          <w:sz w:val="24"/>
          <w:szCs w:val="24"/>
          <w:lang w:val="en-US" w:eastAsia="zh-CN"/>
        </w:rPr>
        <w:t>;</w:t>
      </w:r>
      <w:r>
        <w:rPr>
          <w:rFonts w:hint="default" w:ascii="Times New Roman" w:hAnsi="Times New Roman" w:cs="Times New Roman"/>
          <w:b w:val="0"/>
          <w:bCs/>
          <w:color w:val="auto"/>
          <w:sz w:val="24"/>
          <w:szCs w:val="24"/>
          <w:lang w:val="en-US" w:eastAsia="zh-CN"/>
        </w:rPr>
        <w:t xml:space="preserve"> </w:t>
      </w:r>
      <w:r>
        <w:rPr>
          <w:rFonts w:hint="default" w:ascii="Times New Roman" w:hAnsi="Times New Roman" w:cs="Times New Roman"/>
          <w:i/>
          <w:iCs/>
          <w:color w:val="auto"/>
          <w:sz w:val="24"/>
          <w:szCs w:val="24"/>
        </w:rPr>
        <w:t>C. morifolium</w:t>
      </w:r>
      <w:r>
        <w:rPr>
          <w:rFonts w:hint="default" w:ascii="Times New Roman" w:hAnsi="Times New Roman" w:eastAsia="宋体" w:cs="Times New Roman"/>
          <w:i/>
          <w:color w:val="auto"/>
          <w:sz w:val="24"/>
          <w:szCs w:val="24"/>
          <w:lang w:eastAsia="zh-CN"/>
        </w:rPr>
        <w:t xml:space="preserve"> </w:t>
      </w:r>
      <w:r>
        <w:rPr>
          <w:rFonts w:hint="default" w:ascii="Times New Roman" w:hAnsi="Times New Roman" w:cs="Times New Roman"/>
          <w:color w:val="auto"/>
          <w:sz w:val="24"/>
          <w:szCs w:val="24"/>
        </w:rPr>
        <w:t>monoculture</w:t>
      </w:r>
      <w:r>
        <w:rPr>
          <w:rFonts w:hint="default" w:ascii="Times New Roman" w:hAnsi="Times New Roman" w:eastAsia="宋体" w:cs="Times New Roman"/>
          <w:color w:val="auto"/>
          <w:sz w:val="24"/>
          <w:szCs w:val="24"/>
          <w:lang w:eastAsia="zh-CN"/>
        </w:rPr>
        <w:t xml:space="preserve"> </w:t>
      </w:r>
      <w:r>
        <w:rPr>
          <w:rFonts w:hint="eastAsia" w:ascii="Times New Roman" w:hAnsi="Times New Roman" w:cs="Times New Roman"/>
          <w:b w:val="0"/>
          <w:bCs/>
          <w:color w:val="auto"/>
          <w:sz w:val="24"/>
          <w:szCs w:val="24"/>
          <w:lang w:val="en-US" w:eastAsia="zh-CN"/>
        </w:rPr>
        <w:t>system</w:t>
      </w:r>
      <w:r>
        <w:rPr>
          <w:rFonts w:hint="default" w:ascii="Times New Roman" w:hAnsi="Times New Roman" w:cs="Times New Roman"/>
          <w:b w:val="0"/>
          <w:bCs/>
          <w:color w:val="auto"/>
          <w:sz w:val="24"/>
          <w:szCs w:val="24"/>
          <w:lang w:val="en-US" w:eastAsia="zh-CN"/>
        </w:rPr>
        <w:t xml:space="preserve"> (</w:t>
      </w:r>
      <w:r>
        <w:rPr>
          <w:rFonts w:hint="default" w:ascii="Times New Roman" w:hAnsi="Times New Roman" w:eastAsia="宋体" w:cs="Times New Roman"/>
          <w:color w:val="auto"/>
          <w:sz w:val="24"/>
          <w:szCs w:val="24"/>
          <w:lang w:eastAsia="zh-CN"/>
        </w:rPr>
        <w:t>C</w:t>
      </w:r>
      <w:r>
        <w:rPr>
          <w:rFonts w:hint="default" w:ascii="Times New Roman" w:hAnsi="Times New Roman" w:cs="Times New Roman"/>
          <w:color w:val="auto"/>
          <w:sz w:val="24"/>
          <w:szCs w:val="24"/>
        </w:rPr>
        <w:t xml:space="preserve">C), </w:t>
      </w:r>
      <w:r>
        <w:rPr>
          <w:rFonts w:hint="default" w:ascii="Times New Roman" w:hAnsi="Times New Roman" w:eastAsia="微软雅黑" w:cs="Times New Roman"/>
          <w:i/>
          <w:color w:val="auto"/>
          <w:sz w:val="24"/>
          <w:szCs w:val="24"/>
          <w:shd w:val="clear" w:color="auto" w:fill="FFFFFF"/>
        </w:rPr>
        <w:t>P. vulgaris</w:t>
      </w:r>
      <w:r>
        <w:rPr>
          <w:rFonts w:hint="eastAsia" w:eastAsia="微软雅黑" w:cs="Times New Roman"/>
          <w:i/>
          <w:color w:val="auto"/>
          <w:sz w:val="24"/>
          <w:szCs w:val="24"/>
          <w:shd w:val="clear" w:color="auto" w:fill="FFFFFF"/>
          <w:lang w:val="en-US" w:eastAsia="zh-CN"/>
        </w:rPr>
        <w:t xml:space="preserve"> </w:t>
      </w:r>
      <w:r>
        <w:rPr>
          <w:rFonts w:hint="default" w:ascii="Times New Roman" w:hAnsi="Times New Roman" w:eastAsia="微软雅黑" w:cs="Times New Roman"/>
          <w:b w:val="0"/>
          <w:bCs/>
          <w:color w:val="auto"/>
          <w:sz w:val="24"/>
          <w:szCs w:val="24"/>
          <w:lang w:eastAsia="zh-CN"/>
        </w:rPr>
        <w:t>-</w:t>
      </w:r>
      <w:r>
        <w:rPr>
          <w:rFonts w:hint="eastAsia" w:eastAsia="微软雅黑" w:cs="Times New Roman"/>
          <w:b w:val="0"/>
          <w:bCs/>
          <w:color w:val="auto"/>
          <w:sz w:val="24"/>
          <w:szCs w:val="24"/>
          <w:lang w:val="en-US" w:eastAsia="zh-CN"/>
        </w:rPr>
        <w:t xml:space="preserve"> </w:t>
      </w:r>
      <w:r>
        <w:rPr>
          <w:rFonts w:hint="default" w:ascii="Times New Roman" w:hAnsi="Times New Roman" w:cs="Times New Roman"/>
          <w:i/>
          <w:iCs/>
          <w:color w:val="auto"/>
          <w:sz w:val="24"/>
          <w:szCs w:val="24"/>
        </w:rPr>
        <w:t>C. morifolium</w:t>
      </w:r>
      <w:r>
        <w:rPr>
          <w:rFonts w:hint="eastAsia" w:eastAsia="宋体" w:cs="Times New Roman"/>
          <w:i w:val="0"/>
          <w:iCs/>
          <w:color w:val="auto"/>
          <w:sz w:val="24"/>
          <w:szCs w:val="24"/>
          <w:lang w:val="en-US" w:eastAsia="zh-CN"/>
        </w:rPr>
        <w:t xml:space="preserve"> </w:t>
      </w:r>
      <w:r>
        <w:rPr>
          <w:rFonts w:hint="default" w:ascii="Times New Roman" w:hAnsi="Times New Roman" w:cs="Times New Roman"/>
          <w:color w:val="auto"/>
          <w:sz w:val="24"/>
          <w:szCs w:val="24"/>
        </w:rPr>
        <w:t>rotation</w:t>
      </w:r>
      <w:r>
        <w:rPr>
          <w:rFonts w:hint="default" w:ascii="Times New Roman" w:hAnsi="Times New Roman" w:cs="Times New Roman"/>
          <w:b w:val="0"/>
          <w:bCs/>
          <w:color w:val="auto"/>
          <w:sz w:val="24"/>
          <w:szCs w:val="24"/>
          <w:lang w:val="en-US" w:eastAsia="zh-CN"/>
        </w:rPr>
        <w:t xml:space="preserve"> </w:t>
      </w:r>
      <w:r>
        <w:rPr>
          <w:rFonts w:hint="eastAsia" w:ascii="Times New Roman" w:hAnsi="Times New Roman" w:cs="Times New Roman"/>
          <w:b w:val="0"/>
          <w:bCs/>
          <w:color w:val="auto"/>
          <w:sz w:val="24"/>
          <w:szCs w:val="24"/>
          <w:lang w:val="en-US" w:eastAsia="zh-CN"/>
        </w:rPr>
        <w:t>system</w:t>
      </w:r>
      <w:r>
        <w:rPr>
          <w:rFonts w:hint="default" w:ascii="Times New Roman" w:hAnsi="Times New Roman" w:cs="Times New Roman"/>
          <w:color w:val="auto"/>
          <w:sz w:val="24"/>
          <w:szCs w:val="24"/>
        </w:rPr>
        <w:t xml:space="preserve"> (PC)</w:t>
      </w:r>
      <w:r>
        <w:rPr>
          <w:rFonts w:hint="eastAsia" w:eastAsia="宋体" w:cs="Times New Roman"/>
          <w:color w:val="auto"/>
          <w:sz w:val="24"/>
          <w:szCs w:val="24"/>
          <w:lang w:val="en-US" w:eastAsia="zh-CN"/>
        </w:rPr>
        <w:t xml:space="preserve">; </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 xml:space="preserve"> and </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 xml:space="preserve"> represent </w:t>
      </w:r>
      <w:r>
        <w:rPr>
          <w:rFonts w:hint="eastAsia" w:cs="Times New Roman" w:eastAsiaTheme="minorEastAsia"/>
          <w:i/>
          <w:iCs/>
          <w:color w:val="auto"/>
          <w:sz w:val="24"/>
          <w:szCs w:val="24"/>
          <w:lang w:val="en-US" w:eastAsia="zh-CN"/>
        </w:rPr>
        <w:t>p</w:t>
      </w:r>
      <w:r>
        <w:rPr>
          <w:rFonts w:hint="eastAsia" w:cs="Times New Roman" w:eastAsiaTheme="minorEastAsia"/>
          <w:color w:val="auto"/>
          <w:sz w:val="24"/>
          <w:szCs w:val="24"/>
          <w:lang w:val="en-US" w:eastAsia="zh-CN"/>
        </w:rPr>
        <w:t xml:space="preserve">&lt;0.05 and </w:t>
      </w:r>
      <w:r>
        <w:rPr>
          <w:rFonts w:hint="eastAsia" w:cs="Times New Roman" w:eastAsiaTheme="minorEastAsia"/>
          <w:i/>
          <w:iCs/>
          <w:color w:val="auto"/>
          <w:sz w:val="24"/>
          <w:szCs w:val="24"/>
          <w:lang w:val="en-US" w:eastAsia="zh-CN"/>
        </w:rPr>
        <w:t>p&lt;</w:t>
      </w:r>
      <w:r>
        <w:rPr>
          <w:rFonts w:hint="eastAsia" w:cs="Times New Roman" w:eastAsiaTheme="minorEastAsia"/>
          <w:color w:val="auto"/>
          <w:sz w:val="24"/>
          <w:szCs w:val="24"/>
          <w:lang w:val="en-US" w:eastAsia="zh-CN"/>
        </w:rPr>
        <w:t>0.01, respectively.</w:t>
      </w:r>
    </w:p>
    <w:p w14:paraId="53286AC0">
      <w:pPr>
        <w:spacing w:line="360" w:lineRule="auto"/>
        <w:jc w:val="both"/>
        <w:rPr>
          <w:rFonts w:hint="eastAsia" w:cs="Times New Roman" w:eastAsiaTheme="minorEastAsia"/>
          <w:color w:val="auto"/>
          <w:sz w:val="24"/>
          <w:szCs w:val="24"/>
          <w:lang w:val="en-US" w:eastAsia="zh-CN"/>
        </w:rPr>
      </w:pPr>
    </w:p>
    <w:p w14:paraId="5D9BE875">
      <w:pPr>
        <w:spacing w:line="360" w:lineRule="auto"/>
        <w:jc w:val="both"/>
        <w:rPr>
          <w:rFonts w:hint="eastAsia" w:cs="Times New Roman" w:eastAsiaTheme="minorEastAsia"/>
          <w:color w:val="auto"/>
          <w:sz w:val="24"/>
          <w:szCs w:val="24"/>
          <w:lang w:val="en-US" w:eastAsia="zh-CN"/>
        </w:rPr>
      </w:pPr>
    </w:p>
    <w:p w14:paraId="31633918">
      <w:pPr>
        <w:spacing w:line="360" w:lineRule="auto"/>
        <w:jc w:val="both"/>
        <w:rPr>
          <w:rFonts w:hint="eastAsia" w:cs="Times New Roman" w:eastAsiaTheme="minorEastAsia"/>
          <w:color w:val="auto"/>
          <w:sz w:val="24"/>
          <w:szCs w:val="24"/>
          <w:lang w:val="en-US" w:eastAsia="zh-CN"/>
        </w:rPr>
      </w:pPr>
    </w:p>
    <w:p w14:paraId="415384DB">
      <w:pPr>
        <w:spacing w:line="360" w:lineRule="auto"/>
        <w:jc w:val="both"/>
        <w:rPr>
          <w:rFonts w:hint="eastAsia" w:cs="Times New Roman" w:eastAsiaTheme="minorEastAsia"/>
          <w:color w:val="auto"/>
          <w:sz w:val="24"/>
          <w:szCs w:val="24"/>
          <w:lang w:val="en-US" w:eastAsia="zh-CN"/>
        </w:rPr>
      </w:pPr>
    </w:p>
    <w:p w14:paraId="74186B30">
      <w:pPr>
        <w:spacing w:line="360" w:lineRule="auto"/>
        <w:jc w:val="both"/>
        <w:rPr>
          <w:rFonts w:hint="eastAsia" w:cs="Times New Roman" w:eastAsiaTheme="minorEastAsia"/>
          <w:color w:val="auto"/>
          <w:sz w:val="24"/>
          <w:szCs w:val="24"/>
          <w:lang w:val="en-US" w:eastAsia="zh-CN"/>
        </w:rPr>
      </w:pPr>
    </w:p>
    <w:p w14:paraId="1B5C74F6">
      <w:pPr>
        <w:spacing w:line="360" w:lineRule="auto"/>
        <w:jc w:val="both"/>
        <w:rPr>
          <w:rFonts w:hint="eastAsia" w:cs="Times New Roman" w:eastAsiaTheme="minorEastAsia"/>
          <w:color w:val="auto"/>
          <w:sz w:val="24"/>
          <w:szCs w:val="24"/>
          <w:lang w:val="en-US" w:eastAsia="zh-CN"/>
        </w:rPr>
      </w:pPr>
    </w:p>
    <w:p w14:paraId="76218B32">
      <w:pPr>
        <w:spacing w:line="360" w:lineRule="auto"/>
        <w:jc w:val="both"/>
        <w:rPr>
          <w:rFonts w:hint="eastAsia" w:cs="Times New Roman" w:eastAsiaTheme="minorEastAsia"/>
          <w:color w:val="auto"/>
          <w:sz w:val="24"/>
          <w:szCs w:val="24"/>
          <w:lang w:val="en-US" w:eastAsia="zh-CN"/>
        </w:rPr>
      </w:pPr>
    </w:p>
    <w:p w14:paraId="45A95C38">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cs="Times New Roman" w:eastAsiaTheme="minorEastAsia"/>
          <w:color w:val="auto"/>
          <w:sz w:val="24"/>
          <w:szCs w:val="24"/>
          <w:lang w:val="en-US" w:eastAsia="zh-CN"/>
        </w:rPr>
      </w:pPr>
      <w:r>
        <w:rPr>
          <w:rFonts w:hint="eastAsia" w:eastAsia="宋体" w:cs="Times New Roman"/>
          <w:b/>
          <w:bCs/>
          <w:color w:val="auto"/>
          <w:kern w:val="0"/>
          <w:sz w:val="24"/>
          <w:szCs w:val="24"/>
          <w:lang w:val="en-US" w:eastAsia="zh-CN" w:bidi="ar"/>
        </w:rPr>
        <w:t>Methods</w:t>
      </w:r>
    </w:p>
    <w:p w14:paraId="38D18DD5">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Network Construction</w:t>
      </w:r>
    </w:p>
    <w:p w14:paraId="4A8F4624">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The network depicted in the figure was constructed using the BioinCloud platform (https://www.bioincloud.tech/), employing a series of parameters to define the relationships between fungal and bacterial genera, soil physicochemical properties, and soil enzymatic activities. The construction process involved the following steps and parameters:</w:t>
      </w:r>
    </w:p>
    <w:p w14:paraId="4D66F6C5">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1. Correlation Coefficient Type: Spearman correlation coefficient was selected to assess the monotonic relationships between variables without assuming a linear relationship.</w:t>
      </w:r>
    </w:p>
    <w:p w14:paraId="31701503">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2. Correlation Coefficient Threshold: A threshold of 0.6 was applied to include only strong correlations in the network. Absolute values of the Spearman correlation coefficient greater than or equal to 0.6 were considered significant.</w:t>
      </w:r>
    </w:p>
    <w:p w14:paraId="64EE677C">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3. P-Value Threshold: A significance level of 0.05 was used to determine statistically significant correlations, ensuring that the relationships depicted in the network were not due to random chance.</w:t>
      </w:r>
    </w:p>
    <w:p w14:paraId="4ABA4830">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4. Number of Fungal Genera: The network included 10 fungal genera, represented in the innermost circle of the network diagram.</w:t>
      </w:r>
    </w:p>
    <w:p w14:paraId="44F3336B">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5. Number of Bacterial Genera: The network incorporated 20 bacterial genera, positioned in the outermost circle of the diagram.</w:t>
      </w:r>
    </w:p>
    <w:p w14:paraId="7A595181">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6. Number of Soil Physicochemical Properties</w:t>
      </w:r>
      <w:r>
        <w:rPr>
          <w:rFonts w:hint="eastAsia" w:cs="Times New Roman"/>
          <w:color w:val="auto"/>
          <w:sz w:val="24"/>
          <w:szCs w:val="24"/>
          <w:lang w:val="en-US" w:eastAsia="zh-CN"/>
        </w:rPr>
        <w:t xml:space="preserve"> and </w:t>
      </w:r>
      <w:r>
        <w:rPr>
          <w:rFonts w:hint="eastAsia" w:ascii="Times New Roman" w:hAnsi="Times New Roman" w:cs="Times New Roman"/>
          <w:color w:val="auto"/>
          <w:sz w:val="24"/>
          <w:szCs w:val="24"/>
          <w:lang w:eastAsia="zh-CN"/>
        </w:rPr>
        <w:t xml:space="preserve">Soil Enzymatic Activities: Fifteen soil physicochemical properties </w:t>
      </w:r>
      <w:r>
        <w:rPr>
          <w:rFonts w:hint="eastAsia" w:cs="Times New Roman"/>
          <w:color w:val="auto"/>
          <w:sz w:val="24"/>
          <w:szCs w:val="24"/>
          <w:lang w:val="en-US" w:eastAsia="zh-CN"/>
        </w:rPr>
        <w:t>and f</w:t>
      </w:r>
      <w:r>
        <w:rPr>
          <w:rFonts w:hint="eastAsia" w:ascii="Times New Roman" w:hAnsi="Times New Roman" w:cs="Times New Roman"/>
          <w:color w:val="auto"/>
          <w:sz w:val="24"/>
          <w:szCs w:val="24"/>
          <w:lang w:eastAsia="zh-CN"/>
        </w:rPr>
        <w:t>ive soil enzymatic activities</w:t>
      </w:r>
      <w:r>
        <w:rPr>
          <w:rFonts w:hint="eastAsia" w:cs="Times New Roman"/>
          <w:color w:val="auto"/>
          <w:sz w:val="24"/>
          <w:szCs w:val="24"/>
          <w:lang w:val="en-US" w:eastAsia="zh-CN"/>
        </w:rPr>
        <w:t xml:space="preserve"> </w:t>
      </w:r>
      <w:r>
        <w:rPr>
          <w:rFonts w:hint="eastAsia" w:ascii="Times New Roman" w:hAnsi="Times New Roman" w:cs="Times New Roman"/>
          <w:color w:val="auto"/>
          <w:sz w:val="24"/>
          <w:szCs w:val="24"/>
          <w:lang w:eastAsia="zh-CN"/>
        </w:rPr>
        <w:t>were included as intermediate variables.</w:t>
      </w:r>
    </w:p>
    <w:p w14:paraId="55046319">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Network Visualization</w:t>
      </w:r>
    </w:p>
    <w:p w14:paraId="49AD7F74">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The network visualization was designed with the following characteristics:</w:t>
      </w:r>
    </w:p>
    <w:p w14:paraId="578375B1">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Node Size: The size of each node was determined by its degree, which reflects the number of connections a node has with other nodes. Larger nodes indicate a higher degree, suggesting a more central role in the network.</w:t>
      </w:r>
    </w:p>
    <w:p w14:paraId="7E642B96">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Edge Color: The color of the edges represents the direction of the correlation between nodes. Red edges indicate negative correlations, while green edges signify positive correlations.</w:t>
      </w:r>
    </w:p>
    <w:p w14:paraId="529A0E89">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Node Arrangement: Nodes were arranged in concentric circles, with fungal genera in the innermost circle, followed by soil physicochemical properties and enzymatic activities in the middle circle, and bacterial genera in the outermost circle.</w:t>
      </w:r>
    </w:p>
    <w:p w14:paraId="66AADCBC">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This network analysis provides a visual representation of the complex interactions between soil microbiota and environmental factors, highlighting the significant relationships that may influence ecosystem functions and microbial community dynamics.</w:t>
      </w:r>
    </w:p>
    <w:p w14:paraId="03DF257E">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drawing>
          <wp:anchor distT="0" distB="0" distL="114300" distR="114300" simplePos="0" relativeHeight="251664384" behindDoc="0" locked="0" layoutInCell="1" allowOverlap="1">
            <wp:simplePos x="0" y="0"/>
            <wp:positionH relativeFrom="column">
              <wp:posOffset>513715</wp:posOffset>
            </wp:positionH>
            <wp:positionV relativeFrom="paragraph">
              <wp:posOffset>50800</wp:posOffset>
            </wp:positionV>
            <wp:extent cx="5399405" cy="4072255"/>
            <wp:effectExtent l="0" t="0" r="10795" b="4445"/>
            <wp:wrapTopAndBottom/>
            <wp:docPr id="4" name="图片 4" descr="netwo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network "/>
                    <pic:cNvPicPr>
                      <a:picLocks noChangeAspect="1"/>
                    </pic:cNvPicPr>
                  </pic:nvPicPr>
                  <pic:blipFill>
                    <a:blip r:embed="rId14"/>
                    <a:stretch>
                      <a:fillRect/>
                    </a:stretch>
                  </pic:blipFill>
                  <pic:spPr>
                    <a:xfrm>
                      <a:off x="0" y="0"/>
                      <a:ext cx="5399405" cy="4072255"/>
                    </a:xfrm>
                    <a:prstGeom prst="rect">
                      <a:avLst/>
                    </a:prstGeom>
                  </pic:spPr>
                </pic:pic>
              </a:graphicData>
            </a:graphic>
          </wp:anchor>
        </w:drawing>
      </w:r>
    </w:p>
    <w:p w14:paraId="1A056A50">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eastAsia="宋体" w:cs="Times New Roman"/>
          <w:color w:val="auto"/>
          <w:sz w:val="24"/>
          <w:szCs w:val="24"/>
          <w:lang w:val="en-US" w:eastAsia="zh-CN"/>
        </w:rPr>
      </w:pPr>
      <w:r>
        <w:rPr>
          <w:rFonts w:hint="default" w:ascii="Times New Roman" w:hAnsi="Times New Roman" w:cs="Times New Roman"/>
          <w:b/>
          <w:color w:val="auto"/>
          <w:sz w:val="24"/>
          <w:szCs w:val="24"/>
        </w:rPr>
        <w:t>Supplementary</w:t>
      </w:r>
      <w:r>
        <w:rPr>
          <w:rFonts w:hint="eastAsia" w:eastAsia="宋体" w:cs="Times New Roman"/>
          <w:b/>
          <w:color w:val="auto"/>
          <w:sz w:val="24"/>
          <w:szCs w:val="24"/>
          <w:lang w:val="en-US" w:eastAsia="zh-CN"/>
        </w:rPr>
        <w:t xml:space="preserve"> Fig.</w:t>
      </w:r>
      <w:r>
        <w:rPr>
          <w:rFonts w:hint="default" w:ascii="Times New Roman" w:hAnsi="Times New Roman" w:cs="Times New Roman"/>
          <w:b/>
          <w:color w:val="auto"/>
          <w:sz w:val="24"/>
          <w:szCs w:val="24"/>
        </w:rPr>
        <w:t xml:space="preserve"> </w:t>
      </w:r>
      <w:r>
        <w:rPr>
          <w:rFonts w:hint="eastAsia" w:eastAsia="宋体" w:cs="Times New Roman"/>
          <w:b/>
          <w:color w:val="auto"/>
          <w:sz w:val="24"/>
          <w:szCs w:val="24"/>
          <w:lang w:val="en-US" w:eastAsia="zh-CN"/>
        </w:rPr>
        <w:t xml:space="preserve">5 </w:t>
      </w:r>
      <w:r>
        <w:rPr>
          <w:rFonts w:hint="default" w:ascii="Times New Roman" w:hAnsi="Times New Roman" w:eastAsia="黑体" w:cs="Times New Roman"/>
          <w:color w:val="auto"/>
          <w:sz w:val="24"/>
          <w:szCs w:val="24"/>
          <w:lang w:eastAsia="zh-CN"/>
        </w:rPr>
        <w:t xml:space="preserve">The interaction network between </w:t>
      </w:r>
      <w:r>
        <w:rPr>
          <w:rFonts w:hint="default" w:ascii="Times New Roman" w:hAnsi="Times New Roman" w:eastAsia="宋体" w:cs="Times New Roman"/>
          <w:color w:val="auto"/>
          <w:sz w:val="24"/>
          <w:szCs w:val="24"/>
          <w:lang w:eastAsia="zh-CN"/>
        </w:rPr>
        <w:t>environmental factors</w:t>
      </w:r>
      <w:r>
        <w:rPr>
          <w:rFonts w:hint="default" w:ascii="Times New Roman" w:hAnsi="Times New Roman" w:eastAsia="黑体" w:cs="Times New Roman"/>
          <w:color w:val="auto"/>
          <w:sz w:val="24"/>
          <w:szCs w:val="24"/>
          <w:lang w:eastAsia="zh-CN"/>
        </w:rPr>
        <w:t xml:space="preserve"> and </w:t>
      </w:r>
      <w:r>
        <w:rPr>
          <w:rFonts w:hint="default" w:ascii="Times New Roman" w:hAnsi="Times New Roman" w:cs="Times New Roman"/>
          <w:color w:val="auto"/>
          <w:sz w:val="24"/>
          <w:szCs w:val="24"/>
        </w:rPr>
        <w:t>bacterial and fungal community</w:t>
      </w:r>
      <w:r>
        <w:rPr>
          <w:rFonts w:hint="eastAsia" w:eastAsia="黑体" w:cs="Times New Roman"/>
          <w:color w:val="auto"/>
          <w:sz w:val="24"/>
          <w:szCs w:val="24"/>
          <w:lang w:val="en-US" w:eastAsia="zh-CN"/>
        </w:rPr>
        <w:t xml:space="preserve"> </w:t>
      </w:r>
      <w:r>
        <w:rPr>
          <w:rFonts w:hint="default" w:ascii="Times New Roman" w:hAnsi="Times New Roman" w:cs="Times New Roman"/>
          <w:color w:val="auto"/>
          <w:sz w:val="24"/>
          <w:szCs w:val="24"/>
        </w:rPr>
        <w:t>at the genus level</w:t>
      </w:r>
      <w:r>
        <w:rPr>
          <w:rFonts w:hint="eastAsia" w:eastAsia="宋体" w:cs="Times New Roman"/>
          <w:color w:val="auto"/>
          <w:sz w:val="24"/>
          <w:szCs w:val="24"/>
          <w:lang w:val="en-US" w:eastAsia="zh-CN"/>
        </w:rPr>
        <w:t>.</w:t>
      </w:r>
    </w:p>
    <w:p w14:paraId="012FCEB1">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cs="Times New Roman"/>
          <w:b w:val="0"/>
          <w:bCs/>
          <w:color w:val="auto"/>
          <w:sz w:val="24"/>
          <w:szCs w:val="24"/>
          <w:lang w:val="en-US" w:eastAsia="zh-CN"/>
        </w:rPr>
      </w:pPr>
      <w:r>
        <w:rPr>
          <w:rFonts w:hint="eastAsia" w:eastAsia="宋体" w:cs="Times New Roman"/>
          <w:color w:val="auto"/>
          <w:sz w:val="24"/>
          <w:szCs w:val="24"/>
          <w:lang w:val="en-US" w:eastAsia="zh-CN"/>
        </w:rPr>
        <w:t xml:space="preserve">Note: </w:t>
      </w:r>
      <w:r>
        <w:rPr>
          <w:rFonts w:hint="eastAsia" w:eastAsia="宋体"/>
          <w:color w:val="auto"/>
          <w:sz w:val="24"/>
          <w:szCs w:val="24"/>
          <w:lang w:eastAsia="zh-CN"/>
        </w:rPr>
        <w:t xml:space="preserve">The edge data </w:t>
      </w:r>
      <w:r>
        <w:rPr>
          <w:rFonts w:hint="eastAsia" w:eastAsia="宋体" w:cs="Times New Roman"/>
          <w:color w:val="auto"/>
          <w:sz w:val="24"/>
          <w:szCs w:val="24"/>
          <w:lang w:val="en-US" w:eastAsia="zh-CN"/>
        </w:rPr>
        <w:t xml:space="preserve">of </w:t>
      </w:r>
      <w:r>
        <w:rPr>
          <w:rFonts w:hint="default" w:ascii="Times New Roman" w:hAnsi="Times New Roman" w:eastAsia="黑体" w:cs="Times New Roman"/>
          <w:color w:val="auto"/>
          <w:sz w:val="24"/>
          <w:szCs w:val="24"/>
          <w:lang w:eastAsia="zh-CN"/>
        </w:rPr>
        <w:t>interaction network</w:t>
      </w:r>
      <w:r>
        <w:rPr>
          <w:rFonts w:hint="eastAsia" w:eastAsia="黑体" w:cs="Times New Roman"/>
          <w:color w:val="auto"/>
          <w:sz w:val="24"/>
          <w:szCs w:val="24"/>
          <w:lang w:val="en-US" w:eastAsia="zh-CN"/>
        </w:rPr>
        <w:t xml:space="preserve"> </w:t>
      </w:r>
      <w:r>
        <w:rPr>
          <w:rFonts w:hint="eastAsia" w:eastAsia="宋体"/>
          <w:color w:val="auto"/>
          <w:sz w:val="24"/>
          <w:szCs w:val="24"/>
          <w:lang w:eastAsia="zh-CN"/>
        </w:rPr>
        <w:t xml:space="preserve">can be viewed in the </w:t>
      </w:r>
      <w:r>
        <w:rPr>
          <w:rFonts w:hint="default" w:ascii="Times New Roman" w:hAnsi="Times New Roman" w:cs="Times New Roman"/>
          <w:b/>
          <w:color w:val="auto"/>
          <w:sz w:val="24"/>
          <w:szCs w:val="24"/>
        </w:rPr>
        <w:t>Supplementary</w:t>
      </w:r>
      <w:r>
        <w:rPr>
          <w:rFonts w:hint="eastAsia" w:ascii="Times New Roman" w:hAnsi="Times New Roman" w:cs="Times New Roman"/>
          <w:b/>
          <w:color w:val="auto"/>
          <w:sz w:val="24"/>
          <w:szCs w:val="24"/>
          <w:lang w:val="en-US" w:eastAsia="zh-CN"/>
        </w:rPr>
        <w:t xml:space="preserve"> </w:t>
      </w:r>
      <w:r>
        <w:rPr>
          <w:rFonts w:hint="eastAsia" w:ascii="Times New Roman" w:hAnsi="Times New Roman" w:cs="Times New Roman"/>
          <w:b/>
          <w:color w:val="auto"/>
          <w:sz w:val="24"/>
          <w:szCs w:val="24"/>
          <w:lang w:eastAsia="zh-CN"/>
        </w:rPr>
        <w:t>table</w:t>
      </w:r>
      <w:r>
        <w:rPr>
          <w:rFonts w:hint="eastAsia" w:cs="Times New Roman"/>
          <w:b w:val="0"/>
          <w:bCs/>
          <w:color w:val="auto"/>
          <w:sz w:val="24"/>
          <w:szCs w:val="24"/>
          <w:lang w:val="en-US" w:eastAsia="zh-CN"/>
        </w:rPr>
        <w:t>.</w:t>
      </w:r>
    </w:p>
    <w:p w14:paraId="2F8CC62A">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default" w:cs="Times New Roman"/>
          <w:b w:val="0"/>
          <w:bCs/>
          <w:color w:val="auto"/>
          <w:sz w:val="24"/>
          <w:szCs w:val="24"/>
          <w:lang w:val="en-US" w:eastAsia="zh-CN"/>
        </w:rPr>
      </w:pPr>
    </w:p>
    <w:p w14:paraId="5FC8B7CB">
      <w:pPr>
        <w:rPr>
          <w:rFonts w:hint="eastAsia" w:eastAsia="宋体"/>
          <w:color w:val="auto"/>
          <w:lang w:eastAsia="zh-CN"/>
        </w:rPr>
      </w:pPr>
      <w:r>
        <w:rPr>
          <w:rFonts w:hint="default" w:ascii="Times New Roman" w:hAnsi="Times New Roman" w:cs="Times New Roman"/>
          <w:b/>
          <w:color w:val="auto"/>
          <w:sz w:val="24"/>
          <w:szCs w:val="24"/>
        </w:rPr>
        <w:t>Supplementary</w:t>
      </w:r>
      <w:r>
        <w:rPr>
          <w:rFonts w:hint="eastAsia" w:eastAsia="宋体" w:cs="Times New Roman"/>
          <w:b/>
          <w:color w:val="auto"/>
          <w:sz w:val="24"/>
          <w:szCs w:val="24"/>
          <w:lang w:val="en-US" w:eastAsia="zh-CN"/>
        </w:rPr>
        <w:t xml:space="preserve"> Fig.</w:t>
      </w:r>
      <w:r>
        <w:rPr>
          <w:rFonts w:hint="default" w:ascii="Times New Roman" w:hAnsi="Times New Roman" w:cs="Times New Roman"/>
          <w:b/>
          <w:color w:val="auto"/>
          <w:sz w:val="24"/>
          <w:szCs w:val="24"/>
        </w:rPr>
        <w:t xml:space="preserve"> </w:t>
      </w:r>
      <w:r>
        <w:rPr>
          <w:rFonts w:hint="eastAsia" w:eastAsia="宋体" w:cs="Times New Roman"/>
          <w:b/>
          <w:color w:val="auto"/>
          <w:sz w:val="24"/>
          <w:szCs w:val="24"/>
          <w:lang w:val="en-US" w:eastAsia="zh-CN"/>
        </w:rPr>
        <w:t>6</w:t>
      </w:r>
      <w:r>
        <w:rPr>
          <w:rFonts w:hint="default" w:ascii="Times New Roman" w:hAnsi="Times New Roman" w:eastAsia="宋体" w:cs="Times New Roman"/>
          <w:color w:val="auto"/>
          <w:kern w:val="0"/>
          <w:sz w:val="24"/>
          <w:szCs w:val="24"/>
          <w:lang w:val="en-US" w:eastAsia="zh-CN" w:bidi="ar"/>
        </w:rPr>
        <w:t xml:space="preserve"> Antibacterial effects of different parts extracts of </w:t>
      </w:r>
      <w:r>
        <w:rPr>
          <w:rFonts w:hint="default" w:ascii="Times New Roman" w:hAnsi="Times New Roman" w:eastAsia="宋体" w:cs="Times New Roman"/>
          <w:i/>
          <w:iCs/>
          <w:color w:val="auto"/>
          <w:kern w:val="0"/>
          <w:sz w:val="24"/>
          <w:szCs w:val="24"/>
          <w:lang w:val="en-US" w:eastAsia="zh-CN" w:bidi="ar"/>
        </w:rPr>
        <w:t>Prunella vulgaris</w:t>
      </w:r>
      <w:r>
        <w:rPr>
          <w:rFonts w:hint="default" w:ascii="Times New Roman" w:hAnsi="Times New Roman" w:eastAsia="宋体" w:cs="Times New Roman"/>
          <w:color w:val="auto"/>
          <w:kern w:val="0"/>
          <w:sz w:val="24"/>
          <w:szCs w:val="24"/>
          <w:lang w:val="en-US" w:eastAsia="zh-CN" w:bidi="ar"/>
        </w:rPr>
        <w:t xml:space="preserve"> (1 mg/mL) on</w:t>
      </w:r>
      <w:r>
        <w:rPr>
          <w:rFonts w:hint="default" w:ascii="Times New Roman" w:hAnsi="Times New Roman" w:eastAsia="宋体" w:cs="Times New Roman"/>
          <w:i/>
          <w:iCs/>
          <w:color w:val="auto"/>
          <w:kern w:val="0"/>
          <w:sz w:val="24"/>
          <w:szCs w:val="24"/>
          <w:lang w:val="en-US" w:eastAsia="zh-CN" w:bidi="ar"/>
        </w:rPr>
        <w:t xml:space="preserve"> Fusarium oxysporum</w:t>
      </w:r>
      <w:r>
        <w:rPr>
          <w:rFonts w:hint="default"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drawing>
          <wp:anchor distT="0" distB="0" distL="114300" distR="114300" simplePos="0" relativeHeight="251665408" behindDoc="0" locked="0" layoutInCell="1" allowOverlap="1">
            <wp:simplePos x="0" y="0"/>
            <wp:positionH relativeFrom="column">
              <wp:posOffset>1132205</wp:posOffset>
            </wp:positionH>
            <wp:positionV relativeFrom="paragraph">
              <wp:posOffset>67945</wp:posOffset>
            </wp:positionV>
            <wp:extent cx="3375660" cy="2599690"/>
            <wp:effectExtent l="0" t="0" r="15240" b="10160"/>
            <wp:wrapTopAndBottom/>
            <wp:docPr id="5" name="图片 5" descr="IMG_99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9986-2"/>
                    <pic:cNvPicPr>
                      <a:picLocks noChangeAspect="1"/>
                    </pic:cNvPicPr>
                  </pic:nvPicPr>
                  <pic:blipFill>
                    <a:blip r:embed="rId15"/>
                    <a:stretch>
                      <a:fillRect/>
                    </a:stretch>
                  </pic:blipFill>
                  <pic:spPr>
                    <a:xfrm>
                      <a:off x="0" y="0"/>
                      <a:ext cx="3375660" cy="2599690"/>
                    </a:xfrm>
                    <a:prstGeom prst="rect">
                      <a:avLst/>
                    </a:prstGeom>
                    <a:noFill/>
                    <a:ln>
                      <a:noFill/>
                    </a:ln>
                  </pic:spPr>
                </pic:pic>
              </a:graphicData>
            </a:graphic>
          </wp:anchor>
        </w:drawing>
      </w:r>
    </w:p>
    <w:p w14:paraId="3865E67D">
      <w:pPr>
        <w:jc w:val="both"/>
        <w:rPr>
          <w:rFonts w:hint="default" w:ascii="Times New Roman" w:hAnsi="Times New Roman" w:cs="Times New Roman"/>
          <w:b/>
          <w:color w:val="auto"/>
          <w:sz w:val="24"/>
          <w:szCs w:val="24"/>
        </w:rPr>
      </w:pPr>
    </w:p>
    <w:p w14:paraId="041CD0E0">
      <w:pPr>
        <w:jc w:val="both"/>
        <w:rPr>
          <w:rFonts w:hint="default" w:ascii="Times New Roman" w:hAnsi="Times New Roman" w:cs="Times New Roman"/>
          <w:b/>
          <w:color w:val="auto"/>
          <w:sz w:val="24"/>
          <w:szCs w:val="24"/>
        </w:rPr>
      </w:pPr>
    </w:p>
    <w:p w14:paraId="50BF71BD">
      <w:pPr>
        <w:jc w:val="both"/>
        <w:rPr>
          <w:rFonts w:hint="default" w:ascii="Times New Roman" w:hAnsi="Times New Roman" w:cs="Times New Roman"/>
          <w:b/>
          <w:color w:val="auto"/>
          <w:sz w:val="24"/>
          <w:szCs w:val="24"/>
        </w:rPr>
      </w:pPr>
    </w:p>
    <w:p w14:paraId="3D0D2173">
      <w:pPr>
        <w:jc w:val="both"/>
        <w:rPr>
          <w:rFonts w:hint="default" w:ascii="Times New Roman" w:hAnsi="Times New Roman" w:cs="Times New Roman"/>
          <w:b/>
          <w:color w:val="auto"/>
          <w:sz w:val="24"/>
          <w:szCs w:val="24"/>
        </w:rPr>
      </w:pPr>
    </w:p>
    <w:p w14:paraId="1FAD829A">
      <w:pPr>
        <w:jc w:val="both"/>
        <w:rPr>
          <w:rFonts w:hint="default" w:ascii="Times New Roman" w:hAnsi="Times New Roman" w:cs="Times New Roman"/>
          <w:b/>
          <w:color w:val="auto"/>
          <w:sz w:val="24"/>
          <w:szCs w:val="24"/>
        </w:rPr>
      </w:pPr>
    </w:p>
    <w:p w14:paraId="61DE6A5C">
      <w:pPr>
        <w:jc w:val="both"/>
        <w:rPr>
          <w:rFonts w:hint="default" w:ascii="Times New Roman" w:hAnsi="Times New Roman" w:cs="Times New Roman"/>
          <w:b/>
          <w:color w:val="auto"/>
          <w:sz w:val="24"/>
          <w:szCs w:val="24"/>
        </w:rPr>
      </w:pPr>
    </w:p>
    <w:p w14:paraId="3444D2B4">
      <w:pPr>
        <w:jc w:val="both"/>
        <w:rPr>
          <w:rFonts w:hint="default" w:ascii="Times New Roman" w:hAnsi="Times New Roman" w:cs="Times New Roman"/>
          <w:b/>
          <w:color w:val="auto"/>
          <w:sz w:val="24"/>
          <w:szCs w:val="24"/>
        </w:rPr>
      </w:pPr>
    </w:p>
    <w:p w14:paraId="17B6FCC6">
      <w:pPr>
        <w:jc w:val="both"/>
        <w:rPr>
          <w:rFonts w:hint="default" w:ascii="Times New Roman" w:hAnsi="Times New Roman" w:cs="Times New Roman"/>
          <w:b/>
          <w:color w:val="auto"/>
          <w:sz w:val="24"/>
          <w:szCs w:val="24"/>
        </w:rPr>
      </w:pPr>
    </w:p>
    <w:p w14:paraId="4A84C6B6">
      <w:pPr>
        <w:jc w:val="both"/>
        <w:rPr>
          <w:rFonts w:hint="default" w:ascii="Times New Roman" w:hAnsi="Times New Roman" w:cs="Times New Roman"/>
          <w:b/>
          <w:color w:val="auto"/>
          <w:sz w:val="24"/>
          <w:szCs w:val="24"/>
        </w:rPr>
      </w:pPr>
    </w:p>
    <w:p w14:paraId="786F2BAA">
      <w:pPr>
        <w:jc w:val="both"/>
        <w:rPr>
          <w:rFonts w:hint="default" w:ascii="Times New Roman" w:hAnsi="Times New Roman" w:cs="Times New Roman"/>
          <w:b/>
          <w:color w:val="auto"/>
          <w:sz w:val="24"/>
          <w:szCs w:val="24"/>
        </w:rPr>
      </w:pPr>
    </w:p>
    <w:p w14:paraId="2A003F2F">
      <w:pPr>
        <w:jc w:val="both"/>
        <w:rPr>
          <w:rFonts w:hint="default" w:ascii="Times New Roman" w:hAnsi="Times New Roman" w:cs="Times New Roman"/>
          <w:b/>
          <w:color w:val="auto"/>
          <w:sz w:val="24"/>
          <w:szCs w:val="24"/>
        </w:rPr>
      </w:pPr>
    </w:p>
    <w:p w14:paraId="45B0DC1D">
      <w:pPr>
        <w:jc w:val="both"/>
        <w:rPr>
          <w:rFonts w:hint="default" w:ascii="Times New Roman" w:hAnsi="Times New Roman" w:cs="Times New Roman"/>
          <w:b/>
          <w:color w:val="auto"/>
          <w:sz w:val="24"/>
          <w:szCs w:val="24"/>
        </w:rPr>
      </w:pPr>
    </w:p>
    <w:p w14:paraId="4A23B617">
      <w:pPr>
        <w:jc w:val="both"/>
        <w:rPr>
          <w:rFonts w:hint="default" w:ascii="Times New Roman" w:hAnsi="Times New Roman" w:cs="Times New Roman"/>
          <w:b/>
          <w:color w:val="auto"/>
          <w:sz w:val="24"/>
          <w:szCs w:val="24"/>
        </w:rPr>
      </w:pPr>
    </w:p>
    <w:p w14:paraId="0F48835B">
      <w:pPr>
        <w:jc w:val="both"/>
        <w:rPr>
          <w:rFonts w:hint="default" w:ascii="Times New Roman" w:hAnsi="Times New Roman" w:cs="Times New Roman"/>
          <w:b/>
          <w:color w:val="auto"/>
          <w:sz w:val="24"/>
          <w:szCs w:val="24"/>
        </w:rPr>
      </w:pPr>
    </w:p>
    <w:p w14:paraId="22CCF937">
      <w:pPr>
        <w:jc w:val="both"/>
        <w:rPr>
          <w:rFonts w:hint="default" w:ascii="Times New Roman" w:hAnsi="Times New Roman" w:cs="Times New Roman"/>
          <w:b/>
          <w:color w:val="auto"/>
          <w:sz w:val="24"/>
          <w:szCs w:val="24"/>
        </w:rPr>
      </w:pPr>
    </w:p>
    <w:tbl>
      <w:tblPr>
        <w:tblStyle w:val="20"/>
        <w:tblpPr w:leftFromText="180" w:rightFromText="180" w:vertAnchor="text" w:horzAnchor="page" w:tblpX="1264" w:tblpY="1061"/>
        <w:tblOverlap w:val="never"/>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54"/>
        <w:gridCol w:w="3250"/>
        <w:gridCol w:w="2814"/>
        <w:gridCol w:w="2267"/>
      </w:tblGrid>
      <w:tr w14:paraId="3E8F8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828" w:type="pct"/>
            <w:vMerge w:val="restart"/>
            <w:tcBorders>
              <w:top w:val="single" w:color="000000" w:sz="12" w:space="0"/>
              <w:left w:val="nil"/>
              <w:bottom w:val="single" w:color="000000" w:sz="12" w:space="0"/>
              <w:right w:val="nil"/>
            </w:tcBorders>
            <w:shd w:val="clear" w:color="auto" w:fill="auto"/>
            <w:noWrap/>
            <w:vAlign w:val="center"/>
          </w:tcPr>
          <w:p w14:paraId="3987E6F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Domain</w:t>
            </w:r>
          </w:p>
        </w:tc>
        <w:tc>
          <w:tcPr>
            <w:tcW w:w="1627" w:type="pct"/>
            <w:vMerge w:val="restart"/>
            <w:tcBorders>
              <w:top w:val="single" w:color="000000" w:sz="12" w:space="0"/>
              <w:left w:val="nil"/>
              <w:bottom w:val="single" w:color="000000" w:sz="12" w:space="0"/>
              <w:right w:val="nil"/>
            </w:tcBorders>
            <w:shd w:val="clear" w:color="auto" w:fill="auto"/>
            <w:noWrap/>
            <w:vAlign w:val="center"/>
          </w:tcPr>
          <w:p w14:paraId="5AA06A0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Phyla</w:t>
            </w:r>
          </w:p>
        </w:tc>
        <w:tc>
          <w:tcPr>
            <w:tcW w:w="2544" w:type="pct"/>
            <w:gridSpan w:val="2"/>
            <w:tcBorders>
              <w:top w:val="single" w:color="000000" w:sz="12" w:space="0"/>
              <w:left w:val="nil"/>
              <w:bottom w:val="nil"/>
              <w:right w:val="nil"/>
            </w:tcBorders>
            <w:shd w:val="clear" w:color="auto" w:fill="auto"/>
            <w:noWrap/>
            <w:vAlign w:val="top"/>
          </w:tcPr>
          <w:p w14:paraId="537826FC">
            <w:pPr>
              <w:keepNext w:val="0"/>
              <w:keepLines w:val="0"/>
              <w:pageBreakBefore w:val="0"/>
              <w:widowControl/>
              <w:kinsoku/>
              <w:wordWrap/>
              <w:overflowPunct/>
              <w:topLinePunct w:val="0"/>
              <w:autoSpaceDE/>
              <w:autoSpaceDN/>
              <w:bidi w:val="0"/>
              <w:adjustRightInd/>
              <w:snapToGrid/>
              <w:spacing w:line="20" w:lineRule="exact"/>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Relative abundance (%)</w:t>
            </w:r>
          </w:p>
        </w:tc>
      </w:tr>
      <w:tr w14:paraId="31044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828" w:type="pct"/>
            <w:vMerge w:val="continue"/>
            <w:tcBorders>
              <w:top w:val="single" w:color="000000" w:sz="12" w:space="0"/>
              <w:left w:val="nil"/>
              <w:bottom w:val="single" w:color="000000" w:sz="12" w:space="0"/>
              <w:right w:val="nil"/>
            </w:tcBorders>
            <w:shd w:val="clear" w:color="auto" w:fill="auto"/>
            <w:noWrap/>
            <w:vAlign w:val="center"/>
          </w:tcPr>
          <w:p w14:paraId="1A1F00A6">
            <w:pPr>
              <w:keepNext w:val="0"/>
              <w:keepLines w:val="0"/>
              <w:pageBreakBefore w:val="0"/>
              <w:widowControl/>
              <w:kinsoku/>
              <w:wordWrap/>
              <w:overflowPunct/>
              <w:topLinePunct w:val="0"/>
              <w:autoSpaceDE/>
              <w:autoSpaceDN/>
              <w:bidi w:val="0"/>
              <w:adjustRightInd/>
              <w:snapToGrid/>
              <w:spacing w:line="20" w:lineRule="exact"/>
              <w:jc w:val="center"/>
              <w:rPr>
                <w:rFonts w:hint="default" w:ascii="Times New Roman" w:hAnsi="Times New Roman" w:eastAsia="宋体" w:cs="Times New Roman"/>
                <w:i w:val="0"/>
                <w:iCs w:val="0"/>
                <w:color w:val="auto"/>
                <w:sz w:val="21"/>
                <w:szCs w:val="21"/>
                <w:u w:val="none"/>
              </w:rPr>
            </w:pPr>
          </w:p>
        </w:tc>
        <w:tc>
          <w:tcPr>
            <w:tcW w:w="1627" w:type="pct"/>
            <w:vMerge w:val="continue"/>
            <w:tcBorders>
              <w:top w:val="single" w:color="000000" w:sz="12" w:space="0"/>
              <w:left w:val="nil"/>
              <w:bottom w:val="single" w:color="000000" w:sz="12" w:space="0"/>
              <w:right w:val="nil"/>
            </w:tcBorders>
            <w:shd w:val="clear" w:color="auto" w:fill="auto"/>
            <w:noWrap/>
            <w:vAlign w:val="center"/>
          </w:tcPr>
          <w:p w14:paraId="28620C03">
            <w:pPr>
              <w:keepNext w:val="0"/>
              <w:keepLines w:val="0"/>
              <w:pageBreakBefore w:val="0"/>
              <w:widowControl/>
              <w:kinsoku/>
              <w:wordWrap/>
              <w:overflowPunct/>
              <w:topLinePunct w:val="0"/>
              <w:autoSpaceDE/>
              <w:autoSpaceDN/>
              <w:bidi w:val="0"/>
              <w:adjustRightInd/>
              <w:snapToGrid/>
              <w:spacing w:line="20" w:lineRule="exact"/>
              <w:jc w:val="center"/>
              <w:rPr>
                <w:rFonts w:hint="default" w:ascii="Times New Roman" w:hAnsi="Times New Roman" w:eastAsia="宋体" w:cs="Times New Roman"/>
                <w:i w:val="0"/>
                <w:iCs w:val="0"/>
                <w:color w:val="auto"/>
                <w:sz w:val="21"/>
                <w:szCs w:val="21"/>
                <w:u w:val="none"/>
              </w:rPr>
            </w:pPr>
          </w:p>
        </w:tc>
        <w:tc>
          <w:tcPr>
            <w:tcW w:w="1409" w:type="pct"/>
            <w:tcBorders>
              <w:top w:val="nil"/>
              <w:left w:val="nil"/>
              <w:bottom w:val="single" w:color="000000" w:sz="12" w:space="0"/>
              <w:right w:val="nil"/>
            </w:tcBorders>
            <w:shd w:val="clear" w:color="auto" w:fill="auto"/>
            <w:noWrap/>
            <w:vAlign w:val="top"/>
          </w:tcPr>
          <w:p w14:paraId="74B8B16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CC</w:t>
            </w:r>
          </w:p>
        </w:tc>
        <w:tc>
          <w:tcPr>
            <w:tcW w:w="1135" w:type="pct"/>
            <w:tcBorders>
              <w:top w:val="nil"/>
              <w:left w:val="nil"/>
              <w:bottom w:val="single" w:color="000000" w:sz="12" w:space="0"/>
              <w:right w:val="nil"/>
            </w:tcBorders>
            <w:shd w:val="clear" w:color="auto" w:fill="auto"/>
            <w:noWrap/>
            <w:vAlign w:val="top"/>
          </w:tcPr>
          <w:p w14:paraId="380E556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PC</w:t>
            </w:r>
          </w:p>
        </w:tc>
      </w:tr>
      <w:tr w14:paraId="608EE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828" w:type="pct"/>
            <w:vMerge w:val="restart"/>
            <w:tcBorders>
              <w:top w:val="nil"/>
              <w:left w:val="nil"/>
              <w:bottom w:val="nil"/>
              <w:right w:val="nil"/>
            </w:tcBorders>
            <w:shd w:val="clear" w:color="auto" w:fill="auto"/>
            <w:noWrap/>
            <w:vAlign w:val="center"/>
          </w:tcPr>
          <w:p w14:paraId="3E94A43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Bacteria </w:t>
            </w:r>
          </w:p>
        </w:tc>
        <w:tc>
          <w:tcPr>
            <w:tcW w:w="1627" w:type="pct"/>
            <w:tcBorders>
              <w:top w:val="nil"/>
              <w:left w:val="nil"/>
              <w:bottom w:val="nil"/>
              <w:right w:val="nil"/>
            </w:tcBorders>
            <w:shd w:val="clear" w:color="auto" w:fill="auto"/>
            <w:noWrap/>
            <w:vAlign w:val="center"/>
          </w:tcPr>
          <w:p w14:paraId="0FD530B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Proteobacteria</w:t>
            </w:r>
          </w:p>
        </w:tc>
        <w:tc>
          <w:tcPr>
            <w:tcW w:w="1409" w:type="pct"/>
            <w:tcBorders>
              <w:top w:val="nil"/>
              <w:left w:val="nil"/>
              <w:bottom w:val="nil"/>
              <w:right w:val="nil"/>
            </w:tcBorders>
            <w:shd w:val="clear" w:color="auto" w:fill="auto"/>
            <w:noWrap/>
            <w:vAlign w:val="center"/>
          </w:tcPr>
          <w:p w14:paraId="5B01D51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50.47±1.04</w:t>
            </w:r>
          </w:p>
        </w:tc>
        <w:tc>
          <w:tcPr>
            <w:tcW w:w="1135" w:type="pct"/>
            <w:tcBorders>
              <w:top w:val="nil"/>
              <w:left w:val="nil"/>
              <w:bottom w:val="nil"/>
              <w:right w:val="nil"/>
            </w:tcBorders>
            <w:shd w:val="clear" w:color="auto" w:fill="auto"/>
            <w:noWrap/>
            <w:vAlign w:val="center"/>
          </w:tcPr>
          <w:p w14:paraId="70EA572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45.69±0.70*</w:t>
            </w:r>
          </w:p>
        </w:tc>
      </w:tr>
      <w:tr w14:paraId="4C37C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828" w:type="pct"/>
            <w:vMerge w:val="continue"/>
            <w:tcBorders>
              <w:top w:val="nil"/>
              <w:left w:val="nil"/>
              <w:bottom w:val="nil"/>
              <w:right w:val="nil"/>
            </w:tcBorders>
            <w:shd w:val="clear" w:color="auto" w:fill="auto"/>
            <w:noWrap/>
            <w:vAlign w:val="center"/>
          </w:tcPr>
          <w:p w14:paraId="7D69EB52">
            <w:pPr>
              <w:keepNext w:val="0"/>
              <w:keepLines w:val="0"/>
              <w:pageBreakBefore w:val="0"/>
              <w:widowControl/>
              <w:kinsoku/>
              <w:wordWrap/>
              <w:overflowPunct/>
              <w:topLinePunct w:val="0"/>
              <w:autoSpaceDE/>
              <w:autoSpaceDN/>
              <w:bidi w:val="0"/>
              <w:adjustRightInd/>
              <w:snapToGrid/>
              <w:spacing w:line="20" w:lineRule="exact"/>
              <w:jc w:val="center"/>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6E177BF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Actinobacteriota</w:t>
            </w:r>
          </w:p>
        </w:tc>
        <w:tc>
          <w:tcPr>
            <w:tcW w:w="1409" w:type="pct"/>
            <w:tcBorders>
              <w:top w:val="nil"/>
              <w:left w:val="nil"/>
              <w:bottom w:val="nil"/>
              <w:right w:val="nil"/>
            </w:tcBorders>
            <w:shd w:val="clear" w:color="auto" w:fill="auto"/>
            <w:noWrap/>
            <w:vAlign w:val="center"/>
          </w:tcPr>
          <w:p w14:paraId="0E7A174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21.09±0.98</w:t>
            </w:r>
          </w:p>
        </w:tc>
        <w:tc>
          <w:tcPr>
            <w:tcW w:w="1135" w:type="pct"/>
            <w:tcBorders>
              <w:top w:val="nil"/>
              <w:left w:val="nil"/>
              <w:bottom w:val="nil"/>
              <w:right w:val="nil"/>
            </w:tcBorders>
            <w:shd w:val="clear" w:color="auto" w:fill="auto"/>
            <w:noWrap/>
            <w:vAlign w:val="center"/>
          </w:tcPr>
          <w:p w14:paraId="573A964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24.43±0.29*</w:t>
            </w:r>
          </w:p>
        </w:tc>
      </w:tr>
      <w:tr w14:paraId="1D9D9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828" w:type="pct"/>
            <w:vMerge w:val="continue"/>
            <w:tcBorders>
              <w:top w:val="nil"/>
              <w:left w:val="nil"/>
              <w:bottom w:val="nil"/>
              <w:right w:val="nil"/>
            </w:tcBorders>
            <w:shd w:val="clear" w:color="auto" w:fill="auto"/>
            <w:noWrap/>
            <w:vAlign w:val="center"/>
          </w:tcPr>
          <w:p w14:paraId="1C803604">
            <w:pPr>
              <w:keepNext w:val="0"/>
              <w:keepLines w:val="0"/>
              <w:pageBreakBefore w:val="0"/>
              <w:widowControl/>
              <w:kinsoku/>
              <w:wordWrap/>
              <w:overflowPunct/>
              <w:topLinePunct w:val="0"/>
              <w:autoSpaceDE/>
              <w:autoSpaceDN/>
              <w:bidi w:val="0"/>
              <w:adjustRightInd/>
              <w:snapToGrid/>
              <w:spacing w:line="20" w:lineRule="exact"/>
              <w:jc w:val="center"/>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0A9D1DC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Acidobacteriota</w:t>
            </w:r>
          </w:p>
        </w:tc>
        <w:tc>
          <w:tcPr>
            <w:tcW w:w="1409" w:type="pct"/>
            <w:tcBorders>
              <w:top w:val="nil"/>
              <w:left w:val="nil"/>
              <w:bottom w:val="nil"/>
              <w:right w:val="nil"/>
            </w:tcBorders>
            <w:shd w:val="clear" w:color="auto" w:fill="auto"/>
            <w:noWrap/>
            <w:vAlign w:val="center"/>
          </w:tcPr>
          <w:p w14:paraId="55608B0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7.66±0.37</w:t>
            </w:r>
          </w:p>
        </w:tc>
        <w:tc>
          <w:tcPr>
            <w:tcW w:w="1135" w:type="pct"/>
            <w:tcBorders>
              <w:top w:val="nil"/>
              <w:left w:val="nil"/>
              <w:bottom w:val="nil"/>
              <w:right w:val="nil"/>
            </w:tcBorders>
            <w:shd w:val="clear" w:color="auto" w:fill="auto"/>
            <w:noWrap/>
            <w:vAlign w:val="center"/>
          </w:tcPr>
          <w:p w14:paraId="19F8A6C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8.32±0.32</w:t>
            </w:r>
          </w:p>
        </w:tc>
      </w:tr>
      <w:tr w14:paraId="3C6F1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828" w:type="pct"/>
            <w:vMerge w:val="continue"/>
            <w:tcBorders>
              <w:top w:val="nil"/>
              <w:left w:val="nil"/>
              <w:bottom w:val="nil"/>
              <w:right w:val="nil"/>
            </w:tcBorders>
            <w:shd w:val="clear" w:color="auto" w:fill="auto"/>
            <w:noWrap/>
            <w:vAlign w:val="center"/>
          </w:tcPr>
          <w:p w14:paraId="6A6446BF">
            <w:pPr>
              <w:keepNext w:val="0"/>
              <w:keepLines w:val="0"/>
              <w:pageBreakBefore w:val="0"/>
              <w:widowControl/>
              <w:kinsoku/>
              <w:wordWrap/>
              <w:overflowPunct/>
              <w:topLinePunct w:val="0"/>
              <w:autoSpaceDE/>
              <w:autoSpaceDN/>
              <w:bidi w:val="0"/>
              <w:adjustRightInd/>
              <w:snapToGrid/>
              <w:spacing w:line="20" w:lineRule="exact"/>
              <w:jc w:val="center"/>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77DDF47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Cyanobacteria</w:t>
            </w:r>
          </w:p>
        </w:tc>
        <w:tc>
          <w:tcPr>
            <w:tcW w:w="1409" w:type="pct"/>
            <w:tcBorders>
              <w:top w:val="nil"/>
              <w:left w:val="nil"/>
              <w:bottom w:val="nil"/>
              <w:right w:val="nil"/>
            </w:tcBorders>
            <w:shd w:val="clear" w:color="auto" w:fill="auto"/>
            <w:noWrap/>
            <w:vAlign w:val="center"/>
          </w:tcPr>
          <w:p w14:paraId="6187937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6.16±0.35</w:t>
            </w:r>
          </w:p>
        </w:tc>
        <w:tc>
          <w:tcPr>
            <w:tcW w:w="1135" w:type="pct"/>
            <w:tcBorders>
              <w:top w:val="nil"/>
              <w:left w:val="nil"/>
              <w:bottom w:val="nil"/>
              <w:right w:val="nil"/>
            </w:tcBorders>
            <w:shd w:val="clear" w:color="auto" w:fill="auto"/>
            <w:noWrap/>
            <w:vAlign w:val="center"/>
          </w:tcPr>
          <w:p w14:paraId="32E6C3C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9.22±0.46**</w:t>
            </w:r>
          </w:p>
        </w:tc>
      </w:tr>
      <w:tr w14:paraId="5CD68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828" w:type="pct"/>
            <w:vMerge w:val="continue"/>
            <w:tcBorders>
              <w:top w:val="nil"/>
              <w:left w:val="nil"/>
              <w:bottom w:val="nil"/>
              <w:right w:val="nil"/>
            </w:tcBorders>
            <w:shd w:val="clear" w:color="auto" w:fill="auto"/>
            <w:noWrap/>
            <w:vAlign w:val="center"/>
          </w:tcPr>
          <w:p w14:paraId="25094D0A">
            <w:pPr>
              <w:keepNext w:val="0"/>
              <w:keepLines w:val="0"/>
              <w:pageBreakBefore w:val="0"/>
              <w:widowControl/>
              <w:kinsoku/>
              <w:wordWrap/>
              <w:overflowPunct/>
              <w:topLinePunct w:val="0"/>
              <w:autoSpaceDE/>
              <w:autoSpaceDN/>
              <w:bidi w:val="0"/>
              <w:adjustRightInd/>
              <w:snapToGrid/>
              <w:spacing w:line="20" w:lineRule="exact"/>
              <w:jc w:val="center"/>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7A7C48D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Patescibacteria</w:t>
            </w:r>
          </w:p>
        </w:tc>
        <w:tc>
          <w:tcPr>
            <w:tcW w:w="1409" w:type="pct"/>
            <w:tcBorders>
              <w:top w:val="nil"/>
              <w:left w:val="nil"/>
              <w:bottom w:val="nil"/>
              <w:right w:val="nil"/>
            </w:tcBorders>
            <w:shd w:val="clear" w:color="auto" w:fill="auto"/>
            <w:noWrap/>
            <w:vAlign w:val="center"/>
          </w:tcPr>
          <w:p w14:paraId="503A53A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4.81±0.05</w:t>
            </w:r>
          </w:p>
        </w:tc>
        <w:tc>
          <w:tcPr>
            <w:tcW w:w="1135" w:type="pct"/>
            <w:tcBorders>
              <w:top w:val="nil"/>
              <w:left w:val="nil"/>
              <w:bottom w:val="nil"/>
              <w:right w:val="nil"/>
            </w:tcBorders>
            <w:shd w:val="clear" w:color="auto" w:fill="auto"/>
            <w:noWrap/>
            <w:vAlign w:val="center"/>
          </w:tcPr>
          <w:p w14:paraId="237CFF9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4.45±0.22</w:t>
            </w:r>
          </w:p>
        </w:tc>
      </w:tr>
      <w:tr w14:paraId="06043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828" w:type="pct"/>
            <w:vMerge w:val="continue"/>
            <w:tcBorders>
              <w:top w:val="nil"/>
              <w:left w:val="nil"/>
              <w:bottom w:val="nil"/>
              <w:right w:val="nil"/>
            </w:tcBorders>
            <w:shd w:val="clear" w:color="auto" w:fill="auto"/>
            <w:noWrap/>
            <w:vAlign w:val="center"/>
          </w:tcPr>
          <w:p w14:paraId="79179B15">
            <w:pPr>
              <w:keepNext w:val="0"/>
              <w:keepLines w:val="0"/>
              <w:pageBreakBefore w:val="0"/>
              <w:widowControl/>
              <w:kinsoku/>
              <w:wordWrap/>
              <w:overflowPunct/>
              <w:topLinePunct w:val="0"/>
              <w:autoSpaceDE/>
              <w:autoSpaceDN/>
              <w:bidi w:val="0"/>
              <w:adjustRightInd/>
              <w:snapToGrid/>
              <w:spacing w:line="20" w:lineRule="exact"/>
              <w:jc w:val="center"/>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610D80A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Gemmatimonadota</w:t>
            </w:r>
          </w:p>
        </w:tc>
        <w:tc>
          <w:tcPr>
            <w:tcW w:w="1409" w:type="pct"/>
            <w:tcBorders>
              <w:top w:val="nil"/>
              <w:left w:val="nil"/>
              <w:bottom w:val="nil"/>
              <w:right w:val="nil"/>
            </w:tcBorders>
            <w:shd w:val="clear" w:color="auto" w:fill="auto"/>
            <w:noWrap/>
            <w:vAlign w:val="center"/>
          </w:tcPr>
          <w:p w14:paraId="4784B60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2.64±0.16</w:t>
            </w:r>
          </w:p>
        </w:tc>
        <w:tc>
          <w:tcPr>
            <w:tcW w:w="1135" w:type="pct"/>
            <w:tcBorders>
              <w:top w:val="nil"/>
              <w:left w:val="nil"/>
              <w:bottom w:val="nil"/>
              <w:right w:val="nil"/>
            </w:tcBorders>
            <w:shd w:val="clear" w:color="auto" w:fill="auto"/>
            <w:noWrap/>
            <w:vAlign w:val="center"/>
          </w:tcPr>
          <w:p w14:paraId="537FC8A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1.42±0.07**</w:t>
            </w:r>
          </w:p>
        </w:tc>
      </w:tr>
      <w:tr w14:paraId="3CDDD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828" w:type="pct"/>
            <w:vMerge w:val="continue"/>
            <w:tcBorders>
              <w:top w:val="nil"/>
              <w:left w:val="nil"/>
              <w:bottom w:val="nil"/>
              <w:right w:val="nil"/>
            </w:tcBorders>
            <w:shd w:val="clear" w:color="auto" w:fill="auto"/>
            <w:noWrap/>
            <w:vAlign w:val="center"/>
          </w:tcPr>
          <w:p w14:paraId="5AFDBE67">
            <w:pPr>
              <w:keepNext w:val="0"/>
              <w:keepLines w:val="0"/>
              <w:pageBreakBefore w:val="0"/>
              <w:widowControl/>
              <w:kinsoku/>
              <w:wordWrap/>
              <w:overflowPunct/>
              <w:topLinePunct w:val="0"/>
              <w:autoSpaceDE/>
              <w:autoSpaceDN/>
              <w:bidi w:val="0"/>
              <w:adjustRightInd/>
              <w:snapToGrid/>
              <w:spacing w:line="20" w:lineRule="exact"/>
              <w:jc w:val="center"/>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7A155D7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unclassified_Bacteria</w:t>
            </w:r>
          </w:p>
        </w:tc>
        <w:tc>
          <w:tcPr>
            <w:tcW w:w="1409" w:type="pct"/>
            <w:tcBorders>
              <w:top w:val="nil"/>
              <w:left w:val="nil"/>
              <w:bottom w:val="nil"/>
              <w:right w:val="nil"/>
            </w:tcBorders>
            <w:shd w:val="clear" w:color="auto" w:fill="auto"/>
            <w:noWrap/>
            <w:vAlign w:val="center"/>
          </w:tcPr>
          <w:p w14:paraId="25AC6E7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2.04±0.09</w:t>
            </w:r>
          </w:p>
        </w:tc>
        <w:tc>
          <w:tcPr>
            <w:tcW w:w="1135" w:type="pct"/>
            <w:tcBorders>
              <w:top w:val="nil"/>
              <w:left w:val="nil"/>
              <w:bottom w:val="nil"/>
              <w:right w:val="nil"/>
            </w:tcBorders>
            <w:shd w:val="clear" w:color="auto" w:fill="auto"/>
            <w:noWrap/>
            <w:vAlign w:val="center"/>
          </w:tcPr>
          <w:p w14:paraId="7D16961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2.46±0.11*</w:t>
            </w:r>
          </w:p>
        </w:tc>
      </w:tr>
      <w:tr w14:paraId="69A4B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828" w:type="pct"/>
            <w:vMerge w:val="continue"/>
            <w:tcBorders>
              <w:top w:val="nil"/>
              <w:left w:val="nil"/>
              <w:bottom w:val="nil"/>
              <w:right w:val="nil"/>
            </w:tcBorders>
            <w:shd w:val="clear" w:color="auto" w:fill="auto"/>
            <w:noWrap/>
            <w:vAlign w:val="center"/>
          </w:tcPr>
          <w:p w14:paraId="2E43554C">
            <w:pPr>
              <w:keepNext w:val="0"/>
              <w:keepLines w:val="0"/>
              <w:pageBreakBefore w:val="0"/>
              <w:widowControl/>
              <w:kinsoku/>
              <w:wordWrap/>
              <w:overflowPunct/>
              <w:topLinePunct w:val="0"/>
              <w:autoSpaceDE/>
              <w:autoSpaceDN/>
              <w:bidi w:val="0"/>
              <w:adjustRightInd/>
              <w:snapToGrid/>
              <w:spacing w:line="20" w:lineRule="exact"/>
              <w:jc w:val="center"/>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4F9D585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Bacteroidota</w:t>
            </w:r>
          </w:p>
        </w:tc>
        <w:tc>
          <w:tcPr>
            <w:tcW w:w="1409" w:type="pct"/>
            <w:tcBorders>
              <w:top w:val="nil"/>
              <w:left w:val="nil"/>
              <w:bottom w:val="nil"/>
              <w:right w:val="nil"/>
            </w:tcBorders>
            <w:shd w:val="clear" w:color="auto" w:fill="auto"/>
            <w:noWrap/>
            <w:vAlign w:val="center"/>
          </w:tcPr>
          <w:p w14:paraId="715B01C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2.61±0.10</w:t>
            </w:r>
          </w:p>
        </w:tc>
        <w:tc>
          <w:tcPr>
            <w:tcW w:w="1135" w:type="pct"/>
            <w:tcBorders>
              <w:top w:val="nil"/>
              <w:left w:val="nil"/>
              <w:bottom w:val="nil"/>
              <w:right w:val="nil"/>
            </w:tcBorders>
            <w:shd w:val="clear" w:color="auto" w:fill="auto"/>
            <w:noWrap/>
            <w:vAlign w:val="center"/>
          </w:tcPr>
          <w:p w14:paraId="0C62A2F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2.02±0.09*</w:t>
            </w:r>
          </w:p>
        </w:tc>
      </w:tr>
      <w:tr w14:paraId="16DA2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828" w:type="pct"/>
            <w:vMerge w:val="continue"/>
            <w:tcBorders>
              <w:top w:val="nil"/>
              <w:left w:val="nil"/>
              <w:bottom w:val="nil"/>
              <w:right w:val="nil"/>
            </w:tcBorders>
            <w:shd w:val="clear" w:color="auto" w:fill="auto"/>
            <w:noWrap/>
            <w:vAlign w:val="center"/>
          </w:tcPr>
          <w:p w14:paraId="4E1B86ED">
            <w:pPr>
              <w:keepNext w:val="0"/>
              <w:keepLines w:val="0"/>
              <w:pageBreakBefore w:val="0"/>
              <w:widowControl/>
              <w:kinsoku/>
              <w:wordWrap/>
              <w:overflowPunct/>
              <w:topLinePunct w:val="0"/>
              <w:autoSpaceDE/>
              <w:autoSpaceDN/>
              <w:bidi w:val="0"/>
              <w:adjustRightInd/>
              <w:snapToGrid/>
              <w:spacing w:line="20" w:lineRule="exact"/>
              <w:jc w:val="center"/>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2F94C10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Chloroflexi</w:t>
            </w:r>
          </w:p>
        </w:tc>
        <w:tc>
          <w:tcPr>
            <w:tcW w:w="1409" w:type="pct"/>
            <w:tcBorders>
              <w:top w:val="nil"/>
              <w:left w:val="nil"/>
              <w:bottom w:val="nil"/>
              <w:right w:val="nil"/>
            </w:tcBorders>
            <w:shd w:val="clear" w:color="auto" w:fill="auto"/>
            <w:noWrap/>
            <w:vAlign w:val="center"/>
          </w:tcPr>
          <w:p w14:paraId="1148697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0.60±0.02</w:t>
            </w:r>
          </w:p>
        </w:tc>
        <w:tc>
          <w:tcPr>
            <w:tcW w:w="1135" w:type="pct"/>
            <w:tcBorders>
              <w:top w:val="nil"/>
              <w:left w:val="nil"/>
              <w:bottom w:val="nil"/>
              <w:right w:val="nil"/>
            </w:tcBorders>
            <w:shd w:val="clear" w:color="auto" w:fill="auto"/>
            <w:noWrap/>
            <w:vAlign w:val="center"/>
          </w:tcPr>
          <w:p w14:paraId="3FA20CA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0.64±0.00</w:t>
            </w:r>
          </w:p>
        </w:tc>
      </w:tr>
      <w:tr w14:paraId="38B8E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828" w:type="pct"/>
            <w:vMerge w:val="continue"/>
            <w:tcBorders>
              <w:top w:val="nil"/>
              <w:left w:val="nil"/>
              <w:bottom w:val="nil"/>
              <w:right w:val="nil"/>
            </w:tcBorders>
            <w:shd w:val="clear" w:color="auto" w:fill="auto"/>
            <w:noWrap/>
            <w:vAlign w:val="center"/>
          </w:tcPr>
          <w:p w14:paraId="7DA28117">
            <w:pPr>
              <w:keepNext w:val="0"/>
              <w:keepLines w:val="0"/>
              <w:pageBreakBefore w:val="0"/>
              <w:widowControl/>
              <w:kinsoku/>
              <w:wordWrap/>
              <w:overflowPunct/>
              <w:topLinePunct w:val="0"/>
              <w:autoSpaceDE/>
              <w:autoSpaceDN/>
              <w:bidi w:val="0"/>
              <w:adjustRightInd/>
              <w:snapToGrid/>
              <w:spacing w:line="20" w:lineRule="exact"/>
              <w:jc w:val="center"/>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1080871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Myxococcota</w:t>
            </w:r>
          </w:p>
        </w:tc>
        <w:tc>
          <w:tcPr>
            <w:tcW w:w="1409" w:type="pct"/>
            <w:tcBorders>
              <w:top w:val="nil"/>
              <w:left w:val="nil"/>
              <w:bottom w:val="nil"/>
              <w:right w:val="nil"/>
            </w:tcBorders>
            <w:shd w:val="clear" w:color="auto" w:fill="auto"/>
            <w:noWrap/>
            <w:vAlign w:val="center"/>
          </w:tcPr>
          <w:p w14:paraId="3545B34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0.74±0.05</w:t>
            </w:r>
          </w:p>
        </w:tc>
        <w:tc>
          <w:tcPr>
            <w:tcW w:w="1135" w:type="pct"/>
            <w:tcBorders>
              <w:top w:val="nil"/>
              <w:left w:val="nil"/>
              <w:bottom w:val="nil"/>
              <w:right w:val="nil"/>
            </w:tcBorders>
            <w:shd w:val="clear" w:color="auto" w:fill="auto"/>
            <w:noWrap/>
            <w:vAlign w:val="center"/>
          </w:tcPr>
          <w:p w14:paraId="4C24C36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0.50±0.05*</w:t>
            </w:r>
          </w:p>
        </w:tc>
      </w:tr>
      <w:tr w14:paraId="2231F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828" w:type="pct"/>
            <w:vMerge w:val="continue"/>
            <w:tcBorders>
              <w:top w:val="nil"/>
              <w:left w:val="nil"/>
              <w:bottom w:val="nil"/>
              <w:right w:val="nil"/>
            </w:tcBorders>
            <w:shd w:val="clear" w:color="auto" w:fill="auto"/>
            <w:noWrap/>
            <w:vAlign w:val="center"/>
          </w:tcPr>
          <w:p w14:paraId="55192D11">
            <w:pPr>
              <w:keepNext w:val="0"/>
              <w:keepLines w:val="0"/>
              <w:pageBreakBefore w:val="0"/>
              <w:widowControl/>
              <w:kinsoku/>
              <w:wordWrap/>
              <w:overflowPunct/>
              <w:topLinePunct w:val="0"/>
              <w:autoSpaceDE/>
              <w:autoSpaceDN/>
              <w:bidi w:val="0"/>
              <w:adjustRightInd/>
              <w:snapToGrid/>
              <w:spacing w:line="20" w:lineRule="exact"/>
              <w:jc w:val="center"/>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195CD0A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Firmicutes</w:t>
            </w:r>
          </w:p>
        </w:tc>
        <w:tc>
          <w:tcPr>
            <w:tcW w:w="1409" w:type="pct"/>
            <w:tcBorders>
              <w:top w:val="nil"/>
              <w:left w:val="nil"/>
              <w:bottom w:val="nil"/>
              <w:right w:val="nil"/>
            </w:tcBorders>
            <w:shd w:val="clear" w:color="auto" w:fill="auto"/>
            <w:noWrap/>
            <w:vAlign w:val="center"/>
          </w:tcPr>
          <w:p w14:paraId="30EFD3D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0.42±0.02</w:t>
            </w:r>
          </w:p>
        </w:tc>
        <w:tc>
          <w:tcPr>
            <w:tcW w:w="1135" w:type="pct"/>
            <w:tcBorders>
              <w:top w:val="nil"/>
              <w:left w:val="nil"/>
              <w:bottom w:val="nil"/>
              <w:right w:val="nil"/>
            </w:tcBorders>
            <w:shd w:val="clear" w:color="auto" w:fill="auto"/>
            <w:noWrap/>
            <w:vAlign w:val="center"/>
          </w:tcPr>
          <w:p w14:paraId="7B57A1A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0.47±0.07</w:t>
            </w:r>
          </w:p>
        </w:tc>
      </w:tr>
      <w:tr w14:paraId="1FED0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828" w:type="pct"/>
            <w:vMerge w:val="continue"/>
            <w:tcBorders>
              <w:top w:val="nil"/>
              <w:left w:val="nil"/>
              <w:bottom w:val="nil"/>
              <w:right w:val="nil"/>
            </w:tcBorders>
            <w:shd w:val="clear" w:color="auto" w:fill="auto"/>
            <w:noWrap/>
            <w:vAlign w:val="center"/>
          </w:tcPr>
          <w:p w14:paraId="3E6AA678">
            <w:pPr>
              <w:keepNext w:val="0"/>
              <w:keepLines w:val="0"/>
              <w:pageBreakBefore w:val="0"/>
              <w:widowControl/>
              <w:kinsoku/>
              <w:wordWrap/>
              <w:overflowPunct/>
              <w:topLinePunct w:val="0"/>
              <w:autoSpaceDE/>
              <w:autoSpaceDN/>
              <w:bidi w:val="0"/>
              <w:adjustRightInd/>
              <w:snapToGrid/>
              <w:spacing w:line="20" w:lineRule="exact"/>
              <w:jc w:val="center"/>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43F8721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Nitrospirota</w:t>
            </w:r>
          </w:p>
        </w:tc>
        <w:tc>
          <w:tcPr>
            <w:tcW w:w="1409" w:type="pct"/>
            <w:tcBorders>
              <w:top w:val="nil"/>
              <w:left w:val="nil"/>
              <w:bottom w:val="nil"/>
              <w:right w:val="nil"/>
            </w:tcBorders>
            <w:shd w:val="clear" w:color="auto" w:fill="auto"/>
            <w:noWrap/>
            <w:vAlign w:val="center"/>
          </w:tcPr>
          <w:p w14:paraId="2F65FF4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0.22±0.02</w:t>
            </w:r>
          </w:p>
        </w:tc>
        <w:tc>
          <w:tcPr>
            <w:tcW w:w="1135" w:type="pct"/>
            <w:tcBorders>
              <w:top w:val="nil"/>
              <w:left w:val="nil"/>
              <w:bottom w:val="nil"/>
              <w:right w:val="nil"/>
            </w:tcBorders>
            <w:shd w:val="clear" w:color="auto" w:fill="auto"/>
            <w:noWrap/>
            <w:vAlign w:val="center"/>
          </w:tcPr>
          <w:p w14:paraId="058DB4A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0.10±0.01**</w:t>
            </w:r>
          </w:p>
        </w:tc>
      </w:tr>
      <w:tr w14:paraId="48BB6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828" w:type="pct"/>
            <w:vMerge w:val="restart"/>
            <w:tcBorders>
              <w:top w:val="nil"/>
              <w:left w:val="nil"/>
              <w:right w:val="nil"/>
            </w:tcBorders>
            <w:shd w:val="clear" w:color="auto" w:fill="auto"/>
            <w:noWrap/>
            <w:vAlign w:val="center"/>
          </w:tcPr>
          <w:p w14:paraId="3DC42F1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Fungi</w:t>
            </w:r>
          </w:p>
        </w:tc>
        <w:tc>
          <w:tcPr>
            <w:tcW w:w="1627" w:type="pct"/>
            <w:tcBorders>
              <w:top w:val="nil"/>
              <w:left w:val="nil"/>
              <w:bottom w:val="nil"/>
              <w:right w:val="nil"/>
            </w:tcBorders>
            <w:shd w:val="clear" w:color="auto" w:fill="auto"/>
            <w:noWrap/>
            <w:vAlign w:val="center"/>
          </w:tcPr>
          <w:p w14:paraId="1019E82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Ascomycota</w:t>
            </w:r>
          </w:p>
        </w:tc>
        <w:tc>
          <w:tcPr>
            <w:tcW w:w="1409" w:type="pct"/>
            <w:tcBorders>
              <w:top w:val="nil"/>
              <w:left w:val="nil"/>
              <w:bottom w:val="nil"/>
              <w:right w:val="nil"/>
            </w:tcBorders>
            <w:shd w:val="clear" w:color="auto" w:fill="auto"/>
            <w:noWrap/>
            <w:vAlign w:val="center"/>
          </w:tcPr>
          <w:p w14:paraId="3D42A31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92.22±0.09</w:t>
            </w:r>
          </w:p>
        </w:tc>
        <w:tc>
          <w:tcPr>
            <w:tcW w:w="1135" w:type="pct"/>
            <w:tcBorders>
              <w:top w:val="nil"/>
              <w:left w:val="nil"/>
              <w:bottom w:val="nil"/>
              <w:right w:val="nil"/>
            </w:tcBorders>
            <w:shd w:val="clear" w:color="auto" w:fill="auto"/>
            <w:noWrap/>
            <w:vAlign w:val="center"/>
          </w:tcPr>
          <w:p w14:paraId="77C07FB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89.03±1.15*</w:t>
            </w:r>
          </w:p>
        </w:tc>
      </w:tr>
      <w:tr w14:paraId="7399A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828" w:type="pct"/>
            <w:vMerge w:val="continue"/>
            <w:tcBorders>
              <w:left w:val="nil"/>
              <w:right w:val="nil"/>
            </w:tcBorders>
            <w:shd w:val="clear" w:color="auto" w:fill="auto"/>
            <w:noWrap/>
            <w:vAlign w:val="center"/>
          </w:tcPr>
          <w:p w14:paraId="183A5E81">
            <w:pPr>
              <w:keepNext w:val="0"/>
              <w:keepLines w:val="0"/>
              <w:pageBreakBefore w:val="0"/>
              <w:widowControl/>
              <w:kinsoku/>
              <w:wordWrap/>
              <w:overflowPunct/>
              <w:topLinePunct w:val="0"/>
              <w:autoSpaceDE/>
              <w:autoSpaceDN/>
              <w:bidi w:val="0"/>
              <w:adjustRightInd/>
              <w:snapToGrid/>
              <w:spacing w:line="20" w:lineRule="exact"/>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2421102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Basidiomycota</w:t>
            </w:r>
          </w:p>
        </w:tc>
        <w:tc>
          <w:tcPr>
            <w:tcW w:w="1409" w:type="pct"/>
            <w:tcBorders>
              <w:top w:val="nil"/>
              <w:left w:val="nil"/>
              <w:bottom w:val="nil"/>
              <w:right w:val="nil"/>
            </w:tcBorders>
            <w:shd w:val="clear" w:color="auto" w:fill="auto"/>
            <w:noWrap/>
            <w:vAlign w:val="center"/>
          </w:tcPr>
          <w:p w14:paraId="40C4D5E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5.53±0.24</w:t>
            </w:r>
          </w:p>
        </w:tc>
        <w:tc>
          <w:tcPr>
            <w:tcW w:w="1135" w:type="pct"/>
            <w:tcBorders>
              <w:top w:val="nil"/>
              <w:left w:val="nil"/>
              <w:bottom w:val="nil"/>
              <w:right w:val="nil"/>
            </w:tcBorders>
            <w:shd w:val="clear" w:color="auto" w:fill="auto"/>
            <w:noWrap/>
            <w:vAlign w:val="center"/>
          </w:tcPr>
          <w:p w14:paraId="3DE6ADA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9.96±1.04*</w:t>
            </w:r>
          </w:p>
        </w:tc>
      </w:tr>
      <w:tr w14:paraId="6D81F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828" w:type="pct"/>
            <w:vMerge w:val="continue"/>
            <w:tcBorders>
              <w:left w:val="nil"/>
              <w:right w:val="nil"/>
            </w:tcBorders>
            <w:shd w:val="clear" w:color="auto" w:fill="auto"/>
            <w:noWrap/>
            <w:vAlign w:val="center"/>
          </w:tcPr>
          <w:p w14:paraId="474CB778">
            <w:pPr>
              <w:keepNext w:val="0"/>
              <w:keepLines w:val="0"/>
              <w:pageBreakBefore w:val="0"/>
              <w:widowControl/>
              <w:kinsoku/>
              <w:wordWrap/>
              <w:overflowPunct/>
              <w:topLinePunct w:val="0"/>
              <w:autoSpaceDE/>
              <w:autoSpaceDN/>
              <w:bidi w:val="0"/>
              <w:adjustRightInd/>
              <w:snapToGrid/>
              <w:spacing w:line="20" w:lineRule="exact"/>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5454557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unclassified_Fungi</w:t>
            </w:r>
          </w:p>
        </w:tc>
        <w:tc>
          <w:tcPr>
            <w:tcW w:w="1409" w:type="pct"/>
            <w:tcBorders>
              <w:top w:val="nil"/>
              <w:left w:val="nil"/>
              <w:bottom w:val="nil"/>
              <w:right w:val="nil"/>
            </w:tcBorders>
            <w:shd w:val="clear" w:color="auto" w:fill="auto"/>
            <w:noWrap/>
            <w:vAlign w:val="center"/>
          </w:tcPr>
          <w:p w14:paraId="5CC38F5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1.05±0.04</w:t>
            </w:r>
          </w:p>
        </w:tc>
        <w:tc>
          <w:tcPr>
            <w:tcW w:w="1135" w:type="pct"/>
            <w:tcBorders>
              <w:top w:val="nil"/>
              <w:left w:val="nil"/>
              <w:bottom w:val="nil"/>
              <w:right w:val="nil"/>
            </w:tcBorders>
            <w:shd w:val="clear" w:color="auto" w:fill="auto"/>
            <w:noWrap/>
            <w:vAlign w:val="center"/>
          </w:tcPr>
          <w:p w14:paraId="50A4507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0.38±0.14**</w:t>
            </w:r>
          </w:p>
        </w:tc>
      </w:tr>
      <w:tr w14:paraId="7E7F4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828" w:type="pct"/>
            <w:vMerge w:val="continue"/>
            <w:tcBorders>
              <w:left w:val="nil"/>
              <w:right w:val="nil"/>
            </w:tcBorders>
            <w:shd w:val="clear" w:color="auto" w:fill="auto"/>
            <w:noWrap/>
            <w:vAlign w:val="center"/>
          </w:tcPr>
          <w:p w14:paraId="2D0BB22B">
            <w:pPr>
              <w:keepNext w:val="0"/>
              <w:keepLines w:val="0"/>
              <w:pageBreakBefore w:val="0"/>
              <w:widowControl/>
              <w:kinsoku/>
              <w:wordWrap/>
              <w:overflowPunct/>
              <w:topLinePunct w:val="0"/>
              <w:autoSpaceDE/>
              <w:autoSpaceDN/>
              <w:bidi w:val="0"/>
              <w:adjustRightInd/>
              <w:snapToGrid/>
              <w:spacing w:line="20" w:lineRule="exact"/>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1DA7290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Chytridiomycota</w:t>
            </w:r>
          </w:p>
        </w:tc>
        <w:tc>
          <w:tcPr>
            <w:tcW w:w="1409" w:type="pct"/>
            <w:tcBorders>
              <w:top w:val="nil"/>
              <w:left w:val="nil"/>
              <w:bottom w:val="nil"/>
              <w:right w:val="nil"/>
            </w:tcBorders>
            <w:shd w:val="clear" w:color="auto" w:fill="auto"/>
            <w:noWrap/>
            <w:vAlign w:val="center"/>
          </w:tcPr>
          <w:p w14:paraId="344A26F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0.39±0.10</w:t>
            </w:r>
          </w:p>
        </w:tc>
        <w:tc>
          <w:tcPr>
            <w:tcW w:w="1135" w:type="pct"/>
            <w:tcBorders>
              <w:top w:val="nil"/>
              <w:left w:val="nil"/>
              <w:bottom w:val="nil"/>
              <w:right w:val="nil"/>
            </w:tcBorders>
            <w:shd w:val="clear" w:color="auto" w:fill="auto"/>
            <w:noWrap/>
            <w:vAlign w:val="center"/>
          </w:tcPr>
          <w:p w14:paraId="42F948B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0.22±0.04</w:t>
            </w:r>
          </w:p>
        </w:tc>
      </w:tr>
      <w:tr w14:paraId="0F342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828" w:type="pct"/>
            <w:vMerge w:val="continue"/>
            <w:tcBorders>
              <w:left w:val="nil"/>
              <w:right w:val="nil"/>
            </w:tcBorders>
            <w:shd w:val="clear" w:color="auto" w:fill="auto"/>
            <w:noWrap/>
            <w:vAlign w:val="center"/>
          </w:tcPr>
          <w:p w14:paraId="3EA034DF">
            <w:pPr>
              <w:keepNext w:val="0"/>
              <w:keepLines w:val="0"/>
              <w:pageBreakBefore w:val="0"/>
              <w:widowControl/>
              <w:kinsoku/>
              <w:wordWrap/>
              <w:overflowPunct/>
              <w:topLinePunct w:val="0"/>
              <w:autoSpaceDE/>
              <w:autoSpaceDN/>
              <w:bidi w:val="0"/>
              <w:adjustRightInd/>
              <w:snapToGrid/>
              <w:spacing w:line="20" w:lineRule="exact"/>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18B55FF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Glomeromycota</w:t>
            </w:r>
          </w:p>
        </w:tc>
        <w:tc>
          <w:tcPr>
            <w:tcW w:w="1409" w:type="pct"/>
            <w:tcBorders>
              <w:top w:val="nil"/>
              <w:left w:val="nil"/>
              <w:bottom w:val="nil"/>
              <w:right w:val="nil"/>
            </w:tcBorders>
            <w:shd w:val="clear" w:color="auto" w:fill="auto"/>
            <w:noWrap/>
            <w:vAlign w:val="center"/>
          </w:tcPr>
          <w:p w14:paraId="712D751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0.25±0.01</w:t>
            </w:r>
          </w:p>
        </w:tc>
        <w:tc>
          <w:tcPr>
            <w:tcW w:w="1135" w:type="pct"/>
            <w:tcBorders>
              <w:top w:val="nil"/>
              <w:left w:val="nil"/>
              <w:bottom w:val="nil"/>
              <w:right w:val="nil"/>
            </w:tcBorders>
            <w:shd w:val="clear" w:color="auto" w:fill="auto"/>
            <w:noWrap/>
            <w:vAlign w:val="center"/>
          </w:tcPr>
          <w:p w14:paraId="1E2F683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0.04±0.02</w:t>
            </w:r>
            <w:r>
              <w:rPr>
                <w:rFonts w:hint="eastAsia" w:eastAsia="宋体" w:cs="Times New Roman"/>
                <w:i w:val="0"/>
                <w:iCs w:val="0"/>
                <w:color w:val="auto"/>
                <w:kern w:val="0"/>
                <w:sz w:val="21"/>
                <w:szCs w:val="21"/>
                <w:u w:val="none"/>
                <w:lang w:val="en-US" w:eastAsia="zh-CN" w:bidi="ar"/>
              </w:rPr>
              <w:t>**</w:t>
            </w:r>
          </w:p>
        </w:tc>
      </w:tr>
      <w:tr w14:paraId="71219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828" w:type="pct"/>
            <w:vMerge w:val="continue"/>
            <w:tcBorders>
              <w:left w:val="nil"/>
              <w:right w:val="nil"/>
            </w:tcBorders>
            <w:shd w:val="clear" w:color="auto" w:fill="auto"/>
            <w:noWrap/>
            <w:vAlign w:val="center"/>
          </w:tcPr>
          <w:p w14:paraId="0B4F470B">
            <w:pPr>
              <w:keepNext w:val="0"/>
              <w:keepLines w:val="0"/>
              <w:pageBreakBefore w:val="0"/>
              <w:widowControl/>
              <w:kinsoku/>
              <w:wordWrap/>
              <w:overflowPunct/>
              <w:topLinePunct w:val="0"/>
              <w:autoSpaceDE/>
              <w:autoSpaceDN/>
              <w:bidi w:val="0"/>
              <w:adjustRightInd/>
              <w:snapToGrid/>
              <w:spacing w:line="20" w:lineRule="exact"/>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08EB4E1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Kickxellomycota</w:t>
            </w:r>
          </w:p>
        </w:tc>
        <w:tc>
          <w:tcPr>
            <w:tcW w:w="1409" w:type="pct"/>
            <w:tcBorders>
              <w:top w:val="nil"/>
              <w:left w:val="nil"/>
              <w:bottom w:val="nil"/>
              <w:right w:val="nil"/>
            </w:tcBorders>
            <w:shd w:val="clear" w:color="auto" w:fill="auto"/>
            <w:noWrap/>
            <w:vAlign w:val="center"/>
          </w:tcPr>
          <w:p w14:paraId="1A136AB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0.05±0.01</w:t>
            </w:r>
          </w:p>
        </w:tc>
        <w:tc>
          <w:tcPr>
            <w:tcW w:w="1135" w:type="pct"/>
            <w:tcBorders>
              <w:top w:val="nil"/>
              <w:left w:val="nil"/>
              <w:bottom w:val="nil"/>
              <w:right w:val="nil"/>
            </w:tcBorders>
            <w:shd w:val="clear" w:color="auto" w:fill="auto"/>
            <w:noWrap/>
            <w:vAlign w:val="center"/>
          </w:tcPr>
          <w:p w14:paraId="51D3FC5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0.04±0.06</w:t>
            </w:r>
          </w:p>
        </w:tc>
      </w:tr>
      <w:tr w14:paraId="004A9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828" w:type="pct"/>
            <w:vMerge w:val="continue"/>
            <w:tcBorders>
              <w:left w:val="nil"/>
              <w:right w:val="nil"/>
            </w:tcBorders>
            <w:shd w:val="clear" w:color="auto" w:fill="auto"/>
            <w:noWrap/>
            <w:vAlign w:val="center"/>
          </w:tcPr>
          <w:p w14:paraId="6AF9DDCC">
            <w:pPr>
              <w:keepNext w:val="0"/>
              <w:keepLines w:val="0"/>
              <w:pageBreakBefore w:val="0"/>
              <w:widowControl/>
              <w:kinsoku/>
              <w:wordWrap/>
              <w:overflowPunct/>
              <w:topLinePunct w:val="0"/>
              <w:autoSpaceDE/>
              <w:autoSpaceDN/>
              <w:bidi w:val="0"/>
              <w:adjustRightInd/>
              <w:snapToGrid/>
              <w:spacing w:line="20" w:lineRule="exact"/>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59D34E3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宋体" w:hAnsi="宋体" w:eastAsia="宋体" w:cs="宋体"/>
                <w:i w:val="0"/>
                <w:iCs w:val="0"/>
                <w:color w:val="000000"/>
                <w:sz w:val="21"/>
                <w:szCs w:val="21"/>
                <w:u w:val="none"/>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Mortierellomycota</w:t>
            </w:r>
          </w:p>
        </w:tc>
        <w:tc>
          <w:tcPr>
            <w:tcW w:w="1409" w:type="pct"/>
            <w:tcBorders>
              <w:top w:val="nil"/>
              <w:left w:val="nil"/>
              <w:bottom w:val="nil"/>
              <w:right w:val="nil"/>
            </w:tcBorders>
            <w:shd w:val="clear" w:color="auto" w:fill="auto"/>
            <w:noWrap/>
            <w:vAlign w:val="center"/>
          </w:tcPr>
          <w:p w14:paraId="5D46C5D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0.43±0.14</w:t>
            </w:r>
          </w:p>
        </w:tc>
        <w:tc>
          <w:tcPr>
            <w:tcW w:w="1135" w:type="pct"/>
            <w:tcBorders>
              <w:top w:val="nil"/>
              <w:left w:val="nil"/>
              <w:bottom w:val="nil"/>
              <w:right w:val="nil"/>
            </w:tcBorders>
            <w:shd w:val="clear" w:color="auto" w:fill="auto"/>
            <w:noWrap/>
            <w:vAlign w:val="center"/>
          </w:tcPr>
          <w:p w14:paraId="7402415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0.23±0.04</w:t>
            </w:r>
          </w:p>
        </w:tc>
      </w:tr>
      <w:tr w14:paraId="37949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828" w:type="pct"/>
            <w:vMerge w:val="continue"/>
            <w:tcBorders>
              <w:left w:val="nil"/>
              <w:right w:val="nil"/>
            </w:tcBorders>
            <w:shd w:val="clear" w:color="auto" w:fill="auto"/>
            <w:noWrap/>
            <w:vAlign w:val="center"/>
          </w:tcPr>
          <w:p w14:paraId="59F6DF8F">
            <w:pPr>
              <w:keepNext w:val="0"/>
              <w:keepLines w:val="0"/>
              <w:pageBreakBefore w:val="0"/>
              <w:widowControl/>
              <w:kinsoku/>
              <w:wordWrap/>
              <w:overflowPunct/>
              <w:topLinePunct w:val="0"/>
              <w:autoSpaceDE/>
              <w:autoSpaceDN/>
              <w:bidi w:val="0"/>
              <w:adjustRightInd/>
              <w:snapToGrid/>
              <w:spacing w:line="20" w:lineRule="exact"/>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58E1379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eastAsia" w:ascii="宋体" w:hAnsi="宋体" w:eastAsia="宋体" w:cs="宋体"/>
                <w:i w:val="0"/>
                <w:iCs w:val="0"/>
                <w:color w:val="000000"/>
                <w:sz w:val="21"/>
                <w:szCs w:val="21"/>
                <w:u w:val="none"/>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Rozellomycota</w:t>
            </w:r>
          </w:p>
        </w:tc>
        <w:tc>
          <w:tcPr>
            <w:tcW w:w="1409" w:type="pct"/>
            <w:tcBorders>
              <w:top w:val="nil"/>
              <w:left w:val="nil"/>
              <w:bottom w:val="nil"/>
              <w:right w:val="nil"/>
            </w:tcBorders>
            <w:shd w:val="clear" w:color="auto" w:fill="auto"/>
            <w:noWrap/>
            <w:vAlign w:val="center"/>
          </w:tcPr>
          <w:p w14:paraId="18BD1B4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0.07±0.05</w:t>
            </w:r>
          </w:p>
        </w:tc>
        <w:tc>
          <w:tcPr>
            <w:tcW w:w="1135" w:type="pct"/>
            <w:tcBorders>
              <w:top w:val="nil"/>
              <w:left w:val="nil"/>
              <w:bottom w:val="nil"/>
              <w:right w:val="nil"/>
            </w:tcBorders>
            <w:shd w:val="clear" w:color="auto" w:fill="auto"/>
            <w:noWrap/>
            <w:vAlign w:val="center"/>
          </w:tcPr>
          <w:p w14:paraId="2C6AC3C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0.09±0.01</w:t>
            </w:r>
          </w:p>
        </w:tc>
      </w:tr>
      <w:tr w14:paraId="15048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828" w:type="pct"/>
            <w:vMerge w:val="continue"/>
            <w:tcBorders>
              <w:left w:val="nil"/>
              <w:right w:val="nil"/>
            </w:tcBorders>
            <w:shd w:val="clear" w:color="auto" w:fill="auto"/>
            <w:noWrap/>
            <w:vAlign w:val="center"/>
          </w:tcPr>
          <w:p w14:paraId="2A2149F2">
            <w:pPr>
              <w:keepNext w:val="0"/>
              <w:keepLines w:val="0"/>
              <w:pageBreakBefore w:val="0"/>
              <w:widowControl/>
              <w:kinsoku/>
              <w:wordWrap/>
              <w:overflowPunct/>
              <w:topLinePunct w:val="0"/>
              <w:autoSpaceDE/>
              <w:autoSpaceDN/>
              <w:bidi w:val="0"/>
              <w:adjustRightInd/>
              <w:snapToGrid/>
              <w:spacing w:line="20" w:lineRule="exact"/>
              <w:rPr>
                <w:rFonts w:hint="default" w:ascii="Times New Roman" w:hAnsi="Times New Roman" w:eastAsia="宋体" w:cs="Times New Roman"/>
                <w:i w:val="0"/>
                <w:iCs w:val="0"/>
                <w:color w:val="auto"/>
                <w:sz w:val="21"/>
                <w:szCs w:val="21"/>
                <w:u w:val="none"/>
              </w:rPr>
            </w:pPr>
          </w:p>
        </w:tc>
        <w:tc>
          <w:tcPr>
            <w:tcW w:w="1627" w:type="pct"/>
            <w:tcBorders>
              <w:top w:val="nil"/>
              <w:left w:val="nil"/>
              <w:bottom w:val="nil"/>
              <w:right w:val="nil"/>
            </w:tcBorders>
            <w:shd w:val="clear" w:color="auto" w:fill="auto"/>
            <w:noWrap/>
            <w:vAlign w:val="center"/>
          </w:tcPr>
          <w:p w14:paraId="5DCD29D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eastAsia" w:ascii="宋体" w:hAnsi="宋体" w:eastAsia="宋体" w:cs="宋体"/>
                <w:i w:val="0"/>
                <w:iCs w:val="0"/>
                <w:color w:val="000000"/>
                <w:sz w:val="21"/>
                <w:szCs w:val="21"/>
                <w:u w:val="none"/>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Mucoromycota</w:t>
            </w:r>
          </w:p>
        </w:tc>
        <w:tc>
          <w:tcPr>
            <w:tcW w:w="1409" w:type="pct"/>
            <w:tcBorders>
              <w:top w:val="nil"/>
              <w:left w:val="nil"/>
              <w:bottom w:val="nil"/>
              <w:right w:val="nil"/>
            </w:tcBorders>
            <w:shd w:val="clear" w:color="auto" w:fill="auto"/>
            <w:noWrap/>
            <w:vAlign w:val="center"/>
          </w:tcPr>
          <w:p w14:paraId="198A477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0.00±0.00</w:t>
            </w:r>
          </w:p>
        </w:tc>
        <w:tc>
          <w:tcPr>
            <w:tcW w:w="1135" w:type="pct"/>
            <w:tcBorders>
              <w:top w:val="nil"/>
              <w:left w:val="nil"/>
              <w:bottom w:val="nil"/>
              <w:right w:val="nil"/>
            </w:tcBorders>
            <w:shd w:val="clear" w:color="auto" w:fill="auto"/>
            <w:noWrap/>
            <w:vAlign w:val="center"/>
          </w:tcPr>
          <w:p w14:paraId="79A6656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0.01±0.01</w:t>
            </w:r>
          </w:p>
        </w:tc>
      </w:tr>
      <w:tr w14:paraId="347DF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828" w:type="pct"/>
            <w:vMerge w:val="continue"/>
            <w:tcBorders>
              <w:left w:val="nil"/>
              <w:bottom w:val="single" w:color="000000" w:sz="12" w:space="0"/>
              <w:right w:val="nil"/>
            </w:tcBorders>
            <w:shd w:val="clear" w:color="auto" w:fill="auto"/>
            <w:noWrap/>
            <w:vAlign w:val="center"/>
          </w:tcPr>
          <w:p w14:paraId="432725DF">
            <w:pPr>
              <w:keepNext w:val="0"/>
              <w:keepLines w:val="0"/>
              <w:pageBreakBefore w:val="0"/>
              <w:widowControl/>
              <w:kinsoku/>
              <w:wordWrap/>
              <w:overflowPunct/>
              <w:topLinePunct w:val="0"/>
              <w:autoSpaceDE/>
              <w:autoSpaceDN/>
              <w:bidi w:val="0"/>
              <w:adjustRightInd/>
              <w:snapToGrid/>
              <w:spacing w:line="20" w:lineRule="exact"/>
              <w:rPr>
                <w:rFonts w:hint="default" w:ascii="Times New Roman" w:hAnsi="Times New Roman" w:eastAsia="宋体" w:cs="Times New Roman"/>
                <w:i w:val="0"/>
                <w:iCs w:val="0"/>
                <w:color w:val="auto"/>
                <w:sz w:val="21"/>
                <w:szCs w:val="21"/>
                <w:u w:val="none"/>
              </w:rPr>
            </w:pPr>
          </w:p>
        </w:tc>
        <w:tc>
          <w:tcPr>
            <w:tcW w:w="1627" w:type="pct"/>
            <w:tcBorders>
              <w:top w:val="nil"/>
              <w:left w:val="nil"/>
              <w:bottom w:val="single" w:color="000000" w:sz="12" w:space="0"/>
              <w:right w:val="nil"/>
            </w:tcBorders>
            <w:shd w:val="clear" w:color="auto" w:fill="auto"/>
            <w:noWrap/>
            <w:vAlign w:val="center"/>
          </w:tcPr>
          <w:p w14:paraId="30AE823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sz w:val="21"/>
                <w:szCs w:val="21"/>
                <w:u w:val="none"/>
                <w:lang w:val="en-US" w:eastAsia="zh-CN" w:bidi="ar-SA"/>
              </w:rPr>
              <w:t>Olpidiomycota</w:t>
            </w:r>
          </w:p>
        </w:tc>
        <w:tc>
          <w:tcPr>
            <w:tcW w:w="1409" w:type="pct"/>
            <w:tcBorders>
              <w:top w:val="nil"/>
              <w:left w:val="nil"/>
              <w:bottom w:val="single" w:color="000000" w:sz="12" w:space="0"/>
              <w:right w:val="nil"/>
            </w:tcBorders>
            <w:shd w:val="clear" w:color="auto" w:fill="auto"/>
            <w:noWrap/>
            <w:vAlign w:val="center"/>
          </w:tcPr>
          <w:p w14:paraId="0DEB3C5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0.02±0.03</w:t>
            </w:r>
          </w:p>
        </w:tc>
        <w:tc>
          <w:tcPr>
            <w:tcW w:w="1135" w:type="pct"/>
            <w:tcBorders>
              <w:top w:val="nil"/>
              <w:left w:val="nil"/>
              <w:bottom w:val="single" w:color="000000" w:sz="12" w:space="0"/>
              <w:right w:val="nil"/>
            </w:tcBorders>
            <w:shd w:val="clear" w:color="auto" w:fill="auto"/>
            <w:noWrap/>
            <w:vAlign w:val="center"/>
          </w:tcPr>
          <w:p w14:paraId="335A3A9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r>
              <w:rPr>
                <w:rFonts w:hint="eastAsia" w:ascii="Times New Roman" w:hAnsi="Times New Roman" w:eastAsia="宋体" w:cs="Times New Roman"/>
                <w:i w:val="0"/>
                <w:iCs w:val="0"/>
                <w:color w:val="000000"/>
                <w:kern w:val="0"/>
                <w:sz w:val="21"/>
                <w:szCs w:val="21"/>
                <w:u w:val="none"/>
                <w:lang w:val="en-US" w:eastAsia="zh-CN" w:bidi="ar"/>
              </w:rPr>
              <w:t>.00</w:t>
            </w:r>
            <w:r>
              <w:rPr>
                <w:rFonts w:hint="default" w:ascii="Times New Roman" w:hAnsi="Times New Roman" w:eastAsia="宋体" w:cs="Times New Roman"/>
                <w:i w:val="0"/>
                <w:iCs w:val="0"/>
                <w:color w:val="000000"/>
                <w:kern w:val="0"/>
                <w:sz w:val="21"/>
                <w:szCs w:val="21"/>
                <w:u w:val="none"/>
                <w:lang w:val="en-US" w:eastAsia="zh-CN" w:bidi="ar"/>
              </w:rPr>
              <w:t>±0</w:t>
            </w:r>
            <w:r>
              <w:rPr>
                <w:rFonts w:hint="eastAsia" w:ascii="Times New Roman" w:hAnsi="Times New Roman" w:eastAsia="宋体" w:cs="Times New Roman"/>
                <w:i w:val="0"/>
                <w:iCs w:val="0"/>
                <w:color w:val="000000"/>
                <w:kern w:val="0"/>
                <w:sz w:val="21"/>
                <w:szCs w:val="21"/>
                <w:u w:val="none"/>
                <w:lang w:val="en-US" w:eastAsia="zh-CN" w:bidi="ar"/>
              </w:rPr>
              <w:t>.00</w:t>
            </w:r>
          </w:p>
        </w:tc>
      </w:tr>
    </w:tbl>
    <w:p w14:paraId="2C7B610E">
      <w:pPr>
        <w:jc w:val="both"/>
        <w:rPr>
          <w:rFonts w:hint="default" w:ascii="Times New Roman" w:hAnsi="Times New Roman" w:cs="Times New Roman"/>
          <w:b w:val="0"/>
          <w:bCs/>
          <w:color w:val="auto"/>
          <w:sz w:val="24"/>
          <w:szCs w:val="24"/>
          <w:lang w:val="en-US" w:eastAsia="zh-CN"/>
        </w:rPr>
      </w:pPr>
      <w:r>
        <w:rPr>
          <w:rFonts w:hint="default" w:ascii="Times New Roman" w:hAnsi="Times New Roman" w:cs="Times New Roman"/>
          <w:b/>
          <w:color w:val="auto"/>
          <w:sz w:val="24"/>
          <w:szCs w:val="24"/>
        </w:rPr>
        <w:t xml:space="preserve">Supplementary </w:t>
      </w:r>
      <w:r>
        <w:rPr>
          <w:rFonts w:hint="default" w:ascii="Times New Roman" w:hAnsi="Times New Roman" w:cs="Times New Roman"/>
          <w:b/>
          <w:color w:val="auto"/>
          <w:sz w:val="24"/>
          <w:szCs w:val="24"/>
          <w:lang w:val="en-US" w:eastAsia="zh-CN"/>
        </w:rPr>
        <w:t>Table</w:t>
      </w:r>
      <w:r>
        <w:rPr>
          <w:rFonts w:hint="default" w:ascii="Times New Roman" w:hAnsi="Times New Roman" w:cs="Times New Roman"/>
          <w:b/>
          <w:color w:val="auto"/>
          <w:sz w:val="24"/>
          <w:szCs w:val="24"/>
        </w:rPr>
        <w:t xml:space="preserve"> </w:t>
      </w:r>
      <w:r>
        <w:rPr>
          <w:rFonts w:hint="eastAsia" w:eastAsia="宋体" w:cs="Times New Roman"/>
          <w:b/>
          <w:color w:val="auto"/>
          <w:sz w:val="24"/>
          <w:szCs w:val="24"/>
          <w:lang w:val="en-US" w:eastAsia="zh-CN"/>
        </w:rPr>
        <w:t>1</w:t>
      </w:r>
      <w:r>
        <w:rPr>
          <w:rFonts w:hint="eastAsia" w:ascii="Times New Roman" w:hAnsi="Times New Roman" w:cs="Times New Roman"/>
          <w:b/>
          <w:color w:val="auto"/>
          <w:sz w:val="24"/>
          <w:szCs w:val="24"/>
          <w:lang w:val="en-US" w:eastAsia="zh-CN"/>
        </w:rPr>
        <w:t>.</w:t>
      </w:r>
      <w:r>
        <w:rPr>
          <w:rFonts w:hint="default" w:ascii="Times New Roman" w:hAnsi="Times New Roman" w:cs="Times New Roman"/>
          <w:b/>
          <w:color w:val="auto"/>
          <w:sz w:val="24"/>
          <w:szCs w:val="24"/>
        </w:rPr>
        <w:t xml:space="preserve"> </w:t>
      </w:r>
      <w:r>
        <w:rPr>
          <w:rFonts w:hint="default" w:ascii="Times New Roman" w:hAnsi="Times New Roman" w:cs="Times New Roman"/>
          <w:b w:val="0"/>
          <w:bCs/>
          <w:color w:val="auto"/>
          <w:sz w:val="24"/>
          <w:szCs w:val="24"/>
        </w:rPr>
        <w:t xml:space="preserve">Comparison of </w:t>
      </w:r>
      <w:r>
        <w:rPr>
          <w:rFonts w:hint="default" w:ascii="Times New Roman" w:hAnsi="Times New Roman" w:cs="Times New Roman"/>
          <w:b w:val="0"/>
          <w:bCs/>
          <w:color w:val="auto"/>
          <w:sz w:val="24"/>
          <w:szCs w:val="24"/>
          <w:lang w:val="en-US" w:eastAsia="zh-CN"/>
        </w:rPr>
        <w:t xml:space="preserve">the relative </w:t>
      </w:r>
      <w:r>
        <w:rPr>
          <w:rFonts w:hint="default" w:ascii="Times New Roman" w:hAnsi="Times New Roman" w:cs="Times New Roman"/>
          <w:b w:val="0"/>
          <w:bCs/>
          <w:color w:val="auto"/>
          <w:sz w:val="24"/>
          <w:szCs w:val="24"/>
        </w:rPr>
        <w:t xml:space="preserve">abundance </w:t>
      </w:r>
      <w:r>
        <w:rPr>
          <w:rFonts w:hint="default" w:ascii="Times New Roman" w:hAnsi="Times New Roman" w:cs="Times New Roman"/>
          <w:b w:val="0"/>
          <w:bCs/>
          <w:color w:val="auto"/>
          <w:sz w:val="24"/>
          <w:szCs w:val="24"/>
          <w:lang w:val="en-US" w:eastAsia="zh-CN"/>
        </w:rPr>
        <w:t>of</w:t>
      </w:r>
      <w:r>
        <w:rPr>
          <w:rFonts w:hint="default" w:ascii="Times New Roman" w:hAnsi="Times New Roman" w:cs="Times New Roman"/>
          <w:b w:val="0"/>
          <w:bCs/>
          <w:color w:val="auto"/>
          <w:sz w:val="24"/>
          <w:szCs w:val="24"/>
        </w:rPr>
        <w:t xml:space="preserve"> </w:t>
      </w:r>
      <w:r>
        <w:rPr>
          <w:rFonts w:hint="default" w:ascii="Times New Roman" w:hAnsi="Times New Roman" w:cs="Times New Roman"/>
          <w:b w:val="0"/>
          <w:bCs/>
          <w:color w:val="auto"/>
          <w:sz w:val="24"/>
          <w:szCs w:val="24"/>
          <w:lang w:val="en-US" w:eastAsia="zh-CN"/>
        </w:rPr>
        <w:t xml:space="preserve">dominant </w:t>
      </w:r>
      <w:r>
        <w:rPr>
          <w:rFonts w:hint="default" w:ascii="Times New Roman" w:hAnsi="Times New Roman" w:cs="Times New Roman"/>
          <w:b w:val="0"/>
          <w:bCs/>
          <w:color w:val="auto"/>
          <w:sz w:val="24"/>
          <w:szCs w:val="24"/>
        </w:rPr>
        <w:t>phyl</w:t>
      </w:r>
      <w:r>
        <w:rPr>
          <w:rFonts w:hint="default" w:ascii="Times New Roman" w:hAnsi="Times New Roman" w:cs="Times New Roman"/>
          <w:b w:val="0"/>
          <w:bCs/>
          <w:color w:val="auto"/>
          <w:sz w:val="24"/>
          <w:szCs w:val="24"/>
          <w:lang w:val="en-US" w:eastAsia="zh-CN"/>
        </w:rPr>
        <w:t xml:space="preserve">um </w:t>
      </w:r>
      <w:r>
        <w:rPr>
          <w:rFonts w:hint="default" w:ascii="Times New Roman" w:hAnsi="Times New Roman" w:cs="Times New Roman"/>
          <w:b w:val="0"/>
          <w:bCs/>
          <w:color w:val="auto"/>
          <w:sz w:val="24"/>
          <w:szCs w:val="24"/>
        </w:rPr>
        <w:t xml:space="preserve">of </w:t>
      </w:r>
      <w:r>
        <w:rPr>
          <w:rFonts w:hint="default" w:ascii="Times New Roman" w:hAnsi="Times New Roman" w:cs="Times New Roman"/>
          <w:b w:val="0"/>
          <w:bCs/>
          <w:i/>
          <w:iCs/>
          <w:color w:val="auto"/>
          <w:sz w:val="24"/>
          <w:szCs w:val="24"/>
          <w:lang w:val="en-US" w:eastAsia="zh-CN"/>
        </w:rPr>
        <w:t>C. morifolium</w:t>
      </w:r>
      <w:r>
        <w:rPr>
          <w:rFonts w:hint="default" w:ascii="Times New Roman" w:hAnsi="Times New Roman" w:cs="Times New Roman"/>
          <w:b w:val="0"/>
          <w:bCs/>
          <w:color w:val="auto"/>
          <w:sz w:val="24"/>
          <w:szCs w:val="24"/>
        </w:rPr>
        <w:t xml:space="preserve"> rhizosphere </w:t>
      </w:r>
      <w:r>
        <w:rPr>
          <w:rFonts w:hint="default" w:ascii="Times New Roman" w:hAnsi="Times New Roman" w:cs="Times New Roman"/>
          <w:b w:val="0"/>
          <w:bCs/>
          <w:color w:val="auto"/>
          <w:sz w:val="24"/>
          <w:szCs w:val="24"/>
          <w:lang w:val="en-US" w:eastAsia="zh-CN"/>
        </w:rPr>
        <w:t xml:space="preserve">soil bacterial and fungal </w:t>
      </w:r>
      <w:r>
        <w:rPr>
          <w:rFonts w:hint="default" w:ascii="Times New Roman" w:hAnsi="Times New Roman" w:cs="Times New Roman"/>
          <w:b w:val="0"/>
          <w:bCs/>
          <w:color w:val="auto"/>
          <w:sz w:val="24"/>
          <w:szCs w:val="24"/>
        </w:rPr>
        <w:t>communit</w:t>
      </w:r>
      <w:r>
        <w:rPr>
          <w:rFonts w:hint="default" w:ascii="Times New Roman" w:hAnsi="Times New Roman" w:cs="Times New Roman"/>
          <w:b w:val="0"/>
          <w:bCs/>
          <w:color w:val="auto"/>
          <w:sz w:val="24"/>
          <w:szCs w:val="24"/>
          <w:lang w:val="en-US" w:eastAsia="zh-CN"/>
        </w:rPr>
        <w:t>ies</w:t>
      </w:r>
      <w:r>
        <w:rPr>
          <w:rFonts w:hint="default" w:ascii="Times New Roman" w:hAnsi="Times New Roman" w:cs="Times New Roman"/>
          <w:b w:val="0"/>
          <w:bCs/>
          <w:color w:val="auto"/>
          <w:sz w:val="24"/>
          <w:szCs w:val="24"/>
        </w:rPr>
        <w:t xml:space="preserve"> </w:t>
      </w:r>
      <w:r>
        <w:rPr>
          <w:rFonts w:hint="default" w:ascii="Times New Roman" w:hAnsi="Times New Roman" w:cs="Times New Roman"/>
          <w:b w:val="0"/>
          <w:bCs/>
          <w:color w:val="auto"/>
          <w:sz w:val="24"/>
          <w:szCs w:val="24"/>
          <w:lang w:val="en-US" w:eastAsia="zh-CN"/>
        </w:rPr>
        <w:t>in</w:t>
      </w:r>
      <w:r>
        <w:rPr>
          <w:rFonts w:hint="default" w:ascii="Times New Roman" w:hAnsi="Times New Roman" w:cs="Times New Roman"/>
          <w:b w:val="0"/>
          <w:bCs/>
          <w:color w:val="auto"/>
          <w:sz w:val="24"/>
          <w:szCs w:val="24"/>
        </w:rPr>
        <w:t xml:space="preserve"> </w:t>
      </w:r>
      <w:r>
        <w:rPr>
          <w:rFonts w:hint="eastAsia" w:eastAsia="宋体" w:cs="Times New Roman"/>
          <w:b w:val="0"/>
          <w:bCs/>
          <w:color w:val="auto"/>
          <w:sz w:val="24"/>
          <w:szCs w:val="24"/>
          <w:lang w:val="en-US" w:eastAsia="zh-CN"/>
        </w:rPr>
        <w:t>two</w:t>
      </w:r>
      <w:r>
        <w:rPr>
          <w:rFonts w:hint="default" w:ascii="Times New Roman" w:hAnsi="Times New Roman" w:cs="Times New Roman"/>
          <w:b w:val="0"/>
          <w:bCs/>
          <w:color w:val="auto"/>
          <w:sz w:val="24"/>
          <w:szCs w:val="24"/>
        </w:rPr>
        <w:t xml:space="preserve"> treatments. </w:t>
      </w:r>
      <w:r>
        <w:rPr>
          <w:rFonts w:hint="default" w:ascii="Times New Roman" w:hAnsi="Times New Roman" w:cs="Times New Roman"/>
          <w:b w:val="0"/>
          <w:bCs/>
          <w:color w:val="auto"/>
          <w:sz w:val="24"/>
          <w:szCs w:val="24"/>
          <w:lang w:val="en-US" w:eastAsia="zh-CN"/>
        </w:rPr>
        <w:t>Data are shown as means</w:t>
      </w:r>
      <w:r>
        <w:rPr>
          <w:rFonts w:hint="eastAsia" w:ascii="Times New Roman" w:hAnsi="Times New Roman" w:cs="Times New Roman"/>
          <w:b w:val="0"/>
          <w:bCs/>
          <w:color w:val="auto"/>
          <w:sz w:val="24"/>
          <w:szCs w:val="24"/>
          <w:lang w:val="en-US" w:eastAsia="zh-CN"/>
        </w:rPr>
        <w:t xml:space="preserve"> </w:t>
      </w:r>
      <w:r>
        <w:rPr>
          <w:rFonts w:hint="default" w:ascii="Times New Roman" w:hAnsi="Times New Roman" w:cs="Times New Roman"/>
          <w:b w:val="0"/>
          <w:bCs/>
          <w:color w:val="auto"/>
          <w:sz w:val="24"/>
          <w:szCs w:val="24"/>
          <w:lang w:val="en-US" w:eastAsia="zh-CN"/>
        </w:rPr>
        <w:t>± standard deviations (n</w:t>
      </w:r>
      <w:r>
        <w:rPr>
          <w:rFonts w:hint="eastAsia" w:ascii="Times New Roman" w:hAnsi="Times New Roman" w:cs="Times New Roman"/>
          <w:b w:val="0"/>
          <w:bCs/>
          <w:color w:val="auto"/>
          <w:sz w:val="24"/>
          <w:szCs w:val="24"/>
          <w:lang w:val="en-US" w:eastAsia="zh-CN"/>
        </w:rPr>
        <w:t xml:space="preserve"> = </w:t>
      </w:r>
      <w:r>
        <w:rPr>
          <w:rFonts w:hint="default" w:ascii="Times New Roman" w:hAnsi="Times New Roman" w:cs="Times New Roman"/>
          <w:b w:val="0"/>
          <w:bCs/>
          <w:color w:val="auto"/>
          <w:sz w:val="24"/>
          <w:szCs w:val="24"/>
          <w:lang w:val="en-US" w:eastAsia="zh-CN"/>
        </w:rPr>
        <w:t xml:space="preserve">3). </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 xml:space="preserve"> and </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 xml:space="preserve"> represent </w:t>
      </w:r>
      <w:r>
        <w:rPr>
          <w:rFonts w:hint="eastAsia" w:cs="Times New Roman" w:eastAsiaTheme="minorEastAsia"/>
          <w:i/>
          <w:iCs/>
          <w:color w:val="auto"/>
          <w:sz w:val="24"/>
          <w:szCs w:val="24"/>
          <w:lang w:val="en-US" w:eastAsia="zh-CN"/>
        </w:rPr>
        <w:t xml:space="preserve">p </w:t>
      </w:r>
      <w:r>
        <w:rPr>
          <w:rFonts w:hint="eastAsia" w:cs="Times New Roman" w:eastAsiaTheme="minorEastAsia"/>
          <w:color w:val="auto"/>
          <w:sz w:val="24"/>
          <w:szCs w:val="24"/>
          <w:lang w:val="en-US" w:eastAsia="zh-CN"/>
        </w:rPr>
        <w:t xml:space="preserve">&lt; 0.05 and </w:t>
      </w:r>
      <w:r>
        <w:rPr>
          <w:rFonts w:hint="eastAsia" w:cs="Times New Roman" w:eastAsiaTheme="minorEastAsia"/>
          <w:i/>
          <w:iCs/>
          <w:color w:val="auto"/>
          <w:sz w:val="24"/>
          <w:szCs w:val="24"/>
          <w:lang w:val="en-US" w:eastAsia="zh-CN"/>
        </w:rPr>
        <w:t xml:space="preserve">p &lt; </w:t>
      </w:r>
      <w:r>
        <w:rPr>
          <w:rFonts w:hint="eastAsia" w:cs="Times New Roman" w:eastAsiaTheme="minorEastAsia"/>
          <w:color w:val="auto"/>
          <w:sz w:val="24"/>
          <w:szCs w:val="24"/>
          <w:lang w:val="en-US" w:eastAsia="zh-CN"/>
        </w:rPr>
        <w:t>0.01, respectively.</w:t>
      </w:r>
    </w:p>
    <w:p w14:paraId="07D795CD">
      <w:pPr>
        <w:jc w:val="both"/>
        <w:rPr>
          <w:rFonts w:hint="default" w:ascii="Times New Roman" w:hAnsi="Times New Roman" w:cs="Times New Roman"/>
          <w:b/>
          <w:color w:val="auto"/>
          <w:sz w:val="24"/>
          <w:szCs w:val="24"/>
        </w:rPr>
      </w:pPr>
    </w:p>
    <w:p w14:paraId="4E00B77C">
      <w:pPr>
        <w:jc w:val="both"/>
        <w:rPr>
          <w:rFonts w:hint="default" w:ascii="Times New Roman" w:hAnsi="Times New Roman" w:cs="Times New Roman"/>
          <w:b/>
          <w:color w:val="auto"/>
          <w:sz w:val="24"/>
          <w:szCs w:val="24"/>
        </w:rPr>
      </w:pPr>
    </w:p>
    <w:p w14:paraId="63E6B491">
      <w:pPr>
        <w:jc w:val="both"/>
        <w:rPr>
          <w:rFonts w:hint="default" w:ascii="Times New Roman" w:hAnsi="Times New Roman" w:cs="Times New Roman"/>
          <w:b/>
          <w:color w:val="auto"/>
          <w:sz w:val="24"/>
          <w:szCs w:val="24"/>
        </w:rPr>
      </w:pPr>
    </w:p>
    <w:p w14:paraId="4392C96D">
      <w:pPr>
        <w:jc w:val="both"/>
        <w:rPr>
          <w:rFonts w:hint="default" w:ascii="Times New Roman" w:hAnsi="Times New Roman" w:cs="Times New Roman"/>
          <w:b/>
          <w:color w:val="auto"/>
          <w:sz w:val="24"/>
          <w:szCs w:val="24"/>
        </w:rPr>
      </w:pPr>
    </w:p>
    <w:p w14:paraId="49B262D2">
      <w:pPr>
        <w:jc w:val="both"/>
        <w:rPr>
          <w:rFonts w:hint="default" w:ascii="Times New Roman" w:hAnsi="Times New Roman" w:cs="Times New Roman"/>
          <w:b/>
          <w:color w:val="auto"/>
          <w:sz w:val="24"/>
          <w:szCs w:val="24"/>
        </w:rPr>
      </w:pPr>
    </w:p>
    <w:p w14:paraId="250CD973">
      <w:pPr>
        <w:jc w:val="both"/>
        <w:rPr>
          <w:rFonts w:hint="default" w:ascii="Times New Roman" w:hAnsi="Times New Roman" w:cs="Times New Roman"/>
          <w:b/>
          <w:color w:val="auto"/>
          <w:sz w:val="24"/>
          <w:szCs w:val="24"/>
          <w:lang w:val="en-US" w:eastAsia="zh-CN"/>
        </w:rPr>
      </w:pPr>
      <w:r>
        <w:rPr>
          <w:rFonts w:hint="default" w:ascii="Times New Roman" w:hAnsi="Times New Roman" w:cs="Times New Roman"/>
          <w:b/>
          <w:color w:val="auto"/>
          <w:sz w:val="24"/>
          <w:szCs w:val="24"/>
        </w:rPr>
        <w:t xml:space="preserve">Supplementary </w:t>
      </w:r>
      <w:r>
        <w:rPr>
          <w:rFonts w:hint="default" w:ascii="Times New Roman" w:hAnsi="Times New Roman" w:cs="Times New Roman"/>
          <w:b/>
          <w:color w:val="auto"/>
          <w:sz w:val="24"/>
          <w:szCs w:val="24"/>
          <w:lang w:val="en-US" w:eastAsia="zh-CN"/>
        </w:rPr>
        <w:t>Table</w:t>
      </w:r>
      <w:r>
        <w:rPr>
          <w:rFonts w:hint="default" w:ascii="Times New Roman" w:hAnsi="Times New Roman" w:cs="Times New Roman"/>
          <w:b/>
          <w:color w:val="auto"/>
          <w:sz w:val="24"/>
          <w:szCs w:val="24"/>
        </w:rPr>
        <w:t xml:space="preserve"> </w:t>
      </w:r>
      <w:r>
        <w:rPr>
          <w:rFonts w:hint="eastAsia" w:eastAsia="宋体" w:cs="Times New Roman"/>
          <w:b/>
          <w:color w:val="auto"/>
          <w:sz w:val="24"/>
          <w:szCs w:val="24"/>
          <w:lang w:val="en-US" w:eastAsia="zh-CN"/>
        </w:rPr>
        <w:t>2</w:t>
      </w:r>
      <w:r>
        <w:rPr>
          <w:rFonts w:hint="eastAsia" w:ascii="Times New Roman" w:hAnsi="Times New Roman" w:cs="Times New Roman"/>
          <w:b/>
          <w:color w:val="auto"/>
          <w:sz w:val="24"/>
          <w:szCs w:val="24"/>
          <w:lang w:val="en-US" w:eastAsia="zh-CN"/>
        </w:rPr>
        <w:t>.</w:t>
      </w:r>
      <w:r>
        <w:rPr>
          <w:rFonts w:hint="default" w:ascii="Times New Roman" w:hAnsi="Times New Roman" w:cs="Times New Roman"/>
          <w:b/>
          <w:color w:val="auto"/>
          <w:sz w:val="24"/>
          <w:szCs w:val="24"/>
        </w:rPr>
        <w:t xml:space="preserve"> </w:t>
      </w:r>
      <w:r>
        <w:rPr>
          <w:rFonts w:hint="default" w:ascii="Times New Roman" w:hAnsi="Times New Roman" w:cs="Times New Roman"/>
          <w:b w:val="0"/>
          <w:bCs/>
          <w:color w:val="auto"/>
          <w:sz w:val="24"/>
          <w:szCs w:val="24"/>
        </w:rPr>
        <w:t xml:space="preserve">Comparison of </w:t>
      </w:r>
      <w:r>
        <w:rPr>
          <w:rFonts w:hint="default" w:ascii="Times New Roman" w:hAnsi="Times New Roman" w:cs="Times New Roman"/>
          <w:b w:val="0"/>
          <w:bCs/>
          <w:color w:val="auto"/>
          <w:sz w:val="24"/>
          <w:szCs w:val="24"/>
          <w:lang w:val="en-US" w:eastAsia="zh-CN"/>
        </w:rPr>
        <w:t xml:space="preserve">the relative </w:t>
      </w:r>
      <w:r>
        <w:rPr>
          <w:rFonts w:hint="default" w:ascii="Times New Roman" w:hAnsi="Times New Roman" w:cs="Times New Roman"/>
          <w:b w:val="0"/>
          <w:bCs/>
          <w:color w:val="auto"/>
          <w:sz w:val="24"/>
          <w:szCs w:val="24"/>
        </w:rPr>
        <w:t xml:space="preserve">abundance </w:t>
      </w:r>
      <w:r>
        <w:rPr>
          <w:rFonts w:hint="default" w:ascii="Times New Roman" w:hAnsi="Times New Roman" w:cs="Times New Roman"/>
          <w:b w:val="0"/>
          <w:bCs/>
          <w:color w:val="auto"/>
          <w:sz w:val="24"/>
          <w:szCs w:val="24"/>
          <w:lang w:val="en-US" w:eastAsia="zh-CN"/>
        </w:rPr>
        <w:t>of</w:t>
      </w:r>
      <w:r>
        <w:rPr>
          <w:rFonts w:hint="default" w:ascii="Times New Roman" w:hAnsi="Times New Roman" w:cs="Times New Roman"/>
          <w:b w:val="0"/>
          <w:bCs/>
          <w:color w:val="auto"/>
          <w:sz w:val="24"/>
          <w:szCs w:val="24"/>
        </w:rPr>
        <w:t xml:space="preserve"> </w:t>
      </w:r>
      <w:r>
        <w:rPr>
          <w:rFonts w:hint="default" w:ascii="Times New Roman" w:hAnsi="Times New Roman" w:cs="Times New Roman"/>
          <w:b w:val="0"/>
          <w:bCs/>
          <w:color w:val="auto"/>
          <w:sz w:val="24"/>
          <w:szCs w:val="24"/>
          <w:lang w:val="en-US" w:eastAsia="zh-CN"/>
        </w:rPr>
        <w:t xml:space="preserve">dominant genus </w:t>
      </w:r>
      <w:r>
        <w:rPr>
          <w:rFonts w:hint="default" w:ascii="Times New Roman" w:hAnsi="Times New Roman" w:cs="Times New Roman"/>
          <w:b w:val="0"/>
          <w:bCs/>
          <w:color w:val="auto"/>
          <w:sz w:val="24"/>
          <w:szCs w:val="24"/>
        </w:rPr>
        <w:t xml:space="preserve">of </w:t>
      </w:r>
      <w:r>
        <w:rPr>
          <w:rFonts w:hint="default" w:ascii="Times New Roman" w:hAnsi="Times New Roman" w:cs="Times New Roman"/>
          <w:b w:val="0"/>
          <w:bCs/>
          <w:i/>
          <w:iCs/>
          <w:color w:val="auto"/>
          <w:sz w:val="24"/>
          <w:szCs w:val="24"/>
          <w:lang w:val="en-US" w:eastAsia="zh-CN"/>
        </w:rPr>
        <w:t>C. morifolium</w:t>
      </w:r>
      <w:r>
        <w:rPr>
          <w:rFonts w:hint="default" w:ascii="Times New Roman" w:hAnsi="Times New Roman" w:cs="Times New Roman"/>
          <w:b w:val="0"/>
          <w:bCs/>
          <w:color w:val="auto"/>
          <w:sz w:val="24"/>
          <w:szCs w:val="24"/>
        </w:rPr>
        <w:t xml:space="preserve"> rhizosphere </w:t>
      </w:r>
      <w:r>
        <w:rPr>
          <w:rFonts w:hint="default" w:ascii="Times New Roman" w:hAnsi="Times New Roman" w:cs="Times New Roman"/>
          <w:b w:val="0"/>
          <w:bCs/>
          <w:color w:val="auto"/>
          <w:sz w:val="24"/>
          <w:szCs w:val="24"/>
          <w:lang w:val="en-US" w:eastAsia="zh-CN"/>
        </w:rPr>
        <w:t xml:space="preserve">soil bacterial and fungal </w:t>
      </w:r>
      <w:r>
        <w:rPr>
          <w:rFonts w:hint="default" w:ascii="Times New Roman" w:hAnsi="Times New Roman" w:cs="Times New Roman"/>
          <w:b w:val="0"/>
          <w:bCs/>
          <w:color w:val="auto"/>
          <w:sz w:val="24"/>
          <w:szCs w:val="24"/>
        </w:rPr>
        <w:t>communit</w:t>
      </w:r>
      <w:r>
        <w:rPr>
          <w:rFonts w:hint="default" w:ascii="Times New Roman" w:hAnsi="Times New Roman" w:cs="Times New Roman"/>
          <w:b w:val="0"/>
          <w:bCs/>
          <w:color w:val="auto"/>
          <w:sz w:val="24"/>
          <w:szCs w:val="24"/>
          <w:lang w:val="en-US" w:eastAsia="zh-CN"/>
        </w:rPr>
        <w:t>ies</w:t>
      </w:r>
      <w:r>
        <w:rPr>
          <w:rFonts w:hint="default" w:ascii="Times New Roman" w:hAnsi="Times New Roman" w:cs="Times New Roman"/>
          <w:b w:val="0"/>
          <w:bCs/>
          <w:color w:val="auto"/>
          <w:sz w:val="24"/>
          <w:szCs w:val="24"/>
        </w:rPr>
        <w:t xml:space="preserve"> </w:t>
      </w:r>
      <w:r>
        <w:rPr>
          <w:rFonts w:hint="default" w:ascii="Times New Roman" w:hAnsi="Times New Roman" w:cs="Times New Roman"/>
          <w:b w:val="0"/>
          <w:bCs/>
          <w:color w:val="auto"/>
          <w:sz w:val="24"/>
          <w:szCs w:val="24"/>
          <w:lang w:val="en-US" w:eastAsia="zh-CN"/>
        </w:rPr>
        <w:t>in</w:t>
      </w:r>
      <w:r>
        <w:rPr>
          <w:rFonts w:hint="default" w:ascii="Times New Roman" w:hAnsi="Times New Roman" w:cs="Times New Roman"/>
          <w:b w:val="0"/>
          <w:bCs/>
          <w:color w:val="auto"/>
          <w:sz w:val="24"/>
          <w:szCs w:val="24"/>
        </w:rPr>
        <w:t xml:space="preserve"> </w:t>
      </w:r>
      <w:r>
        <w:rPr>
          <w:rFonts w:hint="eastAsia" w:eastAsia="宋体" w:cs="Times New Roman"/>
          <w:b w:val="0"/>
          <w:bCs/>
          <w:color w:val="auto"/>
          <w:sz w:val="24"/>
          <w:szCs w:val="24"/>
          <w:lang w:val="en-US" w:eastAsia="zh-CN"/>
        </w:rPr>
        <w:t>two</w:t>
      </w:r>
      <w:r>
        <w:rPr>
          <w:rFonts w:hint="default" w:ascii="Times New Roman" w:hAnsi="Times New Roman" w:cs="Times New Roman"/>
          <w:b w:val="0"/>
          <w:bCs/>
          <w:color w:val="auto"/>
          <w:sz w:val="24"/>
          <w:szCs w:val="24"/>
        </w:rPr>
        <w:t xml:space="preserve"> treatments. </w:t>
      </w:r>
      <w:r>
        <w:rPr>
          <w:rFonts w:hint="default" w:ascii="Times New Roman" w:hAnsi="Times New Roman" w:cs="Times New Roman"/>
          <w:b w:val="0"/>
          <w:bCs/>
          <w:color w:val="auto"/>
          <w:sz w:val="24"/>
          <w:szCs w:val="24"/>
          <w:lang w:val="en-US" w:eastAsia="zh-CN"/>
        </w:rPr>
        <w:t>Data are shown as means</w:t>
      </w:r>
      <w:r>
        <w:rPr>
          <w:rFonts w:hint="eastAsia" w:ascii="Times New Roman" w:hAnsi="Times New Roman" w:cs="Times New Roman"/>
          <w:b w:val="0"/>
          <w:bCs/>
          <w:color w:val="auto"/>
          <w:sz w:val="24"/>
          <w:szCs w:val="24"/>
          <w:lang w:val="en-US" w:eastAsia="zh-CN"/>
        </w:rPr>
        <w:t xml:space="preserve"> </w:t>
      </w:r>
      <w:r>
        <w:rPr>
          <w:rFonts w:hint="default" w:ascii="Times New Roman" w:hAnsi="Times New Roman" w:cs="Times New Roman"/>
          <w:b w:val="0"/>
          <w:bCs/>
          <w:color w:val="auto"/>
          <w:sz w:val="24"/>
          <w:szCs w:val="24"/>
          <w:lang w:val="en-US" w:eastAsia="zh-CN"/>
        </w:rPr>
        <w:t>± standard deviations (n</w:t>
      </w:r>
      <w:r>
        <w:rPr>
          <w:rFonts w:hint="eastAsia" w:ascii="Times New Roman" w:hAnsi="Times New Roman" w:cs="Times New Roman"/>
          <w:b w:val="0"/>
          <w:bCs/>
          <w:color w:val="auto"/>
          <w:sz w:val="24"/>
          <w:szCs w:val="24"/>
          <w:lang w:val="en-US" w:eastAsia="zh-CN"/>
        </w:rPr>
        <w:t xml:space="preserve"> = </w:t>
      </w:r>
      <w:r>
        <w:rPr>
          <w:rFonts w:hint="default" w:ascii="Times New Roman" w:hAnsi="Times New Roman" w:cs="Times New Roman"/>
          <w:b w:val="0"/>
          <w:bCs/>
          <w:color w:val="auto"/>
          <w:sz w:val="24"/>
          <w:szCs w:val="24"/>
          <w:lang w:val="en-US" w:eastAsia="zh-CN"/>
        </w:rPr>
        <w:t xml:space="preserve">3). </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 xml:space="preserve"> and </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 xml:space="preserve"> represent </w:t>
      </w:r>
      <w:r>
        <w:rPr>
          <w:rFonts w:hint="eastAsia" w:cs="Times New Roman" w:eastAsiaTheme="minorEastAsia"/>
          <w:i/>
          <w:iCs/>
          <w:color w:val="auto"/>
          <w:sz w:val="24"/>
          <w:szCs w:val="24"/>
          <w:lang w:val="en-US" w:eastAsia="zh-CN"/>
        </w:rPr>
        <w:t xml:space="preserve">p </w:t>
      </w:r>
      <w:r>
        <w:rPr>
          <w:rFonts w:hint="eastAsia" w:cs="Times New Roman" w:eastAsiaTheme="minorEastAsia"/>
          <w:color w:val="auto"/>
          <w:sz w:val="24"/>
          <w:szCs w:val="24"/>
          <w:lang w:val="en-US" w:eastAsia="zh-CN"/>
        </w:rPr>
        <w:t xml:space="preserve">&lt; 0.05 and </w:t>
      </w:r>
      <w:r>
        <w:rPr>
          <w:rFonts w:hint="eastAsia" w:cs="Times New Roman" w:eastAsiaTheme="minorEastAsia"/>
          <w:i/>
          <w:iCs/>
          <w:color w:val="auto"/>
          <w:sz w:val="24"/>
          <w:szCs w:val="24"/>
          <w:lang w:val="en-US" w:eastAsia="zh-CN"/>
        </w:rPr>
        <w:t xml:space="preserve">p &lt; </w:t>
      </w:r>
      <w:r>
        <w:rPr>
          <w:rFonts w:hint="eastAsia" w:cs="Times New Roman" w:eastAsiaTheme="minorEastAsia"/>
          <w:color w:val="auto"/>
          <w:sz w:val="24"/>
          <w:szCs w:val="24"/>
          <w:lang w:val="en-US" w:eastAsia="zh-CN"/>
        </w:rPr>
        <w:t>0.01, respectively.</w:t>
      </w:r>
    </w:p>
    <w:tbl>
      <w:tblPr>
        <w:tblStyle w:val="2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40"/>
        <w:gridCol w:w="1450"/>
        <w:gridCol w:w="1388"/>
        <w:gridCol w:w="1863"/>
        <w:gridCol w:w="1300"/>
        <w:gridCol w:w="1352"/>
      </w:tblGrid>
      <w:tr w14:paraId="02339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20" w:type="pct"/>
            <w:vMerge w:val="restart"/>
            <w:tcBorders>
              <w:top w:val="single" w:color="000000" w:sz="12" w:space="0"/>
              <w:left w:val="nil"/>
              <w:bottom w:val="nil"/>
              <w:right w:val="nil"/>
            </w:tcBorders>
            <w:shd w:val="clear" w:color="auto" w:fill="auto"/>
            <w:noWrap/>
            <w:vAlign w:val="center"/>
          </w:tcPr>
          <w:p w14:paraId="5585CD8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Genus</w:t>
            </w:r>
          </w:p>
        </w:tc>
        <w:tc>
          <w:tcPr>
            <w:tcW w:w="1419" w:type="pct"/>
            <w:gridSpan w:val="2"/>
            <w:tcBorders>
              <w:top w:val="single" w:color="000000" w:sz="12" w:space="0"/>
              <w:left w:val="nil"/>
              <w:bottom w:val="nil"/>
              <w:right w:val="nil"/>
            </w:tcBorders>
            <w:shd w:val="clear" w:color="auto" w:fill="auto"/>
            <w:noWrap/>
            <w:vAlign w:val="center"/>
          </w:tcPr>
          <w:p w14:paraId="7E119F0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Relative abundance (%)</w:t>
            </w:r>
          </w:p>
        </w:tc>
        <w:tc>
          <w:tcPr>
            <w:tcW w:w="932" w:type="pct"/>
            <w:vMerge w:val="restart"/>
            <w:tcBorders>
              <w:top w:val="single" w:color="000000" w:sz="12" w:space="0"/>
              <w:left w:val="nil"/>
              <w:bottom w:val="nil"/>
              <w:right w:val="nil"/>
            </w:tcBorders>
            <w:shd w:val="clear" w:color="auto" w:fill="auto"/>
            <w:noWrap/>
            <w:vAlign w:val="center"/>
          </w:tcPr>
          <w:p w14:paraId="2E7A9EC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Genus</w:t>
            </w:r>
          </w:p>
        </w:tc>
        <w:tc>
          <w:tcPr>
            <w:tcW w:w="1326" w:type="pct"/>
            <w:gridSpan w:val="2"/>
            <w:tcBorders>
              <w:top w:val="single" w:color="000000" w:sz="12" w:space="0"/>
              <w:left w:val="nil"/>
              <w:bottom w:val="nil"/>
              <w:right w:val="nil"/>
            </w:tcBorders>
            <w:shd w:val="clear" w:color="auto" w:fill="auto"/>
            <w:noWrap/>
            <w:vAlign w:val="center"/>
          </w:tcPr>
          <w:p w14:paraId="0D6AE3E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Relative abundance (%)</w:t>
            </w:r>
          </w:p>
        </w:tc>
      </w:tr>
      <w:tr w14:paraId="3CA58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20" w:type="pct"/>
            <w:vMerge w:val="continue"/>
            <w:tcBorders>
              <w:top w:val="nil"/>
              <w:left w:val="nil"/>
              <w:bottom w:val="single" w:color="000000" w:sz="12" w:space="0"/>
              <w:right w:val="nil"/>
            </w:tcBorders>
            <w:shd w:val="clear" w:color="auto" w:fill="auto"/>
            <w:noWrap/>
            <w:vAlign w:val="center"/>
          </w:tcPr>
          <w:p w14:paraId="5979BC98">
            <w:pPr>
              <w:keepNext w:val="0"/>
              <w:keepLines w:val="0"/>
              <w:pageBreakBefore w:val="0"/>
              <w:widowControl/>
              <w:kinsoku/>
              <w:wordWrap/>
              <w:overflowPunct/>
              <w:topLinePunct w:val="0"/>
              <w:autoSpaceDE/>
              <w:autoSpaceDN/>
              <w:bidi w:val="0"/>
              <w:adjustRightInd/>
              <w:snapToGrid/>
              <w:spacing w:line="160" w:lineRule="exact"/>
              <w:jc w:val="center"/>
              <w:rPr>
                <w:rFonts w:hint="default" w:ascii="Times New Roman" w:hAnsi="Times New Roman" w:eastAsia="宋体" w:cs="Times New Roman"/>
                <w:i w:val="0"/>
                <w:iCs w:val="0"/>
                <w:color w:val="auto"/>
                <w:sz w:val="21"/>
                <w:szCs w:val="21"/>
                <w:u w:val="none"/>
              </w:rPr>
            </w:pPr>
          </w:p>
        </w:tc>
        <w:tc>
          <w:tcPr>
            <w:tcW w:w="725" w:type="pct"/>
            <w:tcBorders>
              <w:top w:val="nil"/>
              <w:left w:val="nil"/>
              <w:bottom w:val="single" w:color="000000" w:sz="12" w:space="0"/>
              <w:right w:val="nil"/>
            </w:tcBorders>
            <w:shd w:val="clear" w:color="auto" w:fill="auto"/>
            <w:noWrap/>
            <w:vAlign w:val="center"/>
          </w:tcPr>
          <w:p w14:paraId="3EEE8BA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CC</w:t>
            </w:r>
          </w:p>
        </w:tc>
        <w:tc>
          <w:tcPr>
            <w:tcW w:w="694" w:type="pct"/>
            <w:tcBorders>
              <w:top w:val="nil"/>
              <w:left w:val="nil"/>
              <w:bottom w:val="single" w:color="000000" w:sz="12" w:space="0"/>
              <w:right w:val="nil"/>
            </w:tcBorders>
            <w:shd w:val="clear" w:color="auto" w:fill="auto"/>
            <w:noWrap/>
            <w:vAlign w:val="center"/>
          </w:tcPr>
          <w:p w14:paraId="23E7029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PC</w:t>
            </w:r>
          </w:p>
        </w:tc>
        <w:tc>
          <w:tcPr>
            <w:tcW w:w="932" w:type="pct"/>
            <w:vMerge w:val="continue"/>
            <w:tcBorders>
              <w:top w:val="nil"/>
              <w:left w:val="nil"/>
              <w:bottom w:val="single" w:color="000000" w:sz="12" w:space="0"/>
              <w:right w:val="nil"/>
            </w:tcBorders>
            <w:shd w:val="clear" w:color="auto" w:fill="auto"/>
            <w:noWrap/>
            <w:vAlign w:val="center"/>
          </w:tcPr>
          <w:p w14:paraId="51B68292">
            <w:pPr>
              <w:keepNext w:val="0"/>
              <w:keepLines w:val="0"/>
              <w:pageBreakBefore w:val="0"/>
              <w:widowControl/>
              <w:kinsoku/>
              <w:wordWrap/>
              <w:overflowPunct/>
              <w:topLinePunct w:val="0"/>
              <w:autoSpaceDE/>
              <w:autoSpaceDN/>
              <w:bidi w:val="0"/>
              <w:adjustRightInd/>
              <w:snapToGrid/>
              <w:spacing w:line="160" w:lineRule="exact"/>
              <w:jc w:val="center"/>
              <w:rPr>
                <w:rFonts w:hint="default" w:ascii="Times New Roman" w:hAnsi="Times New Roman" w:eastAsia="宋体" w:cs="Times New Roman"/>
                <w:i w:val="0"/>
                <w:iCs w:val="0"/>
                <w:color w:val="auto"/>
                <w:sz w:val="21"/>
                <w:szCs w:val="21"/>
                <w:u w:val="none"/>
              </w:rPr>
            </w:pPr>
          </w:p>
        </w:tc>
        <w:tc>
          <w:tcPr>
            <w:tcW w:w="650" w:type="pct"/>
            <w:tcBorders>
              <w:top w:val="nil"/>
              <w:left w:val="nil"/>
              <w:bottom w:val="single" w:color="000000" w:sz="12" w:space="0"/>
              <w:right w:val="nil"/>
            </w:tcBorders>
            <w:shd w:val="clear" w:color="auto" w:fill="auto"/>
            <w:noWrap/>
            <w:vAlign w:val="center"/>
          </w:tcPr>
          <w:p w14:paraId="0767198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CC</w:t>
            </w:r>
          </w:p>
        </w:tc>
        <w:tc>
          <w:tcPr>
            <w:tcW w:w="676" w:type="pct"/>
            <w:tcBorders>
              <w:top w:val="nil"/>
              <w:left w:val="nil"/>
              <w:bottom w:val="single" w:color="000000" w:sz="12" w:space="0"/>
              <w:right w:val="nil"/>
            </w:tcBorders>
            <w:shd w:val="clear" w:color="auto" w:fill="auto"/>
            <w:noWrap/>
            <w:vAlign w:val="center"/>
          </w:tcPr>
          <w:p w14:paraId="06691A4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PC</w:t>
            </w:r>
          </w:p>
        </w:tc>
      </w:tr>
      <w:tr w14:paraId="439A6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20" w:type="pct"/>
            <w:tcBorders>
              <w:top w:val="single" w:color="000000" w:sz="12" w:space="0"/>
              <w:left w:val="nil"/>
              <w:bottom w:val="nil"/>
              <w:right w:val="nil"/>
            </w:tcBorders>
            <w:shd w:val="clear" w:color="auto" w:fill="B5C6EA"/>
            <w:noWrap/>
            <w:vAlign w:val="center"/>
          </w:tcPr>
          <w:p w14:paraId="14E686D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unclassified_Nostocaceae</w:t>
            </w:r>
          </w:p>
        </w:tc>
        <w:tc>
          <w:tcPr>
            <w:tcW w:w="725" w:type="pct"/>
            <w:tcBorders>
              <w:top w:val="single" w:color="000000" w:sz="12" w:space="0"/>
              <w:left w:val="nil"/>
              <w:bottom w:val="nil"/>
              <w:right w:val="nil"/>
            </w:tcBorders>
            <w:shd w:val="clear" w:color="auto" w:fill="B5C6EA"/>
            <w:noWrap/>
            <w:vAlign w:val="center"/>
          </w:tcPr>
          <w:p w14:paraId="4B5E0C7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6.09±0.59</w:t>
            </w:r>
          </w:p>
        </w:tc>
        <w:tc>
          <w:tcPr>
            <w:tcW w:w="694" w:type="pct"/>
            <w:tcBorders>
              <w:top w:val="single" w:color="000000" w:sz="12" w:space="0"/>
              <w:left w:val="nil"/>
              <w:bottom w:val="nil"/>
              <w:right w:val="nil"/>
            </w:tcBorders>
            <w:shd w:val="clear" w:color="auto" w:fill="B5C6EA"/>
            <w:noWrap/>
            <w:vAlign w:val="center"/>
          </w:tcPr>
          <w:p w14:paraId="29F6C95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9.15±0.8**</w:t>
            </w:r>
          </w:p>
        </w:tc>
        <w:tc>
          <w:tcPr>
            <w:tcW w:w="932" w:type="pct"/>
            <w:tcBorders>
              <w:top w:val="single" w:color="000000" w:sz="12" w:space="0"/>
              <w:left w:val="nil"/>
              <w:bottom w:val="nil"/>
              <w:right w:val="nil"/>
            </w:tcBorders>
            <w:shd w:val="clear" w:color="auto" w:fill="B5C6EA"/>
            <w:noWrap/>
            <w:vAlign w:val="center"/>
          </w:tcPr>
          <w:p w14:paraId="7D6D87D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Pseudolabrys</w:t>
            </w:r>
          </w:p>
        </w:tc>
        <w:tc>
          <w:tcPr>
            <w:tcW w:w="650" w:type="pct"/>
            <w:tcBorders>
              <w:top w:val="single" w:color="000000" w:sz="12" w:space="0"/>
              <w:left w:val="nil"/>
              <w:bottom w:val="nil"/>
              <w:right w:val="nil"/>
            </w:tcBorders>
            <w:shd w:val="clear" w:color="auto" w:fill="B5C6EA"/>
            <w:noWrap/>
            <w:vAlign w:val="center"/>
          </w:tcPr>
          <w:p w14:paraId="23FB18F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0.91±0.11</w:t>
            </w:r>
          </w:p>
        </w:tc>
        <w:tc>
          <w:tcPr>
            <w:tcW w:w="676" w:type="pct"/>
            <w:tcBorders>
              <w:top w:val="single" w:color="000000" w:sz="12" w:space="0"/>
              <w:left w:val="nil"/>
              <w:bottom w:val="nil"/>
              <w:right w:val="nil"/>
            </w:tcBorders>
            <w:shd w:val="clear" w:color="auto" w:fill="B5C6EA"/>
            <w:noWrap/>
            <w:vAlign w:val="center"/>
          </w:tcPr>
          <w:p w14:paraId="3C331FE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1.37±0.03**</w:t>
            </w:r>
          </w:p>
        </w:tc>
      </w:tr>
      <w:tr w14:paraId="081B6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20" w:type="pct"/>
            <w:tcBorders>
              <w:top w:val="nil"/>
              <w:left w:val="nil"/>
              <w:bottom w:val="nil"/>
              <w:right w:val="nil"/>
            </w:tcBorders>
            <w:shd w:val="clear" w:color="auto" w:fill="B5C6EA"/>
            <w:noWrap/>
            <w:vAlign w:val="center"/>
          </w:tcPr>
          <w:p w14:paraId="1B61B75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Sphingomonas</w:t>
            </w:r>
          </w:p>
        </w:tc>
        <w:tc>
          <w:tcPr>
            <w:tcW w:w="725" w:type="pct"/>
            <w:tcBorders>
              <w:top w:val="nil"/>
              <w:left w:val="nil"/>
              <w:bottom w:val="nil"/>
              <w:right w:val="nil"/>
            </w:tcBorders>
            <w:shd w:val="clear" w:color="auto" w:fill="B5C6EA"/>
            <w:noWrap/>
            <w:vAlign w:val="center"/>
          </w:tcPr>
          <w:p w14:paraId="49245E0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5.17±0.46</w:t>
            </w:r>
          </w:p>
        </w:tc>
        <w:tc>
          <w:tcPr>
            <w:tcW w:w="694" w:type="pct"/>
            <w:tcBorders>
              <w:top w:val="nil"/>
              <w:left w:val="nil"/>
              <w:bottom w:val="nil"/>
              <w:right w:val="nil"/>
            </w:tcBorders>
            <w:shd w:val="clear" w:color="auto" w:fill="B5C6EA"/>
            <w:noWrap/>
            <w:vAlign w:val="center"/>
          </w:tcPr>
          <w:p w14:paraId="6ABF6E8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6.14±0.21*</w:t>
            </w:r>
          </w:p>
        </w:tc>
        <w:tc>
          <w:tcPr>
            <w:tcW w:w="932" w:type="pct"/>
            <w:tcBorders>
              <w:top w:val="nil"/>
              <w:left w:val="nil"/>
              <w:bottom w:val="nil"/>
              <w:right w:val="nil"/>
            </w:tcBorders>
            <w:shd w:val="clear" w:color="auto" w:fill="B5C6EA"/>
            <w:noWrap/>
            <w:vAlign w:val="center"/>
          </w:tcPr>
          <w:p w14:paraId="41EB73A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Granulicella</w:t>
            </w:r>
          </w:p>
        </w:tc>
        <w:tc>
          <w:tcPr>
            <w:tcW w:w="650" w:type="pct"/>
            <w:tcBorders>
              <w:top w:val="nil"/>
              <w:left w:val="nil"/>
              <w:bottom w:val="nil"/>
              <w:right w:val="nil"/>
            </w:tcBorders>
            <w:shd w:val="clear" w:color="auto" w:fill="B5C6EA"/>
            <w:noWrap/>
            <w:vAlign w:val="center"/>
          </w:tcPr>
          <w:p w14:paraId="4A3F497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0.57±0.05</w:t>
            </w:r>
          </w:p>
        </w:tc>
        <w:tc>
          <w:tcPr>
            <w:tcW w:w="676" w:type="pct"/>
            <w:tcBorders>
              <w:top w:val="nil"/>
              <w:left w:val="nil"/>
              <w:bottom w:val="nil"/>
              <w:right w:val="nil"/>
            </w:tcBorders>
            <w:shd w:val="clear" w:color="auto" w:fill="B5C6EA"/>
            <w:noWrap/>
            <w:vAlign w:val="center"/>
          </w:tcPr>
          <w:p w14:paraId="3B4CBC1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1.49±0.03**</w:t>
            </w:r>
          </w:p>
        </w:tc>
      </w:tr>
      <w:tr w14:paraId="39142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20" w:type="pct"/>
            <w:tcBorders>
              <w:top w:val="nil"/>
              <w:left w:val="nil"/>
              <w:bottom w:val="nil"/>
              <w:right w:val="nil"/>
            </w:tcBorders>
            <w:shd w:val="clear" w:color="auto" w:fill="B5C6EA"/>
            <w:noWrap/>
            <w:vAlign w:val="center"/>
          </w:tcPr>
          <w:p w14:paraId="5BC2F2D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Mycobacterium</w:t>
            </w:r>
          </w:p>
        </w:tc>
        <w:tc>
          <w:tcPr>
            <w:tcW w:w="725" w:type="pct"/>
            <w:tcBorders>
              <w:top w:val="nil"/>
              <w:left w:val="nil"/>
              <w:bottom w:val="nil"/>
              <w:right w:val="nil"/>
            </w:tcBorders>
            <w:shd w:val="clear" w:color="auto" w:fill="B5C6EA"/>
            <w:noWrap/>
            <w:vAlign w:val="center"/>
          </w:tcPr>
          <w:p w14:paraId="585DF3A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1.79±0.15</w:t>
            </w:r>
          </w:p>
        </w:tc>
        <w:tc>
          <w:tcPr>
            <w:tcW w:w="694" w:type="pct"/>
            <w:tcBorders>
              <w:top w:val="nil"/>
              <w:left w:val="nil"/>
              <w:bottom w:val="nil"/>
              <w:right w:val="nil"/>
            </w:tcBorders>
            <w:shd w:val="clear" w:color="auto" w:fill="B5C6EA"/>
            <w:noWrap/>
            <w:vAlign w:val="center"/>
          </w:tcPr>
          <w:p w14:paraId="075CF03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3.87±0.23**</w:t>
            </w:r>
          </w:p>
        </w:tc>
        <w:tc>
          <w:tcPr>
            <w:tcW w:w="932" w:type="pct"/>
            <w:tcBorders>
              <w:top w:val="nil"/>
              <w:left w:val="nil"/>
              <w:bottom w:val="nil"/>
              <w:right w:val="nil"/>
            </w:tcBorders>
            <w:shd w:val="clear" w:color="auto" w:fill="B5C6EA"/>
            <w:noWrap/>
            <w:vAlign w:val="center"/>
          </w:tcPr>
          <w:p w14:paraId="5E6B066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unclassified_Elsterales</w:t>
            </w:r>
          </w:p>
        </w:tc>
        <w:tc>
          <w:tcPr>
            <w:tcW w:w="650" w:type="pct"/>
            <w:tcBorders>
              <w:top w:val="nil"/>
              <w:left w:val="nil"/>
              <w:bottom w:val="nil"/>
              <w:right w:val="nil"/>
            </w:tcBorders>
            <w:shd w:val="clear" w:color="auto" w:fill="B5C6EA"/>
            <w:noWrap/>
            <w:vAlign w:val="center"/>
          </w:tcPr>
          <w:p w14:paraId="09D3D5E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0.84±0.09</w:t>
            </w:r>
          </w:p>
        </w:tc>
        <w:tc>
          <w:tcPr>
            <w:tcW w:w="676" w:type="pct"/>
            <w:tcBorders>
              <w:top w:val="nil"/>
              <w:left w:val="nil"/>
              <w:bottom w:val="nil"/>
              <w:right w:val="nil"/>
            </w:tcBorders>
            <w:shd w:val="clear" w:color="auto" w:fill="B5C6EA"/>
            <w:noWrap/>
            <w:vAlign w:val="center"/>
          </w:tcPr>
          <w:p w14:paraId="593B389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1.17±0.06**</w:t>
            </w:r>
          </w:p>
        </w:tc>
      </w:tr>
      <w:tr w14:paraId="485EA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20" w:type="pct"/>
            <w:tcBorders>
              <w:top w:val="nil"/>
              <w:left w:val="nil"/>
              <w:bottom w:val="nil"/>
              <w:right w:val="nil"/>
            </w:tcBorders>
            <w:shd w:val="clear" w:color="auto" w:fill="B5C6EA"/>
            <w:noWrap/>
            <w:vAlign w:val="center"/>
          </w:tcPr>
          <w:p w14:paraId="0411348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Rhodanobacter</w:t>
            </w:r>
          </w:p>
        </w:tc>
        <w:tc>
          <w:tcPr>
            <w:tcW w:w="725" w:type="pct"/>
            <w:tcBorders>
              <w:top w:val="nil"/>
              <w:left w:val="nil"/>
              <w:bottom w:val="nil"/>
              <w:right w:val="nil"/>
            </w:tcBorders>
            <w:shd w:val="clear" w:color="auto" w:fill="B5C6EA"/>
            <w:noWrap/>
            <w:vAlign w:val="center"/>
          </w:tcPr>
          <w:p w14:paraId="372306A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2.08±0.05</w:t>
            </w:r>
          </w:p>
        </w:tc>
        <w:tc>
          <w:tcPr>
            <w:tcW w:w="694" w:type="pct"/>
            <w:tcBorders>
              <w:top w:val="nil"/>
              <w:left w:val="nil"/>
              <w:bottom w:val="nil"/>
              <w:right w:val="nil"/>
            </w:tcBorders>
            <w:shd w:val="clear" w:color="auto" w:fill="B5C6EA"/>
            <w:noWrap/>
            <w:vAlign w:val="center"/>
          </w:tcPr>
          <w:p w14:paraId="321C757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3.61±0.13**</w:t>
            </w:r>
          </w:p>
        </w:tc>
        <w:tc>
          <w:tcPr>
            <w:tcW w:w="932" w:type="pct"/>
            <w:tcBorders>
              <w:top w:val="nil"/>
              <w:left w:val="nil"/>
              <w:bottom w:val="nil"/>
              <w:right w:val="nil"/>
            </w:tcBorders>
            <w:shd w:val="clear" w:color="auto" w:fill="B5C6EA"/>
            <w:noWrap/>
            <w:vAlign w:val="center"/>
          </w:tcPr>
          <w:p w14:paraId="13F533B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Acidibacter</w:t>
            </w:r>
          </w:p>
        </w:tc>
        <w:tc>
          <w:tcPr>
            <w:tcW w:w="650" w:type="pct"/>
            <w:tcBorders>
              <w:top w:val="nil"/>
              <w:left w:val="nil"/>
              <w:bottom w:val="nil"/>
              <w:right w:val="nil"/>
            </w:tcBorders>
            <w:shd w:val="clear" w:color="auto" w:fill="B5C6EA"/>
            <w:noWrap/>
            <w:vAlign w:val="center"/>
          </w:tcPr>
          <w:p w14:paraId="00FD3BE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0.84±0.11</w:t>
            </w:r>
          </w:p>
        </w:tc>
        <w:tc>
          <w:tcPr>
            <w:tcW w:w="676" w:type="pct"/>
            <w:tcBorders>
              <w:top w:val="nil"/>
              <w:left w:val="nil"/>
              <w:bottom w:val="nil"/>
              <w:right w:val="nil"/>
            </w:tcBorders>
            <w:shd w:val="clear" w:color="auto" w:fill="B5C6EA"/>
            <w:noWrap/>
            <w:vAlign w:val="center"/>
          </w:tcPr>
          <w:p w14:paraId="6E00AA7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1.26±0.1**</w:t>
            </w:r>
          </w:p>
        </w:tc>
      </w:tr>
      <w:tr w14:paraId="32432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20" w:type="pct"/>
            <w:tcBorders>
              <w:top w:val="nil"/>
              <w:left w:val="nil"/>
              <w:bottom w:val="nil"/>
              <w:right w:val="nil"/>
            </w:tcBorders>
            <w:shd w:val="clear" w:color="auto" w:fill="B5C6EA"/>
            <w:noWrap/>
            <w:vAlign w:val="center"/>
          </w:tcPr>
          <w:p w14:paraId="544769E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unclassified_Bacteria</w:t>
            </w:r>
          </w:p>
        </w:tc>
        <w:tc>
          <w:tcPr>
            <w:tcW w:w="725" w:type="pct"/>
            <w:tcBorders>
              <w:top w:val="nil"/>
              <w:left w:val="nil"/>
              <w:bottom w:val="nil"/>
              <w:right w:val="nil"/>
            </w:tcBorders>
            <w:shd w:val="clear" w:color="auto" w:fill="B5C6EA"/>
            <w:noWrap/>
            <w:vAlign w:val="center"/>
          </w:tcPr>
          <w:p w14:paraId="32E6C1D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2.04±0.16</w:t>
            </w:r>
          </w:p>
        </w:tc>
        <w:tc>
          <w:tcPr>
            <w:tcW w:w="694" w:type="pct"/>
            <w:tcBorders>
              <w:top w:val="nil"/>
              <w:left w:val="nil"/>
              <w:bottom w:val="nil"/>
              <w:right w:val="nil"/>
            </w:tcBorders>
            <w:shd w:val="clear" w:color="auto" w:fill="B5C6EA"/>
            <w:noWrap/>
            <w:vAlign w:val="center"/>
          </w:tcPr>
          <w:p w14:paraId="554697A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2.46±0.18*</w:t>
            </w:r>
          </w:p>
        </w:tc>
        <w:tc>
          <w:tcPr>
            <w:tcW w:w="932" w:type="pct"/>
            <w:tcBorders>
              <w:top w:val="nil"/>
              <w:left w:val="nil"/>
              <w:bottom w:val="nil"/>
              <w:right w:val="nil"/>
            </w:tcBorders>
            <w:shd w:val="clear" w:color="auto" w:fill="B5C6EA"/>
            <w:noWrap/>
            <w:vAlign w:val="center"/>
          </w:tcPr>
          <w:p w14:paraId="24366DA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Humibacter</w:t>
            </w:r>
          </w:p>
        </w:tc>
        <w:tc>
          <w:tcPr>
            <w:tcW w:w="650" w:type="pct"/>
            <w:tcBorders>
              <w:top w:val="nil"/>
              <w:left w:val="nil"/>
              <w:bottom w:val="nil"/>
              <w:right w:val="nil"/>
            </w:tcBorders>
            <w:shd w:val="clear" w:color="auto" w:fill="B5C6EA"/>
            <w:noWrap/>
            <w:vAlign w:val="center"/>
          </w:tcPr>
          <w:p w14:paraId="6D2BD05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0.96±0.17</w:t>
            </w:r>
          </w:p>
        </w:tc>
        <w:tc>
          <w:tcPr>
            <w:tcW w:w="676" w:type="pct"/>
            <w:tcBorders>
              <w:top w:val="nil"/>
              <w:left w:val="nil"/>
              <w:bottom w:val="nil"/>
              <w:right w:val="nil"/>
            </w:tcBorders>
            <w:shd w:val="clear" w:color="auto" w:fill="B5C6EA"/>
            <w:noWrap/>
            <w:vAlign w:val="center"/>
          </w:tcPr>
          <w:p w14:paraId="4E12707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1.73±0.09*8</w:t>
            </w:r>
          </w:p>
        </w:tc>
      </w:tr>
      <w:tr w14:paraId="1D585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20" w:type="pct"/>
            <w:tcBorders>
              <w:top w:val="nil"/>
              <w:left w:val="nil"/>
              <w:bottom w:val="nil"/>
              <w:right w:val="nil"/>
            </w:tcBorders>
            <w:shd w:val="clear" w:color="auto" w:fill="B5C6EA"/>
            <w:vAlign w:val="center"/>
          </w:tcPr>
          <w:p w14:paraId="44625CB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Allorhizobium_Neorhizobium_Pararhizobium_Rhizobium</w:t>
            </w:r>
          </w:p>
        </w:tc>
        <w:tc>
          <w:tcPr>
            <w:tcW w:w="725" w:type="pct"/>
            <w:tcBorders>
              <w:top w:val="nil"/>
              <w:left w:val="nil"/>
              <w:bottom w:val="nil"/>
              <w:right w:val="nil"/>
            </w:tcBorders>
            <w:shd w:val="clear" w:color="auto" w:fill="B5C6EA"/>
            <w:noWrap/>
            <w:vAlign w:val="center"/>
          </w:tcPr>
          <w:p w14:paraId="0015134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5.38±0.84</w:t>
            </w:r>
          </w:p>
        </w:tc>
        <w:tc>
          <w:tcPr>
            <w:tcW w:w="694" w:type="pct"/>
            <w:tcBorders>
              <w:top w:val="nil"/>
              <w:left w:val="nil"/>
              <w:bottom w:val="nil"/>
              <w:right w:val="nil"/>
            </w:tcBorders>
            <w:shd w:val="clear" w:color="auto" w:fill="B5C6EA"/>
            <w:noWrap/>
            <w:vAlign w:val="center"/>
          </w:tcPr>
          <w:p w14:paraId="3D43A7D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0.84±0.11**</w:t>
            </w:r>
          </w:p>
        </w:tc>
        <w:tc>
          <w:tcPr>
            <w:tcW w:w="932" w:type="pct"/>
            <w:tcBorders>
              <w:top w:val="nil"/>
              <w:left w:val="nil"/>
              <w:bottom w:val="nil"/>
              <w:right w:val="nil"/>
            </w:tcBorders>
            <w:shd w:val="clear" w:color="auto" w:fill="B5C6EA"/>
            <w:noWrap/>
            <w:vAlign w:val="center"/>
          </w:tcPr>
          <w:p w14:paraId="42B9628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Bradyrhizobium</w:t>
            </w:r>
          </w:p>
        </w:tc>
        <w:tc>
          <w:tcPr>
            <w:tcW w:w="650" w:type="pct"/>
            <w:tcBorders>
              <w:top w:val="nil"/>
              <w:left w:val="nil"/>
              <w:bottom w:val="nil"/>
              <w:right w:val="nil"/>
            </w:tcBorders>
            <w:shd w:val="clear" w:color="auto" w:fill="B5C6EA"/>
            <w:noWrap/>
            <w:vAlign w:val="center"/>
          </w:tcPr>
          <w:p w14:paraId="698E291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0.92±0.07</w:t>
            </w:r>
          </w:p>
        </w:tc>
        <w:tc>
          <w:tcPr>
            <w:tcW w:w="676" w:type="pct"/>
            <w:tcBorders>
              <w:top w:val="nil"/>
              <w:left w:val="nil"/>
              <w:bottom w:val="nil"/>
              <w:right w:val="nil"/>
            </w:tcBorders>
            <w:shd w:val="clear" w:color="auto" w:fill="B5C6EA"/>
            <w:noWrap/>
            <w:vAlign w:val="center"/>
          </w:tcPr>
          <w:p w14:paraId="6A5E92B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1.36±0.01**</w:t>
            </w:r>
          </w:p>
        </w:tc>
      </w:tr>
      <w:tr w14:paraId="51A22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20" w:type="pct"/>
            <w:tcBorders>
              <w:top w:val="nil"/>
              <w:left w:val="nil"/>
              <w:bottom w:val="nil"/>
              <w:right w:val="nil"/>
            </w:tcBorders>
            <w:shd w:val="clear" w:color="auto" w:fill="B5C6EA"/>
            <w:noWrap/>
            <w:vAlign w:val="center"/>
          </w:tcPr>
          <w:p w14:paraId="777C101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unclassified_Gaiellales</w:t>
            </w:r>
          </w:p>
        </w:tc>
        <w:tc>
          <w:tcPr>
            <w:tcW w:w="725" w:type="pct"/>
            <w:tcBorders>
              <w:top w:val="nil"/>
              <w:left w:val="nil"/>
              <w:bottom w:val="nil"/>
              <w:right w:val="nil"/>
            </w:tcBorders>
            <w:shd w:val="clear" w:color="auto" w:fill="B5C6EA"/>
            <w:noWrap/>
            <w:vAlign w:val="center"/>
          </w:tcPr>
          <w:p w14:paraId="02B5C46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1.33±0.11</w:t>
            </w:r>
          </w:p>
        </w:tc>
        <w:tc>
          <w:tcPr>
            <w:tcW w:w="694" w:type="pct"/>
            <w:tcBorders>
              <w:top w:val="nil"/>
              <w:left w:val="nil"/>
              <w:bottom w:val="nil"/>
              <w:right w:val="nil"/>
            </w:tcBorders>
            <w:shd w:val="clear" w:color="auto" w:fill="B5C6EA"/>
            <w:noWrap/>
            <w:vAlign w:val="center"/>
          </w:tcPr>
          <w:p w14:paraId="2B457F5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2.22±0.05**</w:t>
            </w:r>
          </w:p>
        </w:tc>
        <w:tc>
          <w:tcPr>
            <w:tcW w:w="932" w:type="pct"/>
            <w:tcBorders>
              <w:top w:val="nil"/>
              <w:left w:val="nil"/>
              <w:bottom w:val="nil"/>
              <w:right w:val="nil"/>
            </w:tcBorders>
            <w:shd w:val="clear" w:color="auto" w:fill="B5C6EA"/>
            <w:noWrap/>
            <w:vAlign w:val="center"/>
          </w:tcPr>
          <w:p w14:paraId="2147DBF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Ralstonia</w:t>
            </w:r>
          </w:p>
        </w:tc>
        <w:tc>
          <w:tcPr>
            <w:tcW w:w="650" w:type="pct"/>
            <w:tcBorders>
              <w:top w:val="nil"/>
              <w:left w:val="nil"/>
              <w:bottom w:val="nil"/>
              <w:right w:val="nil"/>
            </w:tcBorders>
            <w:shd w:val="clear" w:color="auto" w:fill="B5C6EA"/>
            <w:noWrap/>
            <w:vAlign w:val="center"/>
          </w:tcPr>
          <w:p w14:paraId="0E99408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1.49±0.11</w:t>
            </w:r>
          </w:p>
        </w:tc>
        <w:tc>
          <w:tcPr>
            <w:tcW w:w="676" w:type="pct"/>
            <w:tcBorders>
              <w:top w:val="nil"/>
              <w:left w:val="nil"/>
              <w:bottom w:val="nil"/>
              <w:right w:val="nil"/>
            </w:tcBorders>
            <w:shd w:val="clear" w:color="auto" w:fill="B5C6EA"/>
            <w:noWrap/>
            <w:vAlign w:val="center"/>
          </w:tcPr>
          <w:p w14:paraId="4B1B424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1.14±0.07*</w:t>
            </w:r>
          </w:p>
        </w:tc>
      </w:tr>
      <w:tr w14:paraId="6898B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20" w:type="pct"/>
            <w:tcBorders>
              <w:top w:val="nil"/>
              <w:left w:val="nil"/>
              <w:bottom w:val="nil"/>
              <w:right w:val="nil"/>
            </w:tcBorders>
            <w:shd w:val="clear" w:color="auto" w:fill="B5C6EA"/>
            <w:noWrap/>
            <w:vAlign w:val="center"/>
          </w:tcPr>
          <w:p w14:paraId="799F2F9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Streptomyces</w:t>
            </w:r>
          </w:p>
        </w:tc>
        <w:tc>
          <w:tcPr>
            <w:tcW w:w="725" w:type="pct"/>
            <w:tcBorders>
              <w:top w:val="nil"/>
              <w:left w:val="nil"/>
              <w:bottom w:val="nil"/>
              <w:right w:val="nil"/>
            </w:tcBorders>
            <w:shd w:val="clear" w:color="auto" w:fill="B5C6EA"/>
            <w:noWrap/>
            <w:vAlign w:val="center"/>
          </w:tcPr>
          <w:p w14:paraId="3CFB67B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3.03±0.42</w:t>
            </w:r>
          </w:p>
        </w:tc>
        <w:tc>
          <w:tcPr>
            <w:tcW w:w="694" w:type="pct"/>
            <w:tcBorders>
              <w:top w:val="nil"/>
              <w:left w:val="nil"/>
              <w:bottom w:val="nil"/>
              <w:right w:val="nil"/>
            </w:tcBorders>
            <w:shd w:val="clear" w:color="auto" w:fill="B5C6EA"/>
            <w:noWrap/>
            <w:vAlign w:val="center"/>
          </w:tcPr>
          <w:p w14:paraId="2AFF5B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1.58±0.12**</w:t>
            </w:r>
          </w:p>
        </w:tc>
        <w:tc>
          <w:tcPr>
            <w:tcW w:w="932" w:type="pct"/>
            <w:tcBorders>
              <w:top w:val="nil"/>
              <w:left w:val="nil"/>
              <w:bottom w:val="nil"/>
              <w:right w:val="nil"/>
            </w:tcBorders>
            <w:shd w:val="clear" w:color="auto" w:fill="FEE796"/>
            <w:noWrap/>
            <w:vAlign w:val="center"/>
          </w:tcPr>
          <w:p w14:paraId="3E9AB6C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Cladosporium</w:t>
            </w:r>
          </w:p>
        </w:tc>
        <w:tc>
          <w:tcPr>
            <w:tcW w:w="650" w:type="pct"/>
            <w:tcBorders>
              <w:top w:val="nil"/>
              <w:left w:val="nil"/>
              <w:bottom w:val="nil"/>
              <w:right w:val="nil"/>
            </w:tcBorders>
            <w:shd w:val="clear" w:color="auto" w:fill="FEE796"/>
            <w:noWrap/>
            <w:vAlign w:val="center"/>
          </w:tcPr>
          <w:p w14:paraId="6B3D26A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13.95±0.33</w:t>
            </w:r>
          </w:p>
        </w:tc>
        <w:tc>
          <w:tcPr>
            <w:tcW w:w="676" w:type="pct"/>
            <w:tcBorders>
              <w:top w:val="nil"/>
              <w:left w:val="nil"/>
              <w:bottom w:val="nil"/>
              <w:right w:val="nil"/>
            </w:tcBorders>
            <w:shd w:val="clear" w:color="auto" w:fill="FEE796"/>
            <w:noWrap/>
            <w:vAlign w:val="center"/>
          </w:tcPr>
          <w:p w14:paraId="59EAE34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16.81±0.7**</w:t>
            </w:r>
          </w:p>
        </w:tc>
      </w:tr>
      <w:tr w14:paraId="0B0FF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20" w:type="pct"/>
            <w:tcBorders>
              <w:top w:val="nil"/>
              <w:left w:val="nil"/>
              <w:bottom w:val="nil"/>
              <w:right w:val="nil"/>
            </w:tcBorders>
            <w:shd w:val="clear" w:color="auto" w:fill="B5C6EA"/>
            <w:vAlign w:val="center"/>
          </w:tcPr>
          <w:p w14:paraId="3F08208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unclassified_Acidobacteriaceae__Subgroup_1</w:t>
            </w:r>
          </w:p>
        </w:tc>
        <w:tc>
          <w:tcPr>
            <w:tcW w:w="725" w:type="pct"/>
            <w:tcBorders>
              <w:top w:val="nil"/>
              <w:left w:val="nil"/>
              <w:bottom w:val="nil"/>
              <w:right w:val="nil"/>
            </w:tcBorders>
            <w:shd w:val="clear" w:color="auto" w:fill="B5C6EA"/>
            <w:noWrap/>
            <w:vAlign w:val="center"/>
          </w:tcPr>
          <w:p w14:paraId="76F5178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1.18±0.06</w:t>
            </w:r>
          </w:p>
        </w:tc>
        <w:tc>
          <w:tcPr>
            <w:tcW w:w="694" w:type="pct"/>
            <w:tcBorders>
              <w:top w:val="nil"/>
              <w:left w:val="nil"/>
              <w:bottom w:val="nil"/>
              <w:right w:val="nil"/>
            </w:tcBorders>
            <w:shd w:val="clear" w:color="auto" w:fill="B5C6EA"/>
            <w:noWrap/>
            <w:vAlign w:val="center"/>
          </w:tcPr>
          <w:p w14:paraId="61FE5D2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1.88±0.16**</w:t>
            </w:r>
          </w:p>
        </w:tc>
        <w:tc>
          <w:tcPr>
            <w:tcW w:w="932" w:type="pct"/>
            <w:tcBorders>
              <w:top w:val="nil"/>
              <w:left w:val="nil"/>
              <w:bottom w:val="nil"/>
              <w:right w:val="nil"/>
            </w:tcBorders>
            <w:shd w:val="clear" w:color="auto" w:fill="FEE796"/>
            <w:noWrap/>
            <w:vAlign w:val="center"/>
          </w:tcPr>
          <w:p w14:paraId="71001DB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unidentified fungi</w:t>
            </w:r>
          </w:p>
        </w:tc>
        <w:tc>
          <w:tcPr>
            <w:tcW w:w="650" w:type="pct"/>
            <w:tcBorders>
              <w:top w:val="nil"/>
              <w:left w:val="nil"/>
              <w:bottom w:val="nil"/>
              <w:right w:val="nil"/>
            </w:tcBorders>
            <w:shd w:val="clear" w:color="auto" w:fill="FEE796"/>
            <w:noWrap/>
            <w:vAlign w:val="center"/>
          </w:tcPr>
          <w:p w14:paraId="3823A89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5.97±0.51</w:t>
            </w:r>
          </w:p>
        </w:tc>
        <w:tc>
          <w:tcPr>
            <w:tcW w:w="676" w:type="pct"/>
            <w:tcBorders>
              <w:top w:val="nil"/>
              <w:left w:val="nil"/>
              <w:bottom w:val="nil"/>
              <w:right w:val="nil"/>
            </w:tcBorders>
            <w:shd w:val="clear" w:color="auto" w:fill="FEE796"/>
            <w:noWrap/>
            <w:vAlign w:val="center"/>
          </w:tcPr>
          <w:p w14:paraId="0E813CA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19.39±0.73**</w:t>
            </w:r>
          </w:p>
        </w:tc>
      </w:tr>
      <w:tr w14:paraId="0F0C4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20" w:type="pct"/>
            <w:tcBorders>
              <w:top w:val="nil"/>
              <w:left w:val="nil"/>
              <w:bottom w:val="nil"/>
              <w:right w:val="nil"/>
            </w:tcBorders>
            <w:shd w:val="clear" w:color="auto" w:fill="B5C6EA"/>
            <w:noWrap/>
            <w:vAlign w:val="center"/>
          </w:tcPr>
          <w:p w14:paraId="6E0B945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unclassified_Gemmatimonadaceae</w:t>
            </w:r>
          </w:p>
        </w:tc>
        <w:tc>
          <w:tcPr>
            <w:tcW w:w="725" w:type="pct"/>
            <w:tcBorders>
              <w:top w:val="nil"/>
              <w:left w:val="nil"/>
              <w:bottom w:val="nil"/>
              <w:right w:val="nil"/>
            </w:tcBorders>
            <w:shd w:val="clear" w:color="auto" w:fill="B5C6EA"/>
            <w:noWrap/>
            <w:vAlign w:val="center"/>
          </w:tcPr>
          <w:p w14:paraId="5501E11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1.6±0.16</w:t>
            </w:r>
          </w:p>
        </w:tc>
        <w:tc>
          <w:tcPr>
            <w:tcW w:w="694" w:type="pct"/>
            <w:tcBorders>
              <w:top w:val="nil"/>
              <w:left w:val="nil"/>
              <w:bottom w:val="nil"/>
              <w:right w:val="nil"/>
            </w:tcBorders>
            <w:shd w:val="clear" w:color="auto" w:fill="B5C6EA"/>
            <w:noWrap/>
            <w:vAlign w:val="center"/>
          </w:tcPr>
          <w:p w14:paraId="6FB1B38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0.94±0.05**</w:t>
            </w:r>
          </w:p>
        </w:tc>
        <w:tc>
          <w:tcPr>
            <w:tcW w:w="932" w:type="pct"/>
            <w:tcBorders>
              <w:top w:val="nil"/>
              <w:left w:val="nil"/>
              <w:bottom w:val="nil"/>
              <w:right w:val="nil"/>
            </w:tcBorders>
            <w:shd w:val="clear" w:color="auto" w:fill="FEE796"/>
            <w:noWrap/>
            <w:vAlign w:val="center"/>
          </w:tcPr>
          <w:p w14:paraId="076DA60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Penicillium</w:t>
            </w:r>
          </w:p>
        </w:tc>
        <w:tc>
          <w:tcPr>
            <w:tcW w:w="650" w:type="pct"/>
            <w:tcBorders>
              <w:top w:val="nil"/>
              <w:left w:val="nil"/>
              <w:bottom w:val="nil"/>
              <w:right w:val="nil"/>
            </w:tcBorders>
            <w:shd w:val="clear" w:color="auto" w:fill="FEE796"/>
            <w:noWrap/>
            <w:vAlign w:val="center"/>
          </w:tcPr>
          <w:p w14:paraId="568612F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18.89±0.82</w:t>
            </w:r>
          </w:p>
        </w:tc>
        <w:tc>
          <w:tcPr>
            <w:tcW w:w="676" w:type="pct"/>
            <w:tcBorders>
              <w:top w:val="nil"/>
              <w:left w:val="nil"/>
              <w:bottom w:val="nil"/>
              <w:right w:val="nil"/>
            </w:tcBorders>
            <w:shd w:val="clear" w:color="auto" w:fill="FEE796"/>
            <w:noWrap/>
            <w:vAlign w:val="center"/>
          </w:tcPr>
          <w:p w14:paraId="781FF51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10.02±0.99**</w:t>
            </w:r>
          </w:p>
        </w:tc>
      </w:tr>
      <w:tr w14:paraId="49CFB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20" w:type="pct"/>
            <w:tcBorders>
              <w:top w:val="nil"/>
              <w:left w:val="nil"/>
              <w:bottom w:val="nil"/>
              <w:right w:val="nil"/>
            </w:tcBorders>
            <w:shd w:val="clear" w:color="auto" w:fill="B5C6EA"/>
            <w:noWrap/>
            <w:vAlign w:val="center"/>
          </w:tcPr>
          <w:p w14:paraId="15DDD6F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Actinospica</w:t>
            </w:r>
          </w:p>
        </w:tc>
        <w:tc>
          <w:tcPr>
            <w:tcW w:w="725" w:type="pct"/>
            <w:tcBorders>
              <w:top w:val="nil"/>
              <w:left w:val="nil"/>
              <w:bottom w:val="nil"/>
              <w:right w:val="nil"/>
            </w:tcBorders>
            <w:shd w:val="clear" w:color="auto" w:fill="B5C6EA"/>
            <w:noWrap/>
            <w:vAlign w:val="center"/>
          </w:tcPr>
          <w:p w14:paraId="013F3B6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0.75±0.06</w:t>
            </w:r>
          </w:p>
        </w:tc>
        <w:tc>
          <w:tcPr>
            <w:tcW w:w="694" w:type="pct"/>
            <w:tcBorders>
              <w:top w:val="nil"/>
              <w:left w:val="nil"/>
              <w:bottom w:val="nil"/>
              <w:right w:val="nil"/>
            </w:tcBorders>
            <w:shd w:val="clear" w:color="auto" w:fill="B5C6EA"/>
            <w:noWrap/>
            <w:vAlign w:val="center"/>
          </w:tcPr>
          <w:p w14:paraId="23D046D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2.03±0.09**</w:t>
            </w:r>
          </w:p>
        </w:tc>
        <w:tc>
          <w:tcPr>
            <w:tcW w:w="932" w:type="pct"/>
            <w:tcBorders>
              <w:top w:val="nil"/>
              <w:left w:val="nil"/>
              <w:bottom w:val="nil"/>
              <w:right w:val="nil"/>
            </w:tcBorders>
            <w:shd w:val="clear" w:color="auto" w:fill="FEE796"/>
            <w:noWrap/>
            <w:vAlign w:val="center"/>
          </w:tcPr>
          <w:p w14:paraId="29CAD67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unclassified_Sordariomycetes</w:t>
            </w:r>
          </w:p>
        </w:tc>
        <w:tc>
          <w:tcPr>
            <w:tcW w:w="650" w:type="pct"/>
            <w:tcBorders>
              <w:top w:val="nil"/>
              <w:left w:val="nil"/>
              <w:bottom w:val="nil"/>
              <w:right w:val="nil"/>
            </w:tcBorders>
            <w:shd w:val="clear" w:color="auto" w:fill="FEE796"/>
            <w:noWrap/>
            <w:vAlign w:val="center"/>
          </w:tcPr>
          <w:p w14:paraId="3F884D7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5.99±0.17</w:t>
            </w:r>
          </w:p>
        </w:tc>
        <w:tc>
          <w:tcPr>
            <w:tcW w:w="676" w:type="pct"/>
            <w:tcBorders>
              <w:top w:val="nil"/>
              <w:left w:val="nil"/>
              <w:bottom w:val="nil"/>
              <w:right w:val="nil"/>
            </w:tcBorders>
            <w:shd w:val="clear" w:color="auto" w:fill="FEE796"/>
            <w:noWrap/>
            <w:vAlign w:val="center"/>
          </w:tcPr>
          <w:p w14:paraId="1975982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11.74±0.89**</w:t>
            </w:r>
          </w:p>
        </w:tc>
      </w:tr>
      <w:tr w14:paraId="1C7B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20" w:type="pct"/>
            <w:tcBorders>
              <w:top w:val="nil"/>
              <w:left w:val="nil"/>
              <w:bottom w:val="nil"/>
              <w:right w:val="nil"/>
            </w:tcBorders>
            <w:shd w:val="clear" w:color="auto" w:fill="B5C6EA"/>
            <w:noWrap/>
            <w:vAlign w:val="center"/>
          </w:tcPr>
          <w:p w14:paraId="71CD0BF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Bryobacter</w:t>
            </w:r>
          </w:p>
        </w:tc>
        <w:tc>
          <w:tcPr>
            <w:tcW w:w="725" w:type="pct"/>
            <w:tcBorders>
              <w:top w:val="nil"/>
              <w:left w:val="nil"/>
              <w:bottom w:val="nil"/>
              <w:right w:val="nil"/>
            </w:tcBorders>
            <w:shd w:val="clear" w:color="auto" w:fill="B5C6EA"/>
            <w:noWrap/>
            <w:vAlign w:val="center"/>
          </w:tcPr>
          <w:p w14:paraId="16C70EB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1.11±0.05</w:t>
            </w:r>
          </w:p>
        </w:tc>
        <w:tc>
          <w:tcPr>
            <w:tcW w:w="694" w:type="pct"/>
            <w:tcBorders>
              <w:top w:val="nil"/>
              <w:left w:val="nil"/>
              <w:bottom w:val="nil"/>
              <w:right w:val="nil"/>
            </w:tcBorders>
            <w:shd w:val="clear" w:color="auto" w:fill="B5C6EA"/>
            <w:noWrap/>
            <w:vAlign w:val="center"/>
          </w:tcPr>
          <w:p w14:paraId="20F193D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1.64±0.1**</w:t>
            </w:r>
          </w:p>
        </w:tc>
        <w:tc>
          <w:tcPr>
            <w:tcW w:w="932" w:type="pct"/>
            <w:tcBorders>
              <w:top w:val="nil"/>
              <w:left w:val="nil"/>
              <w:bottom w:val="nil"/>
              <w:right w:val="nil"/>
            </w:tcBorders>
            <w:shd w:val="clear" w:color="auto" w:fill="FEE796"/>
            <w:noWrap/>
            <w:vAlign w:val="center"/>
          </w:tcPr>
          <w:p w14:paraId="69EAE44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Fusarium</w:t>
            </w:r>
          </w:p>
        </w:tc>
        <w:tc>
          <w:tcPr>
            <w:tcW w:w="650" w:type="pct"/>
            <w:tcBorders>
              <w:top w:val="nil"/>
              <w:left w:val="nil"/>
              <w:bottom w:val="nil"/>
              <w:right w:val="nil"/>
            </w:tcBorders>
            <w:shd w:val="clear" w:color="auto" w:fill="FEE796"/>
            <w:noWrap/>
            <w:vAlign w:val="center"/>
          </w:tcPr>
          <w:p w14:paraId="78154FA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19.35±0.6</w:t>
            </w:r>
          </w:p>
        </w:tc>
        <w:tc>
          <w:tcPr>
            <w:tcW w:w="676" w:type="pct"/>
            <w:tcBorders>
              <w:top w:val="nil"/>
              <w:left w:val="nil"/>
              <w:bottom w:val="nil"/>
              <w:right w:val="nil"/>
            </w:tcBorders>
            <w:shd w:val="clear" w:color="auto" w:fill="FEE796"/>
            <w:noWrap/>
            <w:vAlign w:val="center"/>
          </w:tcPr>
          <w:p w14:paraId="367F6B7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2.5±0.77**</w:t>
            </w:r>
          </w:p>
        </w:tc>
      </w:tr>
      <w:tr w14:paraId="04264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20" w:type="pct"/>
            <w:tcBorders>
              <w:top w:val="nil"/>
              <w:left w:val="nil"/>
              <w:bottom w:val="nil"/>
              <w:right w:val="nil"/>
            </w:tcBorders>
            <w:shd w:val="clear" w:color="auto" w:fill="B5C6EA"/>
            <w:noWrap/>
            <w:vAlign w:val="center"/>
          </w:tcPr>
          <w:p w14:paraId="19FBF33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unclassified_Frankiales</w:t>
            </w:r>
          </w:p>
        </w:tc>
        <w:tc>
          <w:tcPr>
            <w:tcW w:w="725" w:type="pct"/>
            <w:tcBorders>
              <w:top w:val="nil"/>
              <w:left w:val="nil"/>
              <w:bottom w:val="nil"/>
              <w:right w:val="nil"/>
            </w:tcBorders>
            <w:shd w:val="clear" w:color="auto" w:fill="B5C6EA"/>
            <w:noWrap/>
            <w:vAlign w:val="center"/>
          </w:tcPr>
          <w:p w14:paraId="6D89F9F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0.93±0.06</w:t>
            </w:r>
          </w:p>
        </w:tc>
        <w:tc>
          <w:tcPr>
            <w:tcW w:w="694" w:type="pct"/>
            <w:tcBorders>
              <w:top w:val="nil"/>
              <w:left w:val="nil"/>
              <w:bottom w:val="nil"/>
              <w:right w:val="nil"/>
            </w:tcBorders>
            <w:shd w:val="clear" w:color="auto" w:fill="B5C6EA"/>
            <w:noWrap/>
            <w:vAlign w:val="center"/>
          </w:tcPr>
          <w:p w14:paraId="78C3341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1.5±0.1**</w:t>
            </w:r>
          </w:p>
        </w:tc>
        <w:tc>
          <w:tcPr>
            <w:tcW w:w="932" w:type="pct"/>
            <w:tcBorders>
              <w:top w:val="nil"/>
              <w:left w:val="nil"/>
              <w:bottom w:val="nil"/>
              <w:right w:val="nil"/>
            </w:tcBorders>
            <w:shd w:val="clear" w:color="auto" w:fill="FEE796"/>
            <w:noWrap/>
            <w:vAlign w:val="center"/>
          </w:tcPr>
          <w:p w14:paraId="5095246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Alternaria</w:t>
            </w:r>
          </w:p>
        </w:tc>
        <w:tc>
          <w:tcPr>
            <w:tcW w:w="650" w:type="pct"/>
            <w:tcBorders>
              <w:top w:val="nil"/>
              <w:left w:val="nil"/>
              <w:bottom w:val="nil"/>
              <w:right w:val="nil"/>
            </w:tcBorders>
            <w:shd w:val="clear" w:color="auto" w:fill="FEE796"/>
            <w:noWrap/>
            <w:vAlign w:val="center"/>
          </w:tcPr>
          <w:p w14:paraId="0B81A78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4.24±0.43</w:t>
            </w:r>
          </w:p>
        </w:tc>
        <w:tc>
          <w:tcPr>
            <w:tcW w:w="676" w:type="pct"/>
            <w:tcBorders>
              <w:top w:val="nil"/>
              <w:left w:val="nil"/>
              <w:bottom w:val="nil"/>
              <w:right w:val="nil"/>
            </w:tcBorders>
            <w:shd w:val="clear" w:color="auto" w:fill="FEE796"/>
            <w:noWrap/>
            <w:vAlign w:val="center"/>
          </w:tcPr>
          <w:p w14:paraId="18FE692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6.59±0.21**</w:t>
            </w:r>
          </w:p>
        </w:tc>
      </w:tr>
      <w:tr w14:paraId="39811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320" w:type="pct"/>
            <w:tcBorders>
              <w:top w:val="nil"/>
              <w:left w:val="nil"/>
              <w:bottom w:val="nil"/>
              <w:right w:val="nil"/>
            </w:tcBorders>
            <w:shd w:val="clear" w:color="auto" w:fill="B5C6EA"/>
            <w:noWrap/>
            <w:vAlign w:val="center"/>
          </w:tcPr>
          <w:p w14:paraId="4CE8FC2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Bordetella</w:t>
            </w:r>
          </w:p>
        </w:tc>
        <w:tc>
          <w:tcPr>
            <w:tcW w:w="725" w:type="pct"/>
            <w:tcBorders>
              <w:top w:val="nil"/>
              <w:left w:val="nil"/>
              <w:bottom w:val="nil"/>
              <w:right w:val="nil"/>
            </w:tcBorders>
            <w:shd w:val="clear" w:color="auto" w:fill="B5C6EA"/>
            <w:noWrap/>
            <w:vAlign w:val="center"/>
          </w:tcPr>
          <w:p w14:paraId="5B6112A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1.27±0.06</w:t>
            </w:r>
          </w:p>
        </w:tc>
        <w:tc>
          <w:tcPr>
            <w:tcW w:w="694" w:type="pct"/>
            <w:tcBorders>
              <w:top w:val="nil"/>
              <w:left w:val="nil"/>
              <w:bottom w:val="nil"/>
              <w:right w:val="nil"/>
            </w:tcBorders>
            <w:shd w:val="clear" w:color="auto" w:fill="B5C6EA"/>
            <w:noWrap/>
            <w:vAlign w:val="center"/>
          </w:tcPr>
          <w:p w14:paraId="5EEA450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1.64±0.05**</w:t>
            </w:r>
          </w:p>
        </w:tc>
        <w:tc>
          <w:tcPr>
            <w:tcW w:w="932" w:type="pct"/>
            <w:tcBorders>
              <w:top w:val="nil"/>
              <w:left w:val="nil"/>
              <w:bottom w:val="nil"/>
              <w:right w:val="nil"/>
            </w:tcBorders>
            <w:shd w:val="clear" w:color="auto" w:fill="FEE796"/>
            <w:noWrap/>
            <w:vAlign w:val="center"/>
          </w:tcPr>
          <w:p w14:paraId="23ADEB1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unclassified_Nectriaceae</w:t>
            </w:r>
          </w:p>
        </w:tc>
        <w:tc>
          <w:tcPr>
            <w:tcW w:w="650" w:type="pct"/>
            <w:tcBorders>
              <w:top w:val="nil"/>
              <w:left w:val="nil"/>
              <w:bottom w:val="nil"/>
              <w:right w:val="nil"/>
            </w:tcBorders>
            <w:shd w:val="clear" w:color="auto" w:fill="FEE796"/>
            <w:noWrap/>
            <w:vAlign w:val="center"/>
          </w:tcPr>
          <w:p w14:paraId="19E2E84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0.86±0.16</w:t>
            </w:r>
          </w:p>
        </w:tc>
        <w:tc>
          <w:tcPr>
            <w:tcW w:w="676" w:type="pct"/>
            <w:tcBorders>
              <w:top w:val="nil"/>
              <w:left w:val="nil"/>
              <w:bottom w:val="nil"/>
              <w:right w:val="nil"/>
            </w:tcBorders>
            <w:shd w:val="clear" w:color="auto" w:fill="FEE796"/>
            <w:noWrap/>
            <w:vAlign w:val="center"/>
          </w:tcPr>
          <w:p w14:paraId="6D7BA89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6.64±0.42**</w:t>
            </w:r>
          </w:p>
        </w:tc>
      </w:tr>
      <w:tr w14:paraId="07699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320" w:type="pct"/>
            <w:tcBorders>
              <w:top w:val="nil"/>
              <w:left w:val="nil"/>
              <w:bottom w:val="single" w:color="auto" w:sz="12" w:space="0"/>
              <w:right w:val="nil"/>
            </w:tcBorders>
            <w:shd w:val="clear" w:color="auto" w:fill="B5C6EA"/>
            <w:noWrap/>
            <w:vAlign w:val="center"/>
          </w:tcPr>
          <w:p w14:paraId="33F4103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Chujaibacter</w:t>
            </w:r>
          </w:p>
        </w:tc>
        <w:tc>
          <w:tcPr>
            <w:tcW w:w="725" w:type="pct"/>
            <w:tcBorders>
              <w:top w:val="nil"/>
              <w:left w:val="nil"/>
              <w:bottom w:val="single" w:color="auto" w:sz="12" w:space="0"/>
              <w:right w:val="nil"/>
            </w:tcBorders>
            <w:shd w:val="clear" w:color="auto" w:fill="B5C6EA"/>
            <w:noWrap/>
            <w:vAlign w:val="center"/>
          </w:tcPr>
          <w:p w14:paraId="41FE886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0.99±0.12</w:t>
            </w:r>
          </w:p>
        </w:tc>
        <w:tc>
          <w:tcPr>
            <w:tcW w:w="694" w:type="pct"/>
            <w:tcBorders>
              <w:top w:val="nil"/>
              <w:left w:val="nil"/>
              <w:bottom w:val="single" w:color="auto" w:sz="12" w:space="0"/>
              <w:right w:val="nil"/>
            </w:tcBorders>
            <w:shd w:val="clear" w:color="auto" w:fill="B5C6EA"/>
            <w:noWrap/>
            <w:vAlign w:val="center"/>
          </w:tcPr>
          <w:p w14:paraId="605D642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1.83±0.04**</w:t>
            </w:r>
          </w:p>
        </w:tc>
        <w:tc>
          <w:tcPr>
            <w:tcW w:w="932" w:type="pct"/>
            <w:tcBorders>
              <w:top w:val="nil"/>
              <w:left w:val="nil"/>
              <w:bottom w:val="single" w:color="auto" w:sz="12" w:space="0"/>
              <w:right w:val="nil"/>
            </w:tcBorders>
            <w:shd w:val="clear" w:color="auto" w:fill="FEE796"/>
            <w:noWrap/>
            <w:vAlign w:val="center"/>
          </w:tcPr>
          <w:p w14:paraId="20FAEA8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Paraphoma</w:t>
            </w:r>
          </w:p>
        </w:tc>
        <w:tc>
          <w:tcPr>
            <w:tcW w:w="650" w:type="pct"/>
            <w:tcBorders>
              <w:top w:val="nil"/>
              <w:left w:val="nil"/>
              <w:bottom w:val="single" w:color="auto" w:sz="12" w:space="0"/>
              <w:right w:val="nil"/>
            </w:tcBorders>
            <w:shd w:val="clear" w:color="auto" w:fill="FEE796"/>
            <w:noWrap/>
            <w:vAlign w:val="center"/>
          </w:tcPr>
          <w:p w14:paraId="1312032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2.2±0.19</w:t>
            </w:r>
          </w:p>
        </w:tc>
        <w:tc>
          <w:tcPr>
            <w:tcW w:w="676" w:type="pct"/>
            <w:tcBorders>
              <w:top w:val="nil"/>
              <w:left w:val="nil"/>
              <w:bottom w:val="single" w:color="auto" w:sz="12" w:space="0"/>
              <w:right w:val="nil"/>
            </w:tcBorders>
            <w:shd w:val="clear" w:color="auto" w:fill="FEE796"/>
            <w:noWrap/>
            <w:vAlign w:val="center"/>
          </w:tcPr>
          <w:p w14:paraId="3AEC5F7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0.74±0.16**</w:t>
            </w:r>
          </w:p>
        </w:tc>
      </w:tr>
    </w:tbl>
    <w:p w14:paraId="7AE5A984">
      <w:pPr>
        <w:keepNext w:val="0"/>
        <w:keepLines w:val="0"/>
        <w:pageBreakBefore w:val="0"/>
        <w:widowControl/>
        <w:kinsoku/>
        <w:wordWrap/>
        <w:overflowPunct/>
        <w:topLinePunct w:val="0"/>
        <w:autoSpaceDE/>
        <w:autoSpaceDN/>
        <w:bidi w:val="0"/>
        <w:adjustRightInd/>
        <w:snapToGrid/>
        <w:spacing w:before="120"/>
        <w:jc w:val="both"/>
        <w:textAlignment w:val="auto"/>
        <w:rPr>
          <w:rFonts w:hint="default" w:ascii="Times New Roman" w:hAnsi="Times New Roman" w:cs="Times New Roman"/>
          <w:b/>
          <w:color w:val="auto"/>
          <w:sz w:val="24"/>
          <w:szCs w:val="24"/>
        </w:rPr>
      </w:pPr>
    </w:p>
    <w:p w14:paraId="14D12C6F">
      <w:pPr>
        <w:keepNext w:val="0"/>
        <w:keepLines w:val="0"/>
        <w:pageBreakBefore w:val="0"/>
        <w:widowControl/>
        <w:kinsoku/>
        <w:wordWrap/>
        <w:overflowPunct/>
        <w:topLinePunct w:val="0"/>
        <w:autoSpaceDE/>
        <w:autoSpaceDN/>
        <w:bidi w:val="0"/>
        <w:adjustRightInd/>
        <w:snapToGrid/>
        <w:spacing w:before="120"/>
        <w:jc w:val="both"/>
        <w:textAlignment w:val="auto"/>
        <w:rPr>
          <w:rFonts w:hint="default" w:ascii="Times New Roman" w:hAnsi="Times New Roman" w:cs="Times New Roman"/>
          <w:b/>
          <w:color w:val="auto"/>
          <w:sz w:val="24"/>
          <w:szCs w:val="24"/>
        </w:rPr>
      </w:pPr>
    </w:p>
    <w:p w14:paraId="434DE50C">
      <w:pPr>
        <w:keepNext w:val="0"/>
        <w:keepLines w:val="0"/>
        <w:pageBreakBefore w:val="0"/>
        <w:widowControl/>
        <w:kinsoku/>
        <w:wordWrap/>
        <w:overflowPunct/>
        <w:topLinePunct w:val="0"/>
        <w:autoSpaceDE/>
        <w:autoSpaceDN/>
        <w:bidi w:val="0"/>
        <w:adjustRightInd/>
        <w:snapToGrid/>
        <w:spacing w:before="120"/>
        <w:jc w:val="both"/>
        <w:textAlignment w:val="auto"/>
        <w:rPr>
          <w:rFonts w:hint="default" w:ascii="Times New Roman" w:hAnsi="Times New Roman" w:cs="Times New Roman"/>
          <w:b/>
          <w:color w:val="auto"/>
          <w:sz w:val="24"/>
          <w:szCs w:val="24"/>
        </w:rPr>
      </w:pPr>
    </w:p>
    <w:p w14:paraId="507B364A">
      <w:pPr>
        <w:keepNext w:val="0"/>
        <w:keepLines w:val="0"/>
        <w:pageBreakBefore w:val="0"/>
        <w:widowControl/>
        <w:kinsoku/>
        <w:wordWrap/>
        <w:overflowPunct/>
        <w:topLinePunct w:val="0"/>
        <w:autoSpaceDE/>
        <w:autoSpaceDN/>
        <w:bidi w:val="0"/>
        <w:adjustRightInd/>
        <w:snapToGrid/>
        <w:spacing w:before="120"/>
        <w:jc w:val="both"/>
        <w:textAlignment w:val="auto"/>
        <w:rPr>
          <w:rFonts w:hint="default" w:ascii="Times New Roman" w:hAnsi="Times New Roman" w:cs="Times New Roman"/>
          <w:b/>
          <w:color w:val="auto"/>
          <w:sz w:val="24"/>
          <w:szCs w:val="24"/>
        </w:rPr>
      </w:pPr>
    </w:p>
    <w:p w14:paraId="14C6DE2C">
      <w:pPr>
        <w:keepNext w:val="0"/>
        <w:keepLines w:val="0"/>
        <w:pageBreakBefore w:val="0"/>
        <w:widowControl/>
        <w:kinsoku/>
        <w:wordWrap/>
        <w:overflowPunct/>
        <w:topLinePunct w:val="0"/>
        <w:autoSpaceDE/>
        <w:autoSpaceDN/>
        <w:bidi w:val="0"/>
        <w:adjustRightInd/>
        <w:snapToGrid/>
        <w:spacing w:before="120"/>
        <w:jc w:val="both"/>
        <w:textAlignment w:val="auto"/>
        <w:rPr>
          <w:rFonts w:hint="default" w:ascii="Times New Roman" w:hAnsi="Times New Roman" w:cs="Times New Roman"/>
          <w:b/>
          <w:color w:val="auto"/>
          <w:sz w:val="24"/>
          <w:szCs w:val="24"/>
          <w:lang w:val="en-US" w:eastAsia="zh-CN"/>
        </w:rPr>
      </w:pPr>
      <w:r>
        <w:rPr>
          <w:rFonts w:hint="default" w:ascii="Times New Roman" w:hAnsi="Times New Roman" w:cs="Times New Roman"/>
          <w:b/>
          <w:color w:val="auto"/>
          <w:sz w:val="24"/>
          <w:szCs w:val="24"/>
        </w:rPr>
        <w:t xml:space="preserve">Supplementary </w:t>
      </w:r>
      <w:r>
        <w:rPr>
          <w:rFonts w:hint="default" w:ascii="Times New Roman" w:hAnsi="Times New Roman" w:cs="Times New Roman"/>
          <w:b/>
          <w:color w:val="auto"/>
          <w:sz w:val="24"/>
          <w:szCs w:val="24"/>
          <w:lang w:val="en-US" w:eastAsia="zh-CN"/>
        </w:rPr>
        <w:t>Table</w:t>
      </w:r>
      <w:r>
        <w:rPr>
          <w:rFonts w:hint="default" w:ascii="Times New Roman" w:hAnsi="Times New Roman" w:cs="Times New Roman"/>
          <w:b/>
          <w:color w:val="auto"/>
          <w:sz w:val="24"/>
          <w:szCs w:val="24"/>
        </w:rPr>
        <w:t xml:space="preserve"> </w:t>
      </w:r>
      <w:r>
        <w:rPr>
          <w:rFonts w:hint="eastAsia" w:eastAsia="宋体" w:cs="Times New Roman"/>
          <w:b/>
          <w:color w:val="auto"/>
          <w:sz w:val="24"/>
          <w:szCs w:val="24"/>
          <w:lang w:val="en-US" w:eastAsia="zh-CN"/>
        </w:rPr>
        <w:t>3</w:t>
      </w:r>
      <w:r>
        <w:rPr>
          <w:rFonts w:hint="eastAsia" w:ascii="Times New Roman" w:hAnsi="Times New Roman" w:cs="Times New Roman"/>
          <w:b/>
          <w:color w:val="auto"/>
          <w:sz w:val="24"/>
          <w:szCs w:val="24"/>
          <w:lang w:val="en-US" w:eastAsia="zh-CN"/>
        </w:rPr>
        <w:t>.</w:t>
      </w:r>
      <w:r>
        <w:rPr>
          <w:rFonts w:hint="default" w:ascii="Times New Roman" w:hAnsi="Times New Roman" w:cs="Times New Roman"/>
          <w:b/>
          <w:color w:val="auto"/>
          <w:sz w:val="24"/>
          <w:szCs w:val="24"/>
        </w:rPr>
        <w:t xml:space="preserve"> </w:t>
      </w:r>
      <w:r>
        <w:rPr>
          <w:rFonts w:hint="eastAsia" w:eastAsia="宋体" w:cs="Times New Roman"/>
          <w:b w:val="0"/>
          <w:bCs/>
          <w:color w:val="auto"/>
          <w:sz w:val="24"/>
          <w:szCs w:val="24"/>
          <w:lang w:val="en-US" w:eastAsia="zh-CN"/>
        </w:rPr>
        <w:t>Top 15 up-regulated and down-regulated acidic metabolites</w:t>
      </w:r>
      <w:r>
        <w:rPr>
          <w:rFonts w:hint="default" w:ascii="Times New Roman" w:hAnsi="Times New Roman" w:cs="Times New Roman"/>
          <w:b w:val="0"/>
          <w:bCs/>
          <w:color w:val="auto"/>
          <w:sz w:val="24"/>
          <w:szCs w:val="24"/>
        </w:rPr>
        <w:t xml:space="preserve"> </w:t>
      </w:r>
      <w:r>
        <w:rPr>
          <w:rFonts w:hint="eastAsia" w:eastAsia="宋体" w:cs="Times New Roman"/>
          <w:b w:val="0"/>
          <w:bCs/>
          <w:color w:val="auto"/>
          <w:sz w:val="24"/>
          <w:szCs w:val="24"/>
          <w:lang w:val="en-US" w:eastAsia="zh-CN"/>
        </w:rPr>
        <w:t>of</w:t>
      </w:r>
      <w:r>
        <w:rPr>
          <w:rFonts w:hint="default" w:ascii="Times New Roman" w:hAnsi="Times New Roman" w:cs="Times New Roman"/>
          <w:b w:val="0"/>
          <w:bCs/>
          <w:color w:val="auto"/>
          <w:sz w:val="24"/>
          <w:szCs w:val="24"/>
        </w:rPr>
        <w:t xml:space="preserve"> </w:t>
      </w:r>
      <w:r>
        <w:rPr>
          <w:rFonts w:hint="default" w:ascii="Times New Roman" w:hAnsi="Times New Roman" w:cs="Times New Roman"/>
          <w:b w:val="0"/>
          <w:bCs/>
          <w:i/>
          <w:iCs/>
          <w:color w:val="auto"/>
          <w:sz w:val="24"/>
          <w:szCs w:val="24"/>
          <w:lang w:val="en-US" w:eastAsia="zh-CN"/>
        </w:rPr>
        <w:t>C. morifolium</w:t>
      </w:r>
      <w:r>
        <w:rPr>
          <w:rFonts w:hint="default" w:ascii="Times New Roman" w:hAnsi="Times New Roman" w:cs="Times New Roman"/>
          <w:b w:val="0"/>
          <w:bCs/>
          <w:color w:val="auto"/>
          <w:sz w:val="24"/>
          <w:szCs w:val="24"/>
        </w:rPr>
        <w:t xml:space="preserve"> rhizosphere </w:t>
      </w:r>
      <w:r>
        <w:rPr>
          <w:rFonts w:hint="default" w:ascii="Times New Roman" w:hAnsi="Times New Roman" w:cs="Times New Roman"/>
          <w:b w:val="0"/>
          <w:bCs/>
          <w:color w:val="auto"/>
          <w:sz w:val="24"/>
          <w:szCs w:val="24"/>
          <w:lang w:val="en-US" w:eastAsia="zh-CN"/>
        </w:rPr>
        <w:t>soil</w:t>
      </w:r>
      <w:r>
        <w:rPr>
          <w:rFonts w:hint="default" w:ascii="Times New Roman" w:hAnsi="Times New Roman" w:cs="Times New Roman"/>
          <w:b w:val="0"/>
          <w:bCs/>
          <w:color w:val="auto"/>
          <w:sz w:val="24"/>
          <w:szCs w:val="24"/>
        </w:rPr>
        <w:t xml:space="preserve"> </w:t>
      </w:r>
      <w:r>
        <w:rPr>
          <w:rFonts w:hint="default" w:ascii="Times New Roman" w:hAnsi="Times New Roman" w:cs="Times New Roman"/>
          <w:b w:val="0"/>
          <w:bCs/>
          <w:color w:val="auto"/>
          <w:sz w:val="24"/>
          <w:szCs w:val="24"/>
          <w:lang w:val="en-US" w:eastAsia="zh-CN"/>
        </w:rPr>
        <w:t>in</w:t>
      </w:r>
      <w:r>
        <w:rPr>
          <w:rFonts w:hint="default" w:ascii="Times New Roman" w:hAnsi="Times New Roman" w:cs="Times New Roman"/>
          <w:b w:val="0"/>
          <w:bCs/>
          <w:color w:val="auto"/>
          <w:sz w:val="24"/>
          <w:szCs w:val="24"/>
        </w:rPr>
        <w:t xml:space="preserve"> </w:t>
      </w:r>
      <w:r>
        <w:rPr>
          <w:rFonts w:hint="eastAsia" w:eastAsia="宋体" w:cs="Times New Roman"/>
          <w:b w:val="0"/>
          <w:bCs/>
          <w:color w:val="auto"/>
          <w:sz w:val="24"/>
          <w:szCs w:val="24"/>
          <w:lang w:val="en-US" w:eastAsia="zh-CN"/>
        </w:rPr>
        <w:t>two</w:t>
      </w:r>
      <w:r>
        <w:rPr>
          <w:rFonts w:hint="default" w:ascii="Times New Roman" w:hAnsi="Times New Roman" w:cs="Times New Roman"/>
          <w:b w:val="0"/>
          <w:bCs/>
          <w:color w:val="auto"/>
          <w:sz w:val="24"/>
          <w:szCs w:val="24"/>
        </w:rPr>
        <w:t xml:space="preserve"> treatments. </w:t>
      </w:r>
      <w:r>
        <w:rPr>
          <w:rFonts w:hint="default" w:ascii="Times New Roman" w:hAnsi="Times New Roman" w:cs="Times New Roman"/>
          <w:b w:val="0"/>
          <w:bCs/>
          <w:color w:val="auto"/>
          <w:sz w:val="24"/>
          <w:szCs w:val="24"/>
          <w:lang w:val="en-US" w:eastAsia="zh-CN"/>
        </w:rPr>
        <w:t>Data are shown as means</w:t>
      </w:r>
      <w:r>
        <w:rPr>
          <w:rFonts w:hint="eastAsia" w:ascii="Times New Roman" w:hAnsi="Times New Roman" w:cs="Times New Roman"/>
          <w:b w:val="0"/>
          <w:bCs/>
          <w:color w:val="auto"/>
          <w:sz w:val="24"/>
          <w:szCs w:val="24"/>
          <w:lang w:val="en-US" w:eastAsia="zh-CN"/>
        </w:rPr>
        <w:t xml:space="preserve"> </w:t>
      </w:r>
      <w:r>
        <w:rPr>
          <w:rFonts w:hint="default" w:ascii="Times New Roman" w:hAnsi="Times New Roman" w:cs="Times New Roman"/>
          <w:b w:val="0"/>
          <w:bCs/>
          <w:color w:val="auto"/>
          <w:sz w:val="24"/>
          <w:szCs w:val="24"/>
          <w:lang w:val="en-US" w:eastAsia="zh-CN"/>
        </w:rPr>
        <w:t>± standard deviations (n</w:t>
      </w:r>
      <w:r>
        <w:rPr>
          <w:rFonts w:hint="eastAsia" w:ascii="Times New Roman" w:hAnsi="Times New Roman" w:cs="Times New Roman"/>
          <w:b w:val="0"/>
          <w:bCs/>
          <w:color w:val="auto"/>
          <w:sz w:val="24"/>
          <w:szCs w:val="24"/>
          <w:lang w:val="en-US" w:eastAsia="zh-CN"/>
        </w:rPr>
        <w:t xml:space="preserve"> = </w:t>
      </w:r>
      <w:r>
        <w:rPr>
          <w:rFonts w:hint="default" w:ascii="Times New Roman" w:hAnsi="Times New Roman" w:cs="Times New Roman"/>
          <w:b w:val="0"/>
          <w:bCs/>
          <w:color w:val="auto"/>
          <w:sz w:val="24"/>
          <w:szCs w:val="24"/>
          <w:lang w:val="en-US" w:eastAsia="zh-CN"/>
        </w:rPr>
        <w:t xml:space="preserve">3). </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 xml:space="preserve"> and </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w:t>
      </w:r>
      <w:r>
        <w:rPr>
          <w:rFonts w:hint="default" w:cs="Times New Roman" w:eastAsiaTheme="minorEastAsia"/>
          <w:color w:val="auto"/>
          <w:sz w:val="24"/>
          <w:szCs w:val="24"/>
          <w:lang w:val="en-US" w:eastAsia="zh-CN"/>
        </w:rPr>
        <w:t>”</w:t>
      </w:r>
      <w:r>
        <w:rPr>
          <w:rFonts w:hint="eastAsia" w:cs="Times New Roman" w:eastAsiaTheme="minorEastAsia"/>
          <w:color w:val="auto"/>
          <w:sz w:val="24"/>
          <w:szCs w:val="24"/>
          <w:lang w:val="en-US" w:eastAsia="zh-CN"/>
        </w:rPr>
        <w:t xml:space="preserve"> represent </w:t>
      </w:r>
      <w:r>
        <w:rPr>
          <w:rFonts w:hint="eastAsia" w:cs="Times New Roman" w:eastAsiaTheme="minorEastAsia"/>
          <w:i/>
          <w:iCs/>
          <w:color w:val="auto"/>
          <w:sz w:val="24"/>
          <w:szCs w:val="24"/>
          <w:lang w:val="en-US" w:eastAsia="zh-CN"/>
        </w:rPr>
        <w:t xml:space="preserve">p </w:t>
      </w:r>
      <w:r>
        <w:rPr>
          <w:rFonts w:hint="eastAsia" w:cs="Times New Roman" w:eastAsiaTheme="minorEastAsia"/>
          <w:color w:val="auto"/>
          <w:sz w:val="24"/>
          <w:szCs w:val="24"/>
          <w:lang w:val="en-US" w:eastAsia="zh-CN"/>
        </w:rPr>
        <w:t xml:space="preserve">&lt; 0.05 and </w:t>
      </w:r>
      <w:r>
        <w:rPr>
          <w:rFonts w:hint="eastAsia" w:cs="Times New Roman" w:eastAsiaTheme="minorEastAsia"/>
          <w:i/>
          <w:iCs/>
          <w:color w:val="auto"/>
          <w:sz w:val="24"/>
          <w:szCs w:val="24"/>
          <w:lang w:val="en-US" w:eastAsia="zh-CN"/>
        </w:rPr>
        <w:t xml:space="preserve">p &lt; </w:t>
      </w:r>
      <w:r>
        <w:rPr>
          <w:rFonts w:hint="eastAsia" w:cs="Times New Roman" w:eastAsiaTheme="minorEastAsia"/>
          <w:color w:val="auto"/>
          <w:sz w:val="24"/>
          <w:szCs w:val="24"/>
          <w:lang w:val="en-US" w:eastAsia="zh-CN"/>
        </w:rPr>
        <w:t>0.01, respectively.</w:t>
      </w:r>
    </w:p>
    <w:tbl>
      <w:tblPr>
        <w:tblStyle w:val="20"/>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71"/>
        <w:gridCol w:w="1806"/>
        <w:gridCol w:w="1802"/>
        <w:gridCol w:w="2013"/>
        <w:gridCol w:w="999"/>
      </w:tblGrid>
      <w:tr w14:paraId="06E62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649" w:type="pct"/>
            <w:tcBorders>
              <w:top w:val="single" w:color="000000" w:sz="8" w:space="0"/>
              <w:left w:val="nil"/>
              <w:bottom w:val="single" w:color="000000" w:sz="8" w:space="0"/>
              <w:right w:val="nil"/>
            </w:tcBorders>
            <w:shd w:val="clear" w:color="auto" w:fill="auto"/>
            <w:noWrap/>
            <w:vAlign w:val="center"/>
          </w:tcPr>
          <w:p w14:paraId="356A633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Name</w:t>
            </w:r>
          </w:p>
        </w:tc>
        <w:tc>
          <w:tcPr>
            <w:tcW w:w="983" w:type="pct"/>
            <w:tcBorders>
              <w:top w:val="single" w:color="000000" w:sz="8" w:space="0"/>
              <w:left w:val="nil"/>
              <w:bottom w:val="single" w:color="000000" w:sz="8" w:space="0"/>
              <w:right w:val="nil"/>
            </w:tcBorders>
            <w:shd w:val="clear" w:color="auto" w:fill="auto"/>
            <w:noWrap/>
            <w:vAlign w:val="center"/>
          </w:tcPr>
          <w:p w14:paraId="09EFF0C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Category</w:t>
            </w:r>
          </w:p>
        </w:tc>
        <w:tc>
          <w:tcPr>
            <w:tcW w:w="879" w:type="pct"/>
            <w:tcBorders>
              <w:top w:val="single" w:color="000000" w:sz="8" w:space="0"/>
              <w:left w:val="nil"/>
              <w:bottom w:val="single" w:color="000000" w:sz="8" w:space="0"/>
              <w:right w:val="nil"/>
            </w:tcBorders>
            <w:shd w:val="clear" w:color="auto" w:fill="auto"/>
            <w:noWrap/>
            <w:vAlign w:val="center"/>
          </w:tcPr>
          <w:p w14:paraId="4ED3353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CC</w:t>
            </w:r>
          </w:p>
        </w:tc>
        <w:tc>
          <w:tcPr>
            <w:tcW w:w="982" w:type="pct"/>
            <w:tcBorders>
              <w:top w:val="single" w:color="000000" w:sz="8" w:space="0"/>
              <w:left w:val="nil"/>
              <w:bottom w:val="single" w:color="000000" w:sz="8" w:space="0"/>
              <w:right w:val="nil"/>
            </w:tcBorders>
            <w:shd w:val="clear" w:color="auto" w:fill="auto"/>
            <w:noWrap/>
            <w:vAlign w:val="center"/>
          </w:tcPr>
          <w:p w14:paraId="6F0FA70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PC</w:t>
            </w:r>
          </w:p>
        </w:tc>
        <w:tc>
          <w:tcPr>
            <w:tcW w:w="505" w:type="pct"/>
            <w:tcBorders>
              <w:top w:val="single" w:color="000000" w:sz="8" w:space="0"/>
              <w:left w:val="nil"/>
              <w:bottom w:val="single" w:color="000000" w:sz="8" w:space="0"/>
              <w:right w:val="nil"/>
            </w:tcBorders>
            <w:shd w:val="clear" w:color="auto" w:fill="auto"/>
            <w:noWrap/>
            <w:vAlign w:val="center"/>
          </w:tcPr>
          <w:p w14:paraId="3312F51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regulated</w:t>
            </w:r>
          </w:p>
        </w:tc>
      </w:tr>
      <w:tr w14:paraId="46AF7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7CFB909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CMP-pseudaminic acid</w:t>
            </w:r>
          </w:p>
        </w:tc>
        <w:tc>
          <w:tcPr>
            <w:tcW w:w="983" w:type="pct"/>
            <w:tcBorders>
              <w:top w:val="nil"/>
              <w:left w:val="nil"/>
              <w:bottom w:val="nil"/>
              <w:right w:val="nil"/>
            </w:tcBorders>
            <w:shd w:val="clear" w:color="auto" w:fill="auto"/>
            <w:noWrap/>
            <w:vAlign w:val="center"/>
          </w:tcPr>
          <w:p w14:paraId="3BFFB3C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Carbohydrates</w:t>
            </w:r>
          </w:p>
        </w:tc>
        <w:tc>
          <w:tcPr>
            <w:tcW w:w="879" w:type="pct"/>
            <w:tcBorders>
              <w:top w:val="nil"/>
              <w:left w:val="nil"/>
              <w:bottom w:val="nil"/>
              <w:right w:val="nil"/>
            </w:tcBorders>
            <w:shd w:val="clear" w:color="auto" w:fill="auto"/>
            <w:noWrap/>
            <w:vAlign w:val="center"/>
          </w:tcPr>
          <w:p w14:paraId="7F6F5D2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11186±730.67</w:t>
            </w:r>
          </w:p>
        </w:tc>
        <w:tc>
          <w:tcPr>
            <w:tcW w:w="982" w:type="pct"/>
            <w:tcBorders>
              <w:top w:val="nil"/>
              <w:left w:val="nil"/>
              <w:bottom w:val="nil"/>
              <w:right w:val="nil"/>
            </w:tcBorders>
            <w:shd w:val="clear" w:color="auto" w:fill="auto"/>
            <w:noWrap/>
            <w:vAlign w:val="center"/>
          </w:tcPr>
          <w:p w14:paraId="68F22AB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17257.68±2149.04**</w:t>
            </w:r>
          </w:p>
        </w:tc>
        <w:tc>
          <w:tcPr>
            <w:tcW w:w="505" w:type="pct"/>
            <w:tcBorders>
              <w:top w:val="nil"/>
              <w:left w:val="nil"/>
              <w:bottom w:val="nil"/>
              <w:right w:val="nil"/>
            </w:tcBorders>
            <w:shd w:val="clear" w:color="auto" w:fill="auto"/>
            <w:noWrap/>
            <w:vAlign w:val="center"/>
          </w:tcPr>
          <w:p w14:paraId="71E6CE9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up</w:t>
            </w:r>
          </w:p>
        </w:tc>
      </w:tr>
      <w:tr w14:paraId="5CDAE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0235D7F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3-O-p-Coumaroyloleanolic acid</w:t>
            </w:r>
          </w:p>
        </w:tc>
        <w:tc>
          <w:tcPr>
            <w:tcW w:w="983" w:type="pct"/>
            <w:tcBorders>
              <w:top w:val="nil"/>
              <w:left w:val="nil"/>
              <w:bottom w:val="nil"/>
              <w:right w:val="nil"/>
            </w:tcBorders>
            <w:shd w:val="clear" w:color="auto" w:fill="auto"/>
            <w:noWrap/>
            <w:vAlign w:val="center"/>
          </w:tcPr>
          <w:p w14:paraId="10B0388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Terpenoids</w:t>
            </w:r>
          </w:p>
        </w:tc>
        <w:tc>
          <w:tcPr>
            <w:tcW w:w="879" w:type="pct"/>
            <w:tcBorders>
              <w:top w:val="nil"/>
              <w:left w:val="nil"/>
              <w:bottom w:val="nil"/>
              <w:right w:val="nil"/>
            </w:tcBorders>
            <w:shd w:val="clear" w:color="auto" w:fill="auto"/>
            <w:noWrap/>
            <w:vAlign w:val="center"/>
          </w:tcPr>
          <w:p w14:paraId="779C5F6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10432.09±1832.56</w:t>
            </w:r>
          </w:p>
        </w:tc>
        <w:tc>
          <w:tcPr>
            <w:tcW w:w="982" w:type="pct"/>
            <w:tcBorders>
              <w:top w:val="nil"/>
              <w:left w:val="nil"/>
              <w:bottom w:val="nil"/>
              <w:right w:val="nil"/>
            </w:tcBorders>
            <w:shd w:val="clear" w:color="auto" w:fill="auto"/>
            <w:noWrap/>
            <w:vAlign w:val="center"/>
          </w:tcPr>
          <w:p w14:paraId="3914C6C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16915.92±2892.04*</w:t>
            </w:r>
          </w:p>
        </w:tc>
        <w:tc>
          <w:tcPr>
            <w:tcW w:w="505" w:type="pct"/>
            <w:tcBorders>
              <w:top w:val="nil"/>
              <w:left w:val="nil"/>
              <w:bottom w:val="nil"/>
              <w:right w:val="nil"/>
            </w:tcBorders>
            <w:shd w:val="clear" w:color="auto" w:fill="auto"/>
            <w:noWrap/>
            <w:vAlign w:val="center"/>
          </w:tcPr>
          <w:p w14:paraId="0EE44C8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up</w:t>
            </w:r>
          </w:p>
        </w:tc>
      </w:tr>
      <w:tr w14:paraId="0541F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24B5D9D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N-Acetylneuraminic acid</w:t>
            </w:r>
          </w:p>
        </w:tc>
        <w:tc>
          <w:tcPr>
            <w:tcW w:w="983" w:type="pct"/>
            <w:tcBorders>
              <w:top w:val="nil"/>
              <w:left w:val="nil"/>
              <w:bottom w:val="nil"/>
              <w:right w:val="nil"/>
            </w:tcBorders>
            <w:shd w:val="clear" w:color="auto" w:fill="auto"/>
            <w:noWrap/>
            <w:vAlign w:val="center"/>
          </w:tcPr>
          <w:p w14:paraId="04442FE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Carbohydrates</w:t>
            </w:r>
          </w:p>
        </w:tc>
        <w:tc>
          <w:tcPr>
            <w:tcW w:w="879" w:type="pct"/>
            <w:tcBorders>
              <w:top w:val="nil"/>
              <w:left w:val="nil"/>
              <w:bottom w:val="nil"/>
              <w:right w:val="nil"/>
            </w:tcBorders>
            <w:shd w:val="clear" w:color="auto" w:fill="auto"/>
            <w:noWrap/>
            <w:vAlign w:val="center"/>
          </w:tcPr>
          <w:p w14:paraId="094E590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3334.22±221.21</w:t>
            </w:r>
          </w:p>
        </w:tc>
        <w:tc>
          <w:tcPr>
            <w:tcW w:w="982" w:type="pct"/>
            <w:tcBorders>
              <w:top w:val="nil"/>
              <w:left w:val="nil"/>
              <w:bottom w:val="nil"/>
              <w:right w:val="nil"/>
            </w:tcBorders>
            <w:shd w:val="clear" w:color="auto" w:fill="auto"/>
            <w:noWrap/>
            <w:vAlign w:val="center"/>
          </w:tcPr>
          <w:p w14:paraId="47728E1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4671.76±241.67**</w:t>
            </w:r>
          </w:p>
        </w:tc>
        <w:tc>
          <w:tcPr>
            <w:tcW w:w="505" w:type="pct"/>
            <w:tcBorders>
              <w:top w:val="nil"/>
              <w:left w:val="nil"/>
              <w:bottom w:val="nil"/>
              <w:right w:val="nil"/>
            </w:tcBorders>
            <w:shd w:val="clear" w:color="auto" w:fill="auto"/>
            <w:noWrap/>
            <w:vAlign w:val="center"/>
          </w:tcPr>
          <w:p w14:paraId="562A791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up</w:t>
            </w:r>
          </w:p>
        </w:tc>
      </w:tr>
      <w:tr w14:paraId="0A6AD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0A7CD7A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Quinic acid</w:t>
            </w:r>
          </w:p>
        </w:tc>
        <w:tc>
          <w:tcPr>
            <w:tcW w:w="983" w:type="pct"/>
            <w:tcBorders>
              <w:top w:val="nil"/>
              <w:left w:val="nil"/>
              <w:bottom w:val="nil"/>
              <w:right w:val="nil"/>
            </w:tcBorders>
            <w:shd w:val="clear" w:color="auto" w:fill="auto"/>
            <w:noWrap/>
            <w:vAlign w:val="center"/>
          </w:tcPr>
          <w:p w14:paraId="147CBE7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Organic acids</w:t>
            </w:r>
          </w:p>
        </w:tc>
        <w:tc>
          <w:tcPr>
            <w:tcW w:w="879" w:type="pct"/>
            <w:tcBorders>
              <w:top w:val="nil"/>
              <w:left w:val="nil"/>
              <w:bottom w:val="nil"/>
              <w:right w:val="nil"/>
            </w:tcBorders>
            <w:shd w:val="clear" w:color="auto" w:fill="auto"/>
            <w:noWrap/>
            <w:vAlign w:val="center"/>
          </w:tcPr>
          <w:p w14:paraId="261C3B1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2911.09±161.15</w:t>
            </w:r>
          </w:p>
        </w:tc>
        <w:tc>
          <w:tcPr>
            <w:tcW w:w="982" w:type="pct"/>
            <w:tcBorders>
              <w:top w:val="nil"/>
              <w:left w:val="nil"/>
              <w:bottom w:val="nil"/>
              <w:right w:val="nil"/>
            </w:tcBorders>
            <w:shd w:val="clear" w:color="auto" w:fill="auto"/>
            <w:noWrap/>
            <w:vAlign w:val="center"/>
          </w:tcPr>
          <w:p w14:paraId="46F84B5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4261.65±225.05**</w:t>
            </w:r>
          </w:p>
        </w:tc>
        <w:tc>
          <w:tcPr>
            <w:tcW w:w="505" w:type="pct"/>
            <w:tcBorders>
              <w:top w:val="nil"/>
              <w:left w:val="nil"/>
              <w:bottom w:val="nil"/>
              <w:right w:val="nil"/>
            </w:tcBorders>
            <w:shd w:val="clear" w:color="auto" w:fill="auto"/>
            <w:noWrap/>
            <w:vAlign w:val="center"/>
          </w:tcPr>
          <w:p w14:paraId="07F77CA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up</w:t>
            </w:r>
          </w:p>
        </w:tc>
      </w:tr>
      <w:tr w14:paraId="283FC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649" w:type="pct"/>
            <w:tcBorders>
              <w:top w:val="nil"/>
              <w:left w:val="nil"/>
              <w:bottom w:val="nil"/>
              <w:right w:val="nil"/>
            </w:tcBorders>
            <w:shd w:val="clear" w:color="auto" w:fill="auto"/>
            <w:vAlign w:val="center"/>
          </w:tcPr>
          <w:p w14:paraId="0684CBF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3-Carboxy-2,3,4,9-tetrahydro-1H-pyrido[3,4-b]indole-1-propanoic acid</w:t>
            </w:r>
          </w:p>
        </w:tc>
        <w:tc>
          <w:tcPr>
            <w:tcW w:w="983" w:type="pct"/>
            <w:tcBorders>
              <w:top w:val="nil"/>
              <w:left w:val="nil"/>
              <w:bottom w:val="nil"/>
              <w:right w:val="nil"/>
            </w:tcBorders>
            <w:shd w:val="clear" w:color="auto" w:fill="auto"/>
            <w:noWrap/>
            <w:vAlign w:val="center"/>
          </w:tcPr>
          <w:p w14:paraId="7141D9B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Organic acids</w:t>
            </w:r>
          </w:p>
        </w:tc>
        <w:tc>
          <w:tcPr>
            <w:tcW w:w="879" w:type="pct"/>
            <w:tcBorders>
              <w:top w:val="nil"/>
              <w:left w:val="nil"/>
              <w:bottom w:val="nil"/>
              <w:right w:val="nil"/>
            </w:tcBorders>
            <w:shd w:val="clear" w:color="auto" w:fill="auto"/>
            <w:noWrap/>
            <w:vAlign w:val="center"/>
          </w:tcPr>
          <w:p w14:paraId="4B28FB7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1186.02±197.43</w:t>
            </w:r>
          </w:p>
        </w:tc>
        <w:tc>
          <w:tcPr>
            <w:tcW w:w="982" w:type="pct"/>
            <w:tcBorders>
              <w:top w:val="nil"/>
              <w:left w:val="nil"/>
              <w:bottom w:val="nil"/>
              <w:right w:val="nil"/>
            </w:tcBorders>
            <w:shd w:val="clear" w:color="auto" w:fill="auto"/>
            <w:noWrap/>
            <w:vAlign w:val="center"/>
          </w:tcPr>
          <w:p w14:paraId="4B05CCF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3049.04±155.87**</w:t>
            </w:r>
          </w:p>
        </w:tc>
        <w:tc>
          <w:tcPr>
            <w:tcW w:w="505" w:type="pct"/>
            <w:tcBorders>
              <w:top w:val="nil"/>
              <w:left w:val="nil"/>
              <w:bottom w:val="nil"/>
              <w:right w:val="nil"/>
            </w:tcBorders>
            <w:shd w:val="clear" w:color="auto" w:fill="auto"/>
            <w:noWrap/>
            <w:vAlign w:val="center"/>
          </w:tcPr>
          <w:p w14:paraId="60711E9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up</w:t>
            </w:r>
          </w:p>
        </w:tc>
      </w:tr>
      <w:tr w14:paraId="11AE6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1F5161F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Decanoic acid</w:t>
            </w:r>
          </w:p>
        </w:tc>
        <w:tc>
          <w:tcPr>
            <w:tcW w:w="983" w:type="pct"/>
            <w:tcBorders>
              <w:top w:val="nil"/>
              <w:left w:val="nil"/>
              <w:bottom w:val="nil"/>
              <w:right w:val="nil"/>
            </w:tcBorders>
            <w:shd w:val="clear" w:color="auto" w:fill="auto"/>
            <w:noWrap/>
            <w:vAlign w:val="center"/>
          </w:tcPr>
          <w:p w14:paraId="021D568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Fatty acids</w:t>
            </w:r>
          </w:p>
        </w:tc>
        <w:tc>
          <w:tcPr>
            <w:tcW w:w="879" w:type="pct"/>
            <w:tcBorders>
              <w:top w:val="nil"/>
              <w:left w:val="nil"/>
              <w:bottom w:val="nil"/>
              <w:right w:val="nil"/>
            </w:tcBorders>
            <w:shd w:val="clear" w:color="auto" w:fill="auto"/>
            <w:noWrap/>
            <w:vAlign w:val="center"/>
          </w:tcPr>
          <w:p w14:paraId="3379E50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441.35±9.49</w:t>
            </w:r>
          </w:p>
        </w:tc>
        <w:tc>
          <w:tcPr>
            <w:tcW w:w="982" w:type="pct"/>
            <w:tcBorders>
              <w:top w:val="nil"/>
              <w:left w:val="nil"/>
              <w:bottom w:val="nil"/>
              <w:right w:val="nil"/>
            </w:tcBorders>
            <w:shd w:val="clear" w:color="auto" w:fill="auto"/>
            <w:noWrap/>
            <w:vAlign w:val="center"/>
          </w:tcPr>
          <w:p w14:paraId="4E38252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866.28±107.44**</w:t>
            </w:r>
          </w:p>
        </w:tc>
        <w:tc>
          <w:tcPr>
            <w:tcW w:w="505" w:type="pct"/>
            <w:tcBorders>
              <w:top w:val="nil"/>
              <w:left w:val="nil"/>
              <w:bottom w:val="nil"/>
              <w:right w:val="nil"/>
            </w:tcBorders>
            <w:shd w:val="clear" w:color="auto" w:fill="auto"/>
            <w:noWrap/>
            <w:vAlign w:val="center"/>
          </w:tcPr>
          <w:p w14:paraId="3B71675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up</w:t>
            </w:r>
          </w:p>
        </w:tc>
      </w:tr>
      <w:tr w14:paraId="7189E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2AFCE9B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2-Methylbenzoic acid</w:t>
            </w:r>
          </w:p>
        </w:tc>
        <w:tc>
          <w:tcPr>
            <w:tcW w:w="983" w:type="pct"/>
            <w:tcBorders>
              <w:top w:val="nil"/>
              <w:left w:val="nil"/>
              <w:bottom w:val="nil"/>
              <w:right w:val="nil"/>
            </w:tcBorders>
            <w:shd w:val="clear" w:color="auto" w:fill="auto"/>
            <w:noWrap/>
            <w:vAlign w:val="center"/>
          </w:tcPr>
          <w:p w14:paraId="17B8E3B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Organic acids</w:t>
            </w:r>
          </w:p>
        </w:tc>
        <w:tc>
          <w:tcPr>
            <w:tcW w:w="879" w:type="pct"/>
            <w:tcBorders>
              <w:top w:val="nil"/>
              <w:left w:val="nil"/>
              <w:bottom w:val="nil"/>
              <w:right w:val="nil"/>
            </w:tcBorders>
            <w:shd w:val="clear" w:color="auto" w:fill="auto"/>
            <w:noWrap/>
            <w:vAlign w:val="center"/>
          </w:tcPr>
          <w:p w14:paraId="7FC2E5A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508.29±92.24</w:t>
            </w:r>
          </w:p>
        </w:tc>
        <w:tc>
          <w:tcPr>
            <w:tcW w:w="982" w:type="pct"/>
            <w:tcBorders>
              <w:top w:val="nil"/>
              <w:left w:val="nil"/>
              <w:bottom w:val="nil"/>
              <w:right w:val="nil"/>
            </w:tcBorders>
            <w:shd w:val="clear" w:color="auto" w:fill="auto"/>
            <w:noWrap/>
            <w:vAlign w:val="center"/>
          </w:tcPr>
          <w:p w14:paraId="7CD3144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759.02±61.34*</w:t>
            </w:r>
          </w:p>
        </w:tc>
        <w:tc>
          <w:tcPr>
            <w:tcW w:w="505" w:type="pct"/>
            <w:tcBorders>
              <w:top w:val="nil"/>
              <w:left w:val="nil"/>
              <w:bottom w:val="nil"/>
              <w:right w:val="nil"/>
            </w:tcBorders>
            <w:shd w:val="clear" w:color="auto" w:fill="auto"/>
            <w:noWrap/>
            <w:vAlign w:val="center"/>
          </w:tcPr>
          <w:p w14:paraId="7CC1187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up</w:t>
            </w:r>
          </w:p>
        </w:tc>
      </w:tr>
      <w:tr w14:paraId="5A9F6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3F9994C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Myristoleic acid</w:t>
            </w:r>
          </w:p>
        </w:tc>
        <w:tc>
          <w:tcPr>
            <w:tcW w:w="983" w:type="pct"/>
            <w:tcBorders>
              <w:top w:val="nil"/>
              <w:left w:val="nil"/>
              <w:bottom w:val="nil"/>
              <w:right w:val="nil"/>
            </w:tcBorders>
            <w:shd w:val="clear" w:color="auto" w:fill="auto"/>
            <w:noWrap/>
            <w:vAlign w:val="center"/>
          </w:tcPr>
          <w:p w14:paraId="06C2FE9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Fatty acids</w:t>
            </w:r>
          </w:p>
        </w:tc>
        <w:tc>
          <w:tcPr>
            <w:tcW w:w="879" w:type="pct"/>
            <w:tcBorders>
              <w:top w:val="nil"/>
              <w:left w:val="nil"/>
              <w:bottom w:val="nil"/>
              <w:right w:val="nil"/>
            </w:tcBorders>
            <w:shd w:val="clear" w:color="auto" w:fill="auto"/>
            <w:noWrap/>
            <w:vAlign w:val="center"/>
          </w:tcPr>
          <w:p w14:paraId="62FA538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482.71±21.15</w:t>
            </w:r>
          </w:p>
        </w:tc>
        <w:tc>
          <w:tcPr>
            <w:tcW w:w="982" w:type="pct"/>
            <w:tcBorders>
              <w:top w:val="nil"/>
              <w:left w:val="nil"/>
              <w:bottom w:val="nil"/>
              <w:right w:val="nil"/>
            </w:tcBorders>
            <w:shd w:val="clear" w:color="auto" w:fill="auto"/>
            <w:noWrap/>
            <w:vAlign w:val="center"/>
          </w:tcPr>
          <w:p w14:paraId="54E1044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714.21±40.43**</w:t>
            </w:r>
          </w:p>
        </w:tc>
        <w:tc>
          <w:tcPr>
            <w:tcW w:w="505" w:type="pct"/>
            <w:tcBorders>
              <w:top w:val="nil"/>
              <w:left w:val="nil"/>
              <w:bottom w:val="nil"/>
              <w:right w:val="nil"/>
            </w:tcBorders>
            <w:shd w:val="clear" w:color="auto" w:fill="auto"/>
            <w:noWrap/>
            <w:vAlign w:val="center"/>
          </w:tcPr>
          <w:p w14:paraId="184A6FE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up</w:t>
            </w:r>
          </w:p>
        </w:tc>
      </w:tr>
      <w:tr w14:paraId="311DA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649" w:type="pct"/>
            <w:tcBorders>
              <w:top w:val="nil"/>
              <w:left w:val="nil"/>
              <w:bottom w:val="nil"/>
              <w:right w:val="nil"/>
            </w:tcBorders>
            <w:shd w:val="clear" w:color="auto" w:fill="auto"/>
            <w:vAlign w:val="center"/>
          </w:tcPr>
          <w:p w14:paraId="3E7EC7A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2-Hydroxy-4-(1-oxo-1,3-dihydro-2H-inden-2-ylidene)-but-2-enoic acid</w:t>
            </w:r>
          </w:p>
        </w:tc>
        <w:tc>
          <w:tcPr>
            <w:tcW w:w="983" w:type="pct"/>
            <w:tcBorders>
              <w:top w:val="nil"/>
              <w:left w:val="nil"/>
              <w:bottom w:val="nil"/>
              <w:right w:val="nil"/>
            </w:tcBorders>
            <w:shd w:val="clear" w:color="auto" w:fill="auto"/>
            <w:noWrap/>
            <w:vAlign w:val="center"/>
          </w:tcPr>
          <w:p w14:paraId="63414F0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Organic acids</w:t>
            </w:r>
          </w:p>
        </w:tc>
        <w:tc>
          <w:tcPr>
            <w:tcW w:w="879" w:type="pct"/>
            <w:tcBorders>
              <w:top w:val="nil"/>
              <w:left w:val="nil"/>
              <w:bottom w:val="nil"/>
              <w:right w:val="nil"/>
            </w:tcBorders>
            <w:shd w:val="clear" w:color="auto" w:fill="auto"/>
            <w:noWrap/>
            <w:vAlign w:val="center"/>
          </w:tcPr>
          <w:p w14:paraId="2844DF7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463.94±24.99</w:t>
            </w:r>
          </w:p>
        </w:tc>
        <w:tc>
          <w:tcPr>
            <w:tcW w:w="982" w:type="pct"/>
            <w:tcBorders>
              <w:top w:val="nil"/>
              <w:left w:val="nil"/>
              <w:bottom w:val="nil"/>
              <w:right w:val="nil"/>
            </w:tcBorders>
            <w:shd w:val="clear" w:color="auto" w:fill="auto"/>
            <w:noWrap/>
            <w:vAlign w:val="center"/>
          </w:tcPr>
          <w:p w14:paraId="79EF6A3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604.71±48.93*</w:t>
            </w:r>
          </w:p>
        </w:tc>
        <w:tc>
          <w:tcPr>
            <w:tcW w:w="505" w:type="pct"/>
            <w:tcBorders>
              <w:top w:val="nil"/>
              <w:left w:val="nil"/>
              <w:bottom w:val="nil"/>
              <w:right w:val="nil"/>
            </w:tcBorders>
            <w:shd w:val="clear" w:color="auto" w:fill="auto"/>
            <w:noWrap/>
            <w:vAlign w:val="center"/>
          </w:tcPr>
          <w:p w14:paraId="50E9CDB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up</w:t>
            </w:r>
          </w:p>
        </w:tc>
      </w:tr>
      <w:tr w14:paraId="4494E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7AC1E22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5-oxo-7E-decenoic acid</w:t>
            </w:r>
          </w:p>
        </w:tc>
        <w:tc>
          <w:tcPr>
            <w:tcW w:w="983" w:type="pct"/>
            <w:tcBorders>
              <w:top w:val="nil"/>
              <w:left w:val="nil"/>
              <w:bottom w:val="nil"/>
              <w:right w:val="nil"/>
            </w:tcBorders>
            <w:shd w:val="clear" w:color="auto" w:fill="auto"/>
            <w:noWrap/>
            <w:vAlign w:val="center"/>
          </w:tcPr>
          <w:p w14:paraId="7E063C5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Organic acids</w:t>
            </w:r>
          </w:p>
        </w:tc>
        <w:tc>
          <w:tcPr>
            <w:tcW w:w="879" w:type="pct"/>
            <w:tcBorders>
              <w:top w:val="nil"/>
              <w:left w:val="nil"/>
              <w:bottom w:val="nil"/>
              <w:right w:val="nil"/>
            </w:tcBorders>
            <w:shd w:val="clear" w:color="auto" w:fill="auto"/>
            <w:noWrap/>
            <w:vAlign w:val="center"/>
          </w:tcPr>
          <w:p w14:paraId="25DBAFE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444.77±24.11</w:t>
            </w:r>
          </w:p>
        </w:tc>
        <w:tc>
          <w:tcPr>
            <w:tcW w:w="982" w:type="pct"/>
            <w:tcBorders>
              <w:top w:val="nil"/>
              <w:left w:val="nil"/>
              <w:bottom w:val="nil"/>
              <w:right w:val="nil"/>
            </w:tcBorders>
            <w:shd w:val="clear" w:color="auto" w:fill="auto"/>
            <w:noWrap/>
            <w:vAlign w:val="center"/>
          </w:tcPr>
          <w:p w14:paraId="4A1CAA7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604.77±69.34*</w:t>
            </w:r>
          </w:p>
        </w:tc>
        <w:tc>
          <w:tcPr>
            <w:tcW w:w="505" w:type="pct"/>
            <w:tcBorders>
              <w:top w:val="nil"/>
              <w:left w:val="nil"/>
              <w:bottom w:val="nil"/>
              <w:right w:val="nil"/>
            </w:tcBorders>
            <w:shd w:val="clear" w:color="auto" w:fill="auto"/>
            <w:noWrap/>
            <w:vAlign w:val="center"/>
          </w:tcPr>
          <w:p w14:paraId="50751C3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up</w:t>
            </w:r>
          </w:p>
        </w:tc>
      </w:tr>
      <w:tr w14:paraId="48576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1F67DD4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Cis-10-Pentadecenoic Acid</w:t>
            </w:r>
          </w:p>
        </w:tc>
        <w:tc>
          <w:tcPr>
            <w:tcW w:w="983" w:type="pct"/>
            <w:tcBorders>
              <w:top w:val="nil"/>
              <w:left w:val="nil"/>
              <w:bottom w:val="nil"/>
              <w:right w:val="nil"/>
            </w:tcBorders>
            <w:shd w:val="clear" w:color="auto" w:fill="auto"/>
            <w:noWrap/>
            <w:vAlign w:val="center"/>
          </w:tcPr>
          <w:p w14:paraId="573CFFF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Fatty acids</w:t>
            </w:r>
          </w:p>
        </w:tc>
        <w:tc>
          <w:tcPr>
            <w:tcW w:w="879" w:type="pct"/>
            <w:tcBorders>
              <w:top w:val="nil"/>
              <w:left w:val="nil"/>
              <w:bottom w:val="nil"/>
              <w:right w:val="nil"/>
            </w:tcBorders>
            <w:shd w:val="clear" w:color="auto" w:fill="auto"/>
            <w:noWrap/>
            <w:vAlign w:val="center"/>
          </w:tcPr>
          <w:p w14:paraId="636D819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406.09±13.94</w:t>
            </w:r>
          </w:p>
        </w:tc>
        <w:tc>
          <w:tcPr>
            <w:tcW w:w="982" w:type="pct"/>
            <w:tcBorders>
              <w:top w:val="nil"/>
              <w:left w:val="nil"/>
              <w:bottom w:val="nil"/>
              <w:right w:val="nil"/>
            </w:tcBorders>
            <w:shd w:val="clear" w:color="auto" w:fill="auto"/>
            <w:noWrap/>
            <w:vAlign w:val="center"/>
          </w:tcPr>
          <w:p w14:paraId="5EA62BD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527.66±52.6*</w:t>
            </w:r>
          </w:p>
        </w:tc>
        <w:tc>
          <w:tcPr>
            <w:tcW w:w="505" w:type="pct"/>
            <w:tcBorders>
              <w:top w:val="nil"/>
              <w:left w:val="nil"/>
              <w:bottom w:val="nil"/>
              <w:right w:val="nil"/>
            </w:tcBorders>
            <w:shd w:val="clear" w:color="auto" w:fill="auto"/>
            <w:noWrap/>
            <w:vAlign w:val="center"/>
          </w:tcPr>
          <w:p w14:paraId="661C317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up</w:t>
            </w:r>
          </w:p>
        </w:tc>
      </w:tr>
      <w:tr w14:paraId="456A9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08C75A5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alpha-hydroxy myristic acid</w:t>
            </w:r>
          </w:p>
        </w:tc>
        <w:tc>
          <w:tcPr>
            <w:tcW w:w="983" w:type="pct"/>
            <w:tcBorders>
              <w:top w:val="nil"/>
              <w:left w:val="nil"/>
              <w:bottom w:val="nil"/>
              <w:right w:val="nil"/>
            </w:tcBorders>
            <w:shd w:val="clear" w:color="auto" w:fill="auto"/>
            <w:noWrap/>
            <w:vAlign w:val="center"/>
          </w:tcPr>
          <w:p w14:paraId="651F216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Fatty acids</w:t>
            </w:r>
          </w:p>
        </w:tc>
        <w:tc>
          <w:tcPr>
            <w:tcW w:w="879" w:type="pct"/>
            <w:tcBorders>
              <w:top w:val="nil"/>
              <w:left w:val="nil"/>
              <w:bottom w:val="nil"/>
              <w:right w:val="nil"/>
            </w:tcBorders>
            <w:shd w:val="clear" w:color="auto" w:fill="auto"/>
            <w:noWrap/>
            <w:vAlign w:val="center"/>
          </w:tcPr>
          <w:p w14:paraId="339DADF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321.78±12.71</w:t>
            </w:r>
          </w:p>
        </w:tc>
        <w:tc>
          <w:tcPr>
            <w:tcW w:w="982" w:type="pct"/>
            <w:tcBorders>
              <w:top w:val="nil"/>
              <w:left w:val="nil"/>
              <w:bottom w:val="nil"/>
              <w:right w:val="nil"/>
            </w:tcBorders>
            <w:shd w:val="clear" w:color="auto" w:fill="auto"/>
            <w:noWrap/>
            <w:vAlign w:val="center"/>
          </w:tcPr>
          <w:p w14:paraId="42EE8FD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545.44±60.1**</w:t>
            </w:r>
          </w:p>
        </w:tc>
        <w:tc>
          <w:tcPr>
            <w:tcW w:w="505" w:type="pct"/>
            <w:tcBorders>
              <w:top w:val="nil"/>
              <w:left w:val="nil"/>
              <w:bottom w:val="nil"/>
              <w:right w:val="nil"/>
            </w:tcBorders>
            <w:shd w:val="clear" w:color="auto" w:fill="auto"/>
            <w:noWrap/>
            <w:vAlign w:val="center"/>
          </w:tcPr>
          <w:p w14:paraId="7385C50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up</w:t>
            </w:r>
          </w:p>
        </w:tc>
      </w:tr>
      <w:tr w14:paraId="508C2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1194E5E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9-hydroxy-5Z-nonenoic acid</w:t>
            </w:r>
          </w:p>
        </w:tc>
        <w:tc>
          <w:tcPr>
            <w:tcW w:w="983" w:type="pct"/>
            <w:tcBorders>
              <w:top w:val="nil"/>
              <w:left w:val="nil"/>
              <w:bottom w:val="nil"/>
              <w:right w:val="nil"/>
            </w:tcBorders>
            <w:shd w:val="clear" w:color="auto" w:fill="auto"/>
            <w:noWrap/>
            <w:vAlign w:val="center"/>
          </w:tcPr>
          <w:p w14:paraId="303D7D0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Organic acids</w:t>
            </w:r>
          </w:p>
        </w:tc>
        <w:tc>
          <w:tcPr>
            <w:tcW w:w="879" w:type="pct"/>
            <w:tcBorders>
              <w:top w:val="nil"/>
              <w:left w:val="nil"/>
              <w:bottom w:val="nil"/>
              <w:right w:val="nil"/>
            </w:tcBorders>
            <w:shd w:val="clear" w:color="auto" w:fill="auto"/>
            <w:noWrap/>
            <w:vAlign w:val="center"/>
          </w:tcPr>
          <w:p w14:paraId="4566D4F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378.16±12.59</w:t>
            </w:r>
          </w:p>
        </w:tc>
        <w:tc>
          <w:tcPr>
            <w:tcW w:w="982" w:type="pct"/>
            <w:tcBorders>
              <w:top w:val="nil"/>
              <w:left w:val="nil"/>
              <w:bottom w:val="nil"/>
              <w:right w:val="nil"/>
            </w:tcBorders>
            <w:shd w:val="clear" w:color="auto" w:fill="auto"/>
            <w:noWrap/>
            <w:vAlign w:val="center"/>
          </w:tcPr>
          <w:p w14:paraId="1617406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452.5±32.24*</w:t>
            </w:r>
          </w:p>
        </w:tc>
        <w:tc>
          <w:tcPr>
            <w:tcW w:w="505" w:type="pct"/>
            <w:tcBorders>
              <w:top w:val="nil"/>
              <w:left w:val="nil"/>
              <w:bottom w:val="nil"/>
              <w:right w:val="nil"/>
            </w:tcBorders>
            <w:shd w:val="clear" w:color="auto" w:fill="auto"/>
            <w:noWrap/>
            <w:vAlign w:val="center"/>
          </w:tcPr>
          <w:p w14:paraId="59689BB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up</w:t>
            </w:r>
          </w:p>
        </w:tc>
      </w:tr>
      <w:tr w14:paraId="71137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32030A6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Novobiocic acid</w:t>
            </w:r>
          </w:p>
        </w:tc>
        <w:tc>
          <w:tcPr>
            <w:tcW w:w="983" w:type="pct"/>
            <w:tcBorders>
              <w:top w:val="nil"/>
              <w:left w:val="nil"/>
              <w:bottom w:val="nil"/>
              <w:right w:val="nil"/>
            </w:tcBorders>
            <w:shd w:val="clear" w:color="auto" w:fill="auto"/>
            <w:noWrap/>
            <w:vAlign w:val="center"/>
          </w:tcPr>
          <w:p w14:paraId="29B4EBC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Organic acids</w:t>
            </w:r>
          </w:p>
        </w:tc>
        <w:tc>
          <w:tcPr>
            <w:tcW w:w="879" w:type="pct"/>
            <w:tcBorders>
              <w:top w:val="nil"/>
              <w:left w:val="nil"/>
              <w:bottom w:val="nil"/>
              <w:right w:val="nil"/>
            </w:tcBorders>
            <w:shd w:val="clear" w:color="auto" w:fill="auto"/>
            <w:noWrap/>
            <w:vAlign w:val="center"/>
          </w:tcPr>
          <w:p w14:paraId="3697B89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267.06±19.82</w:t>
            </w:r>
          </w:p>
        </w:tc>
        <w:tc>
          <w:tcPr>
            <w:tcW w:w="982" w:type="pct"/>
            <w:tcBorders>
              <w:top w:val="nil"/>
              <w:left w:val="nil"/>
              <w:bottom w:val="nil"/>
              <w:right w:val="nil"/>
            </w:tcBorders>
            <w:shd w:val="clear" w:color="auto" w:fill="auto"/>
            <w:noWrap/>
            <w:vAlign w:val="center"/>
          </w:tcPr>
          <w:p w14:paraId="016AC64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400.3±27.14**</w:t>
            </w:r>
          </w:p>
        </w:tc>
        <w:tc>
          <w:tcPr>
            <w:tcW w:w="505" w:type="pct"/>
            <w:tcBorders>
              <w:top w:val="nil"/>
              <w:left w:val="nil"/>
              <w:bottom w:val="nil"/>
              <w:right w:val="nil"/>
            </w:tcBorders>
            <w:shd w:val="clear" w:color="auto" w:fill="auto"/>
            <w:noWrap/>
            <w:vAlign w:val="center"/>
          </w:tcPr>
          <w:p w14:paraId="05FB643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up</w:t>
            </w:r>
          </w:p>
        </w:tc>
      </w:tr>
      <w:tr w14:paraId="4CB0A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580A634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Pseudolaric Acid B</w:t>
            </w:r>
          </w:p>
        </w:tc>
        <w:tc>
          <w:tcPr>
            <w:tcW w:w="983" w:type="pct"/>
            <w:tcBorders>
              <w:top w:val="nil"/>
              <w:left w:val="nil"/>
              <w:bottom w:val="nil"/>
              <w:right w:val="nil"/>
            </w:tcBorders>
            <w:shd w:val="clear" w:color="auto" w:fill="auto"/>
            <w:noWrap/>
            <w:vAlign w:val="center"/>
          </w:tcPr>
          <w:p w14:paraId="1C20404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Terpenoids</w:t>
            </w:r>
          </w:p>
        </w:tc>
        <w:tc>
          <w:tcPr>
            <w:tcW w:w="879" w:type="pct"/>
            <w:tcBorders>
              <w:top w:val="nil"/>
              <w:left w:val="nil"/>
              <w:bottom w:val="nil"/>
              <w:right w:val="nil"/>
            </w:tcBorders>
            <w:shd w:val="clear" w:color="auto" w:fill="auto"/>
            <w:noWrap/>
            <w:vAlign w:val="center"/>
          </w:tcPr>
          <w:p w14:paraId="67C3354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276.42±24.37</w:t>
            </w:r>
          </w:p>
        </w:tc>
        <w:tc>
          <w:tcPr>
            <w:tcW w:w="982" w:type="pct"/>
            <w:tcBorders>
              <w:top w:val="nil"/>
              <w:left w:val="nil"/>
              <w:bottom w:val="nil"/>
              <w:right w:val="nil"/>
            </w:tcBorders>
            <w:shd w:val="clear" w:color="auto" w:fill="auto"/>
            <w:noWrap/>
            <w:vAlign w:val="center"/>
          </w:tcPr>
          <w:p w14:paraId="0D14026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354.37±36.25*</w:t>
            </w:r>
          </w:p>
        </w:tc>
        <w:tc>
          <w:tcPr>
            <w:tcW w:w="505" w:type="pct"/>
            <w:tcBorders>
              <w:top w:val="nil"/>
              <w:left w:val="nil"/>
              <w:bottom w:val="nil"/>
              <w:right w:val="nil"/>
            </w:tcBorders>
            <w:shd w:val="clear" w:color="auto" w:fill="auto"/>
            <w:noWrap/>
            <w:vAlign w:val="center"/>
          </w:tcPr>
          <w:p w14:paraId="57AFEE4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up</w:t>
            </w:r>
          </w:p>
        </w:tc>
      </w:tr>
      <w:tr w14:paraId="75EE9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627E8BE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12-amino-octadecanoic acid</w:t>
            </w:r>
          </w:p>
        </w:tc>
        <w:tc>
          <w:tcPr>
            <w:tcW w:w="983" w:type="pct"/>
            <w:tcBorders>
              <w:top w:val="nil"/>
              <w:left w:val="nil"/>
              <w:bottom w:val="nil"/>
              <w:right w:val="nil"/>
            </w:tcBorders>
            <w:shd w:val="clear" w:color="auto" w:fill="auto"/>
            <w:noWrap/>
            <w:vAlign w:val="center"/>
          </w:tcPr>
          <w:p w14:paraId="2BA9448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Fatty acids</w:t>
            </w:r>
          </w:p>
        </w:tc>
        <w:tc>
          <w:tcPr>
            <w:tcW w:w="879" w:type="pct"/>
            <w:tcBorders>
              <w:top w:val="nil"/>
              <w:left w:val="nil"/>
              <w:bottom w:val="nil"/>
              <w:right w:val="nil"/>
            </w:tcBorders>
            <w:shd w:val="clear" w:color="auto" w:fill="auto"/>
            <w:noWrap/>
            <w:vAlign w:val="center"/>
          </w:tcPr>
          <w:p w14:paraId="243116F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5246.96±445.98</w:t>
            </w:r>
          </w:p>
        </w:tc>
        <w:tc>
          <w:tcPr>
            <w:tcW w:w="982" w:type="pct"/>
            <w:tcBorders>
              <w:top w:val="nil"/>
              <w:left w:val="nil"/>
              <w:bottom w:val="nil"/>
              <w:right w:val="nil"/>
            </w:tcBorders>
            <w:shd w:val="clear" w:color="auto" w:fill="auto"/>
            <w:noWrap/>
            <w:vAlign w:val="center"/>
          </w:tcPr>
          <w:p w14:paraId="1FA3408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3466.11±742.58*</w:t>
            </w:r>
          </w:p>
        </w:tc>
        <w:tc>
          <w:tcPr>
            <w:tcW w:w="505" w:type="pct"/>
            <w:tcBorders>
              <w:top w:val="nil"/>
              <w:left w:val="nil"/>
              <w:bottom w:val="nil"/>
              <w:right w:val="nil"/>
            </w:tcBorders>
            <w:shd w:val="clear" w:color="auto" w:fill="auto"/>
            <w:noWrap/>
            <w:vAlign w:val="center"/>
          </w:tcPr>
          <w:p w14:paraId="68EB8B3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down</w:t>
            </w:r>
          </w:p>
        </w:tc>
      </w:tr>
      <w:tr w14:paraId="2D74A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635AA49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(13Z,16Z)-Docosadienoic acid</w:t>
            </w:r>
          </w:p>
        </w:tc>
        <w:tc>
          <w:tcPr>
            <w:tcW w:w="983" w:type="pct"/>
            <w:tcBorders>
              <w:top w:val="nil"/>
              <w:left w:val="nil"/>
              <w:bottom w:val="nil"/>
              <w:right w:val="nil"/>
            </w:tcBorders>
            <w:shd w:val="clear" w:color="auto" w:fill="auto"/>
            <w:noWrap/>
            <w:vAlign w:val="center"/>
          </w:tcPr>
          <w:p w14:paraId="7DED8D2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Fatty acids</w:t>
            </w:r>
          </w:p>
        </w:tc>
        <w:tc>
          <w:tcPr>
            <w:tcW w:w="879" w:type="pct"/>
            <w:tcBorders>
              <w:top w:val="nil"/>
              <w:left w:val="nil"/>
              <w:bottom w:val="nil"/>
              <w:right w:val="nil"/>
            </w:tcBorders>
            <w:shd w:val="clear" w:color="auto" w:fill="auto"/>
            <w:noWrap/>
            <w:vAlign w:val="center"/>
          </w:tcPr>
          <w:p w14:paraId="0E60EE6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4433.09±324.5</w:t>
            </w:r>
          </w:p>
        </w:tc>
        <w:tc>
          <w:tcPr>
            <w:tcW w:w="982" w:type="pct"/>
            <w:tcBorders>
              <w:top w:val="nil"/>
              <w:left w:val="nil"/>
              <w:bottom w:val="nil"/>
              <w:right w:val="nil"/>
            </w:tcBorders>
            <w:shd w:val="clear" w:color="auto" w:fill="auto"/>
            <w:noWrap/>
            <w:vAlign w:val="center"/>
          </w:tcPr>
          <w:p w14:paraId="20BE779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2629.92±560.06**</w:t>
            </w:r>
          </w:p>
        </w:tc>
        <w:tc>
          <w:tcPr>
            <w:tcW w:w="505" w:type="pct"/>
            <w:tcBorders>
              <w:top w:val="nil"/>
              <w:left w:val="nil"/>
              <w:bottom w:val="nil"/>
              <w:right w:val="nil"/>
            </w:tcBorders>
            <w:shd w:val="clear" w:color="auto" w:fill="auto"/>
            <w:noWrap/>
            <w:vAlign w:val="center"/>
          </w:tcPr>
          <w:p w14:paraId="7D42316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down</w:t>
            </w:r>
          </w:p>
        </w:tc>
      </w:tr>
      <w:tr w14:paraId="2EAD0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6A3BE48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Euscaphic acid</w:t>
            </w:r>
          </w:p>
        </w:tc>
        <w:tc>
          <w:tcPr>
            <w:tcW w:w="983" w:type="pct"/>
            <w:tcBorders>
              <w:top w:val="nil"/>
              <w:left w:val="nil"/>
              <w:bottom w:val="nil"/>
              <w:right w:val="nil"/>
            </w:tcBorders>
            <w:shd w:val="clear" w:color="auto" w:fill="auto"/>
            <w:noWrap/>
            <w:vAlign w:val="center"/>
          </w:tcPr>
          <w:p w14:paraId="05F788C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Terpenoids</w:t>
            </w:r>
          </w:p>
        </w:tc>
        <w:tc>
          <w:tcPr>
            <w:tcW w:w="879" w:type="pct"/>
            <w:tcBorders>
              <w:top w:val="nil"/>
              <w:left w:val="nil"/>
              <w:bottom w:val="nil"/>
              <w:right w:val="nil"/>
            </w:tcBorders>
            <w:shd w:val="clear" w:color="auto" w:fill="auto"/>
            <w:noWrap/>
            <w:vAlign w:val="center"/>
          </w:tcPr>
          <w:p w14:paraId="28E4353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2685.22±261.11</w:t>
            </w:r>
          </w:p>
        </w:tc>
        <w:tc>
          <w:tcPr>
            <w:tcW w:w="982" w:type="pct"/>
            <w:tcBorders>
              <w:top w:val="nil"/>
              <w:left w:val="nil"/>
              <w:bottom w:val="nil"/>
              <w:right w:val="nil"/>
            </w:tcBorders>
            <w:shd w:val="clear" w:color="auto" w:fill="auto"/>
            <w:noWrap/>
            <w:vAlign w:val="center"/>
          </w:tcPr>
          <w:p w14:paraId="50477F5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1148.92±222.95**</w:t>
            </w:r>
          </w:p>
        </w:tc>
        <w:tc>
          <w:tcPr>
            <w:tcW w:w="505" w:type="pct"/>
            <w:tcBorders>
              <w:top w:val="nil"/>
              <w:left w:val="nil"/>
              <w:bottom w:val="nil"/>
              <w:right w:val="nil"/>
            </w:tcBorders>
            <w:shd w:val="clear" w:color="auto" w:fill="auto"/>
            <w:noWrap/>
            <w:vAlign w:val="center"/>
          </w:tcPr>
          <w:p w14:paraId="7EE36A7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down</w:t>
            </w:r>
          </w:p>
        </w:tc>
      </w:tr>
      <w:tr w14:paraId="3DD10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21EE473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12-Methyltetradecanoic acid</w:t>
            </w:r>
          </w:p>
        </w:tc>
        <w:tc>
          <w:tcPr>
            <w:tcW w:w="983" w:type="pct"/>
            <w:tcBorders>
              <w:top w:val="nil"/>
              <w:left w:val="nil"/>
              <w:bottom w:val="nil"/>
              <w:right w:val="nil"/>
            </w:tcBorders>
            <w:shd w:val="clear" w:color="auto" w:fill="auto"/>
            <w:noWrap/>
            <w:vAlign w:val="center"/>
          </w:tcPr>
          <w:p w14:paraId="759903F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Fatty acids</w:t>
            </w:r>
          </w:p>
        </w:tc>
        <w:tc>
          <w:tcPr>
            <w:tcW w:w="879" w:type="pct"/>
            <w:tcBorders>
              <w:top w:val="nil"/>
              <w:left w:val="nil"/>
              <w:bottom w:val="nil"/>
              <w:right w:val="nil"/>
            </w:tcBorders>
            <w:shd w:val="clear" w:color="auto" w:fill="auto"/>
            <w:noWrap/>
            <w:vAlign w:val="center"/>
          </w:tcPr>
          <w:p w14:paraId="14ABB4E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2607.84±96.54</w:t>
            </w:r>
          </w:p>
        </w:tc>
        <w:tc>
          <w:tcPr>
            <w:tcW w:w="982" w:type="pct"/>
            <w:tcBorders>
              <w:top w:val="nil"/>
              <w:left w:val="nil"/>
              <w:bottom w:val="nil"/>
              <w:right w:val="nil"/>
            </w:tcBorders>
            <w:shd w:val="clear" w:color="auto" w:fill="auto"/>
            <w:noWrap/>
            <w:vAlign w:val="center"/>
          </w:tcPr>
          <w:p w14:paraId="243C238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1656.47±346.1*</w:t>
            </w:r>
          </w:p>
        </w:tc>
        <w:tc>
          <w:tcPr>
            <w:tcW w:w="505" w:type="pct"/>
            <w:tcBorders>
              <w:top w:val="nil"/>
              <w:left w:val="nil"/>
              <w:bottom w:val="nil"/>
              <w:right w:val="nil"/>
            </w:tcBorders>
            <w:shd w:val="clear" w:color="auto" w:fill="auto"/>
            <w:noWrap/>
            <w:vAlign w:val="center"/>
          </w:tcPr>
          <w:p w14:paraId="75D16A2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down</w:t>
            </w:r>
          </w:p>
        </w:tc>
      </w:tr>
      <w:tr w14:paraId="578EC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75B911A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lignoceric acid</w:t>
            </w:r>
          </w:p>
        </w:tc>
        <w:tc>
          <w:tcPr>
            <w:tcW w:w="983" w:type="pct"/>
            <w:tcBorders>
              <w:top w:val="nil"/>
              <w:left w:val="nil"/>
              <w:bottom w:val="nil"/>
              <w:right w:val="nil"/>
            </w:tcBorders>
            <w:shd w:val="clear" w:color="auto" w:fill="auto"/>
            <w:noWrap/>
            <w:vAlign w:val="center"/>
          </w:tcPr>
          <w:p w14:paraId="14FF1D5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Fatty acids</w:t>
            </w:r>
          </w:p>
        </w:tc>
        <w:tc>
          <w:tcPr>
            <w:tcW w:w="879" w:type="pct"/>
            <w:tcBorders>
              <w:top w:val="nil"/>
              <w:left w:val="nil"/>
              <w:bottom w:val="nil"/>
              <w:right w:val="nil"/>
            </w:tcBorders>
            <w:shd w:val="clear" w:color="auto" w:fill="auto"/>
            <w:noWrap/>
            <w:vAlign w:val="center"/>
          </w:tcPr>
          <w:p w14:paraId="33B4C7E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1415.9±169.34</w:t>
            </w:r>
          </w:p>
        </w:tc>
        <w:tc>
          <w:tcPr>
            <w:tcW w:w="982" w:type="pct"/>
            <w:tcBorders>
              <w:top w:val="nil"/>
              <w:left w:val="nil"/>
              <w:bottom w:val="nil"/>
              <w:right w:val="nil"/>
            </w:tcBorders>
            <w:shd w:val="clear" w:color="auto" w:fill="auto"/>
            <w:noWrap/>
            <w:vAlign w:val="center"/>
          </w:tcPr>
          <w:p w14:paraId="298CFEC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572.7±175.45**</w:t>
            </w:r>
          </w:p>
        </w:tc>
        <w:tc>
          <w:tcPr>
            <w:tcW w:w="505" w:type="pct"/>
            <w:tcBorders>
              <w:top w:val="nil"/>
              <w:left w:val="nil"/>
              <w:bottom w:val="nil"/>
              <w:right w:val="nil"/>
            </w:tcBorders>
            <w:shd w:val="clear" w:color="auto" w:fill="auto"/>
            <w:noWrap/>
            <w:vAlign w:val="center"/>
          </w:tcPr>
          <w:p w14:paraId="43FD192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down</w:t>
            </w:r>
          </w:p>
        </w:tc>
      </w:tr>
      <w:tr w14:paraId="60778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6E47CF6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3-Hexaprenyl-4-hydroxybenzoic acid</w:t>
            </w:r>
          </w:p>
        </w:tc>
        <w:tc>
          <w:tcPr>
            <w:tcW w:w="983" w:type="pct"/>
            <w:tcBorders>
              <w:top w:val="nil"/>
              <w:left w:val="nil"/>
              <w:bottom w:val="nil"/>
              <w:right w:val="nil"/>
            </w:tcBorders>
            <w:shd w:val="clear" w:color="auto" w:fill="auto"/>
            <w:noWrap/>
            <w:vAlign w:val="center"/>
          </w:tcPr>
          <w:p w14:paraId="6AD1A6C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Organic acids</w:t>
            </w:r>
          </w:p>
        </w:tc>
        <w:tc>
          <w:tcPr>
            <w:tcW w:w="879" w:type="pct"/>
            <w:tcBorders>
              <w:top w:val="nil"/>
              <w:left w:val="nil"/>
              <w:bottom w:val="nil"/>
              <w:right w:val="nil"/>
            </w:tcBorders>
            <w:shd w:val="clear" w:color="auto" w:fill="auto"/>
            <w:noWrap/>
            <w:vAlign w:val="center"/>
          </w:tcPr>
          <w:p w14:paraId="24DFB3A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1051.77±33.43</w:t>
            </w:r>
          </w:p>
        </w:tc>
        <w:tc>
          <w:tcPr>
            <w:tcW w:w="982" w:type="pct"/>
            <w:tcBorders>
              <w:top w:val="nil"/>
              <w:left w:val="nil"/>
              <w:bottom w:val="nil"/>
              <w:right w:val="nil"/>
            </w:tcBorders>
            <w:shd w:val="clear" w:color="auto" w:fill="auto"/>
            <w:noWrap/>
            <w:vAlign w:val="center"/>
          </w:tcPr>
          <w:p w14:paraId="6113BDE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338.1±98.21**</w:t>
            </w:r>
          </w:p>
        </w:tc>
        <w:tc>
          <w:tcPr>
            <w:tcW w:w="505" w:type="pct"/>
            <w:tcBorders>
              <w:top w:val="nil"/>
              <w:left w:val="nil"/>
              <w:bottom w:val="nil"/>
              <w:right w:val="nil"/>
            </w:tcBorders>
            <w:shd w:val="clear" w:color="auto" w:fill="auto"/>
            <w:noWrap/>
            <w:vAlign w:val="center"/>
          </w:tcPr>
          <w:p w14:paraId="637EC33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down</w:t>
            </w:r>
          </w:p>
        </w:tc>
      </w:tr>
      <w:tr w14:paraId="3D804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5947116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Docosanoic acid</w:t>
            </w:r>
          </w:p>
        </w:tc>
        <w:tc>
          <w:tcPr>
            <w:tcW w:w="983" w:type="pct"/>
            <w:tcBorders>
              <w:top w:val="nil"/>
              <w:left w:val="nil"/>
              <w:bottom w:val="nil"/>
              <w:right w:val="nil"/>
            </w:tcBorders>
            <w:shd w:val="clear" w:color="auto" w:fill="auto"/>
            <w:noWrap/>
            <w:vAlign w:val="center"/>
          </w:tcPr>
          <w:p w14:paraId="6260AC9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Fatty acids</w:t>
            </w:r>
          </w:p>
        </w:tc>
        <w:tc>
          <w:tcPr>
            <w:tcW w:w="879" w:type="pct"/>
            <w:tcBorders>
              <w:top w:val="nil"/>
              <w:left w:val="nil"/>
              <w:bottom w:val="nil"/>
              <w:right w:val="nil"/>
            </w:tcBorders>
            <w:shd w:val="clear" w:color="auto" w:fill="auto"/>
            <w:noWrap/>
            <w:vAlign w:val="center"/>
          </w:tcPr>
          <w:p w14:paraId="5AE10DB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972.09±69.97</w:t>
            </w:r>
          </w:p>
        </w:tc>
        <w:tc>
          <w:tcPr>
            <w:tcW w:w="982" w:type="pct"/>
            <w:tcBorders>
              <w:top w:val="nil"/>
              <w:left w:val="nil"/>
              <w:bottom w:val="nil"/>
              <w:right w:val="nil"/>
            </w:tcBorders>
            <w:shd w:val="clear" w:color="auto" w:fill="auto"/>
            <w:noWrap/>
            <w:vAlign w:val="center"/>
          </w:tcPr>
          <w:p w14:paraId="094056A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580.62±121.54**</w:t>
            </w:r>
          </w:p>
        </w:tc>
        <w:tc>
          <w:tcPr>
            <w:tcW w:w="505" w:type="pct"/>
            <w:tcBorders>
              <w:top w:val="nil"/>
              <w:left w:val="nil"/>
              <w:bottom w:val="nil"/>
              <w:right w:val="nil"/>
            </w:tcBorders>
            <w:shd w:val="clear" w:color="auto" w:fill="auto"/>
            <w:noWrap/>
            <w:vAlign w:val="center"/>
          </w:tcPr>
          <w:p w14:paraId="74151F8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down</w:t>
            </w:r>
          </w:p>
        </w:tc>
      </w:tr>
      <w:tr w14:paraId="7135D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649" w:type="pct"/>
            <w:tcBorders>
              <w:top w:val="nil"/>
              <w:left w:val="nil"/>
              <w:bottom w:val="nil"/>
              <w:right w:val="nil"/>
            </w:tcBorders>
            <w:shd w:val="clear" w:color="auto" w:fill="auto"/>
            <w:vAlign w:val="center"/>
          </w:tcPr>
          <w:p w14:paraId="3CAA282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(4Z,7Z,10Z,13Z,16Z,19Z)-Docosahexaenoic acid</w:t>
            </w:r>
          </w:p>
        </w:tc>
        <w:tc>
          <w:tcPr>
            <w:tcW w:w="983" w:type="pct"/>
            <w:tcBorders>
              <w:top w:val="nil"/>
              <w:left w:val="nil"/>
              <w:bottom w:val="nil"/>
              <w:right w:val="nil"/>
            </w:tcBorders>
            <w:shd w:val="clear" w:color="auto" w:fill="auto"/>
            <w:noWrap/>
            <w:vAlign w:val="center"/>
          </w:tcPr>
          <w:p w14:paraId="32B3113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Fatty acids</w:t>
            </w:r>
          </w:p>
        </w:tc>
        <w:tc>
          <w:tcPr>
            <w:tcW w:w="879" w:type="pct"/>
            <w:tcBorders>
              <w:top w:val="nil"/>
              <w:left w:val="nil"/>
              <w:bottom w:val="nil"/>
              <w:right w:val="nil"/>
            </w:tcBorders>
            <w:shd w:val="clear" w:color="auto" w:fill="auto"/>
            <w:noWrap/>
            <w:vAlign w:val="center"/>
          </w:tcPr>
          <w:p w14:paraId="0F342E4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1094.83±91.48</w:t>
            </w:r>
          </w:p>
        </w:tc>
        <w:tc>
          <w:tcPr>
            <w:tcW w:w="982" w:type="pct"/>
            <w:tcBorders>
              <w:top w:val="nil"/>
              <w:left w:val="nil"/>
              <w:bottom w:val="nil"/>
              <w:right w:val="nil"/>
            </w:tcBorders>
            <w:shd w:val="clear" w:color="auto" w:fill="auto"/>
            <w:noWrap/>
            <w:vAlign w:val="center"/>
          </w:tcPr>
          <w:p w14:paraId="6D5FC81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483.37±62.05**</w:t>
            </w:r>
          </w:p>
        </w:tc>
        <w:tc>
          <w:tcPr>
            <w:tcW w:w="505" w:type="pct"/>
            <w:tcBorders>
              <w:top w:val="nil"/>
              <w:left w:val="nil"/>
              <w:bottom w:val="nil"/>
              <w:right w:val="nil"/>
            </w:tcBorders>
            <w:shd w:val="clear" w:color="auto" w:fill="auto"/>
            <w:noWrap/>
            <w:vAlign w:val="center"/>
          </w:tcPr>
          <w:p w14:paraId="349A851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down</w:t>
            </w:r>
          </w:p>
        </w:tc>
      </w:tr>
      <w:tr w14:paraId="6CEF9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728A3E0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DL-Pipecolic acid</w:t>
            </w:r>
          </w:p>
        </w:tc>
        <w:tc>
          <w:tcPr>
            <w:tcW w:w="983" w:type="pct"/>
            <w:tcBorders>
              <w:top w:val="nil"/>
              <w:left w:val="nil"/>
              <w:bottom w:val="nil"/>
              <w:right w:val="nil"/>
            </w:tcBorders>
            <w:shd w:val="clear" w:color="auto" w:fill="auto"/>
            <w:noWrap/>
            <w:vAlign w:val="center"/>
          </w:tcPr>
          <w:p w14:paraId="09E6814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Fatty acids</w:t>
            </w:r>
          </w:p>
        </w:tc>
        <w:tc>
          <w:tcPr>
            <w:tcW w:w="879" w:type="pct"/>
            <w:tcBorders>
              <w:top w:val="nil"/>
              <w:left w:val="nil"/>
              <w:bottom w:val="nil"/>
              <w:right w:val="nil"/>
            </w:tcBorders>
            <w:shd w:val="clear" w:color="auto" w:fill="auto"/>
            <w:noWrap/>
            <w:vAlign w:val="center"/>
          </w:tcPr>
          <w:p w14:paraId="668BF8B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713.52±43.78</w:t>
            </w:r>
          </w:p>
        </w:tc>
        <w:tc>
          <w:tcPr>
            <w:tcW w:w="982" w:type="pct"/>
            <w:tcBorders>
              <w:top w:val="nil"/>
              <w:left w:val="nil"/>
              <w:bottom w:val="nil"/>
              <w:right w:val="nil"/>
            </w:tcBorders>
            <w:shd w:val="clear" w:color="auto" w:fill="auto"/>
            <w:noWrap/>
            <w:vAlign w:val="center"/>
          </w:tcPr>
          <w:p w14:paraId="1FAC1A6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549.78±78.19*</w:t>
            </w:r>
          </w:p>
        </w:tc>
        <w:tc>
          <w:tcPr>
            <w:tcW w:w="505" w:type="pct"/>
            <w:tcBorders>
              <w:top w:val="nil"/>
              <w:left w:val="nil"/>
              <w:bottom w:val="nil"/>
              <w:right w:val="nil"/>
            </w:tcBorders>
            <w:shd w:val="clear" w:color="auto" w:fill="auto"/>
            <w:noWrap/>
            <w:vAlign w:val="center"/>
          </w:tcPr>
          <w:p w14:paraId="0961027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down</w:t>
            </w:r>
          </w:p>
        </w:tc>
      </w:tr>
      <w:tr w14:paraId="284E2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35D6E2D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Azelaic acid</w:t>
            </w:r>
          </w:p>
        </w:tc>
        <w:tc>
          <w:tcPr>
            <w:tcW w:w="983" w:type="pct"/>
            <w:tcBorders>
              <w:top w:val="nil"/>
              <w:left w:val="nil"/>
              <w:bottom w:val="nil"/>
              <w:right w:val="nil"/>
            </w:tcBorders>
            <w:shd w:val="clear" w:color="auto" w:fill="auto"/>
            <w:noWrap/>
            <w:vAlign w:val="center"/>
          </w:tcPr>
          <w:p w14:paraId="3613F15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Organic acids</w:t>
            </w:r>
          </w:p>
        </w:tc>
        <w:tc>
          <w:tcPr>
            <w:tcW w:w="879" w:type="pct"/>
            <w:tcBorders>
              <w:top w:val="nil"/>
              <w:left w:val="nil"/>
              <w:bottom w:val="nil"/>
              <w:right w:val="nil"/>
            </w:tcBorders>
            <w:shd w:val="clear" w:color="auto" w:fill="auto"/>
            <w:noWrap/>
            <w:vAlign w:val="center"/>
          </w:tcPr>
          <w:p w14:paraId="17FAE27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814.08±81.17</w:t>
            </w:r>
          </w:p>
        </w:tc>
        <w:tc>
          <w:tcPr>
            <w:tcW w:w="982" w:type="pct"/>
            <w:tcBorders>
              <w:top w:val="nil"/>
              <w:left w:val="nil"/>
              <w:bottom w:val="nil"/>
              <w:right w:val="nil"/>
            </w:tcBorders>
            <w:shd w:val="clear" w:color="auto" w:fill="auto"/>
            <w:noWrap/>
            <w:vAlign w:val="center"/>
          </w:tcPr>
          <w:p w14:paraId="3759F80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307±31.47**</w:t>
            </w:r>
          </w:p>
        </w:tc>
        <w:tc>
          <w:tcPr>
            <w:tcW w:w="505" w:type="pct"/>
            <w:tcBorders>
              <w:top w:val="nil"/>
              <w:left w:val="nil"/>
              <w:bottom w:val="nil"/>
              <w:right w:val="nil"/>
            </w:tcBorders>
            <w:shd w:val="clear" w:color="auto" w:fill="auto"/>
            <w:noWrap/>
            <w:vAlign w:val="center"/>
          </w:tcPr>
          <w:p w14:paraId="7D9FE11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down</w:t>
            </w:r>
          </w:p>
        </w:tc>
      </w:tr>
      <w:tr w14:paraId="07F0D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46373F7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myristic acid</w:t>
            </w:r>
          </w:p>
        </w:tc>
        <w:tc>
          <w:tcPr>
            <w:tcW w:w="983" w:type="pct"/>
            <w:tcBorders>
              <w:top w:val="nil"/>
              <w:left w:val="nil"/>
              <w:bottom w:val="nil"/>
              <w:right w:val="nil"/>
            </w:tcBorders>
            <w:shd w:val="clear" w:color="auto" w:fill="auto"/>
            <w:noWrap/>
            <w:vAlign w:val="center"/>
          </w:tcPr>
          <w:p w14:paraId="7A810F6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Fatty acids</w:t>
            </w:r>
          </w:p>
        </w:tc>
        <w:tc>
          <w:tcPr>
            <w:tcW w:w="879" w:type="pct"/>
            <w:tcBorders>
              <w:top w:val="nil"/>
              <w:left w:val="nil"/>
              <w:bottom w:val="nil"/>
              <w:right w:val="nil"/>
            </w:tcBorders>
            <w:shd w:val="clear" w:color="auto" w:fill="auto"/>
            <w:noWrap/>
            <w:vAlign w:val="center"/>
          </w:tcPr>
          <w:p w14:paraId="4EFB5B5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714.18±35.41</w:t>
            </w:r>
          </w:p>
        </w:tc>
        <w:tc>
          <w:tcPr>
            <w:tcW w:w="982" w:type="pct"/>
            <w:tcBorders>
              <w:top w:val="nil"/>
              <w:left w:val="nil"/>
              <w:bottom w:val="nil"/>
              <w:right w:val="nil"/>
            </w:tcBorders>
            <w:shd w:val="clear" w:color="auto" w:fill="auto"/>
            <w:noWrap/>
            <w:vAlign w:val="center"/>
          </w:tcPr>
          <w:p w14:paraId="1CBD74B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491.28±65.65**</w:t>
            </w:r>
          </w:p>
        </w:tc>
        <w:tc>
          <w:tcPr>
            <w:tcW w:w="505" w:type="pct"/>
            <w:tcBorders>
              <w:top w:val="nil"/>
              <w:left w:val="nil"/>
              <w:bottom w:val="nil"/>
              <w:right w:val="nil"/>
            </w:tcBorders>
            <w:shd w:val="clear" w:color="auto" w:fill="auto"/>
            <w:noWrap/>
            <w:vAlign w:val="center"/>
          </w:tcPr>
          <w:p w14:paraId="38377FE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down</w:t>
            </w:r>
          </w:p>
        </w:tc>
      </w:tr>
      <w:tr w14:paraId="702BF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670F33A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3,4-dimethylenedioxy mandelic acid</w:t>
            </w:r>
          </w:p>
        </w:tc>
        <w:tc>
          <w:tcPr>
            <w:tcW w:w="983" w:type="pct"/>
            <w:tcBorders>
              <w:top w:val="nil"/>
              <w:left w:val="nil"/>
              <w:bottom w:val="nil"/>
              <w:right w:val="nil"/>
            </w:tcBorders>
            <w:shd w:val="clear" w:color="auto" w:fill="auto"/>
            <w:noWrap/>
            <w:vAlign w:val="center"/>
          </w:tcPr>
          <w:p w14:paraId="7BB8193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Organic acids</w:t>
            </w:r>
          </w:p>
        </w:tc>
        <w:tc>
          <w:tcPr>
            <w:tcW w:w="879" w:type="pct"/>
            <w:tcBorders>
              <w:top w:val="nil"/>
              <w:left w:val="nil"/>
              <w:bottom w:val="nil"/>
              <w:right w:val="nil"/>
            </w:tcBorders>
            <w:shd w:val="clear" w:color="auto" w:fill="auto"/>
            <w:noWrap/>
            <w:vAlign w:val="center"/>
          </w:tcPr>
          <w:p w14:paraId="004E382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562.87±12.6</w:t>
            </w:r>
          </w:p>
        </w:tc>
        <w:tc>
          <w:tcPr>
            <w:tcW w:w="982" w:type="pct"/>
            <w:tcBorders>
              <w:top w:val="nil"/>
              <w:left w:val="nil"/>
              <w:bottom w:val="nil"/>
              <w:right w:val="nil"/>
            </w:tcBorders>
            <w:shd w:val="clear" w:color="auto" w:fill="auto"/>
            <w:noWrap/>
            <w:vAlign w:val="center"/>
          </w:tcPr>
          <w:p w14:paraId="485C29E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260.16±4.23**</w:t>
            </w:r>
          </w:p>
        </w:tc>
        <w:tc>
          <w:tcPr>
            <w:tcW w:w="505" w:type="pct"/>
            <w:tcBorders>
              <w:top w:val="nil"/>
              <w:left w:val="nil"/>
              <w:bottom w:val="nil"/>
              <w:right w:val="nil"/>
            </w:tcBorders>
            <w:shd w:val="clear" w:color="auto" w:fill="auto"/>
            <w:noWrap/>
            <w:vAlign w:val="center"/>
          </w:tcPr>
          <w:p w14:paraId="00034D1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down</w:t>
            </w:r>
          </w:p>
        </w:tc>
      </w:tr>
      <w:tr w14:paraId="77B38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38EB421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(9Z)-Hexadecenoic acid</w:t>
            </w:r>
          </w:p>
        </w:tc>
        <w:tc>
          <w:tcPr>
            <w:tcW w:w="983" w:type="pct"/>
            <w:tcBorders>
              <w:top w:val="nil"/>
              <w:left w:val="nil"/>
              <w:bottom w:val="nil"/>
              <w:right w:val="nil"/>
            </w:tcBorders>
            <w:shd w:val="clear" w:color="auto" w:fill="auto"/>
            <w:noWrap/>
            <w:vAlign w:val="center"/>
          </w:tcPr>
          <w:p w14:paraId="7799403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Fatty acids</w:t>
            </w:r>
          </w:p>
        </w:tc>
        <w:tc>
          <w:tcPr>
            <w:tcW w:w="879" w:type="pct"/>
            <w:tcBorders>
              <w:top w:val="nil"/>
              <w:left w:val="nil"/>
              <w:bottom w:val="nil"/>
              <w:right w:val="nil"/>
            </w:tcBorders>
            <w:shd w:val="clear" w:color="auto" w:fill="auto"/>
            <w:noWrap/>
            <w:vAlign w:val="center"/>
          </w:tcPr>
          <w:p w14:paraId="5B2A5B1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513.98±39.84</w:t>
            </w:r>
          </w:p>
        </w:tc>
        <w:tc>
          <w:tcPr>
            <w:tcW w:w="982" w:type="pct"/>
            <w:tcBorders>
              <w:top w:val="nil"/>
              <w:left w:val="nil"/>
              <w:bottom w:val="nil"/>
              <w:right w:val="nil"/>
            </w:tcBorders>
            <w:shd w:val="clear" w:color="auto" w:fill="auto"/>
            <w:noWrap/>
            <w:vAlign w:val="center"/>
          </w:tcPr>
          <w:p w14:paraId="39E283B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339.81±70.66*</w:t>
            </w:r>
          </w:p>
        </w:tc>
        <w:tc>
          <w:tcPr>
            <w:tcW w:w="505" w:type="pct"/>
            <w:tcBorders>
              <w:top w:val="nil"/>
              <w:left w:val="nil"/>
              <w:bottom w:val="nil"/>
              <w:right w:val="nil"/>
            </w:tcBorders>
            <w:shd w:val="clear" w:color="auto" w:fill="auto"/>
            <w:noWrap/>
            <w:vAlign w:val="center"/>
          </w:tcPr>
          <w:p w14:paraId="63880FB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down</w:t>
            </w:r>
          </w:p>
        </w:tc>
      </w:tr>
      <w:tr w14:paraId="71E28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649" w:type="pct"/>
            <w:tcBorders>
              <w:top w:val="nil"/>
              <w:left w:val="nil"/>
              <w:bottom w:val="nil"/>
              <w:right w:val="nil"/>
            </w:tcBorders>
            <w:shd w:val="clear" w:color="auto" w:fill="auto"/>
            <w:noWrap/>
            <w:vAlign w:val="center"/>
          </w:tcPr>
          <w:p w14:paraId="24CE46B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Nicotinic acid</w:t>
            </w:r>
          </w:p>
        </w:tc>
        <w:tc>
          <w:tcPr>
            <w:tcW w:w="983" w:type="pct"/>
            <w:tcBorders>
              <w:top w:val="nil"/>
              <w:left w:val="nil"/>
              <w:bottom w:val="nil"/>
              <w:right w:val="nil"/>
            </w:tcBorders>
            <w:shd w:val="clear" w:color="auto" w:fill="auto"/>
            <w:noWrap/>
            <w:vAlign w:val="center"/>
          </w:tcPr>
          <w:p w14:paraId="6403F91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Organic acids</w:t>
            </w:r>
          </w:p>
        </w:tc>
        <w:tc>
          <w:tcPr>
            <w:tcW w:w="879" w:type="pct"/>
            <w:tcBorders>
              <w:top w:val="nil"/>
              <w:left w:val="nil"/>
              <w:bottom w:val="nil"/>
              <w:right w:val="nil"/>
            </w:tcBorders>
            <w:shd w:val="clear" w:color="auto" w:fill="auto"/>
            <w:noWrap/>
            <w:vAlign w:val="center"/>
          </w:tcPr>
          <w:p w14:paraId="601734A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468.53±34.34</w:t>
            </w:r>
          </w:p>
        </w:tc>
        <w:tc>
          <w:tcPr>
            <w:tcW w:w="982" w:type="pct"/>
            <w:tcBorders>
              <w:top w:val="nil"/>
              <w:left w:val="nil"/>
              <w:bottom w:val="nil"/>
              <w:right w:val="nil"/>
            </w:tcBorders>
            <w:shd w:val="clear" w:color="auto" w:fill="auto"/>
            <w:noWrap/>
            <w:vAlign w:val="center"/>
          </w:tcPr>
          <w:p w14:paraId="6E39AEB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228.78±71.54**</w:t>
            </w:r>
          </w:p>
        </w:tc>
        <w:tc>
          <w:tcPr>
            <w:tcW w:w="505" w:type="pct"/>
            <w:tcBorders>
              <w:top w:val="nil"/>
              <w:left w:val="nil"/>
              <w:bottom w:val="nil"/>
              <w:right w:val="nil"/>
            </w:tcBorders>
            <w:shd w:val="clear" w:color="auto" w:fill="auto"/>
            <w:noWrap/>
            <w:vAlign w:val="center"/>
          </w:tcPr>
          <w:p w14:paraId="17F02C1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down</w:t>
            </w:r>
          </w:p>
        </w:tc>
      </w:tr>
      <w:tr w14:paraId="1B34B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649" w:type="pct"/>
            <w:tcBorders>
              <w:top w:val="nil"/>
              <w:left w:val="nil"/>
              <w:bottom w:val="single" w:color="000000" w:sz="8" w:space="0"/>
              <w:right w:val="nil"/>
            </w:tcBorders>
            <w:shd w:val="clear" w:color="auto" w:fill="auto"/>
            <w:noWrap/>
            <w:vAlign w:val="center"/>
          </w:tcPr>
          <w:p w14:paraId="7BB59C4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Docosatrienoic Acid</w:t>
            </w:r>
          </w:p>
        </w:tc>
        <w:tc>
          <w:tcPr>
            <w:tcW w:w="983" w:type="pct"/>
            <w:tcBorders>
              <w:top w:val="nil"/>
              <w:left w:val="nil"/>
              <w:bottom w:val="single" w:color="000000" w:sz="8" w:space="0"/>
              <w:right w:val="nil"/>
            </w:tcBorders>
            <w:shd w:val="clear" w:color="auto" w:fill="auto"/>
            <w:noWrap/>
            <w:vAlign w:val="center"/>
          </w:tcPr>
          <w:p w14:paraId="66FE813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Fatty acids</w:t>
            </w:r>
          </w:p>
        </w:tc>
        <w:tc>
          <w:tcPr>
            <w:tcW w:w="879" w:type="pct"/>
            <w:tcBorders>
              <w:top w:val="nil"/>
              <w:left w:val="nil"/>
              <w:bottom w:val="single" w:color="000000" w:sz="8" w:space="0"/>
              <w:right w:val="nil"/>
            </w:tcBorders>
            <w:shd w:val="clear" w:color="auto" w:fill="auto"/>
            <w:noWrap/>
            <w:vAlign w:val="center"/>
          </w:tcPr>
          <w:p w14:paraId="3158F1A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384.53±71.5</w:t>
            </w:r>
          </w:p>
        </w:tc>
        <w:tc>
          <w:tcPr>
            <w:tcW w:w="982" w:type="pct"/>
            <w:tcBorders>
              <w:top w:val="nil"/>
              <w:left w:val="nil"/>
              <w:bottom w:val="single" w:color="000000" w:sz="8" w:space="0"/>
              <w:right w:val="nil"/>
            </w:tcBorders>
            <w:shd w:val="clear" w:color="auto" w:fill="auto"/>
            <w:noWrap/>
            <w:vAlign w:val="center"/>
          </w:tcPr>
          <w:p w14:paraId="216F07A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112.06±8.68**</w:t>
            </w:r>
          </w:p>
        </w:tc>
        <w:tc>
          <w:tcPr>
            <w:tcW w:w="505" w:type="pct"/>
            <w:tcBorders>
              <w:top w:val="nil"/>
              <w:left w:val="nil"/>
              <w:bottom w:val="single" w:color="000000" w:sz="8" w:space="0"/>
              <w:right w:val="nil"/>
            </w:tcBorders>
            <w:shd w:val="clear" w:color="auto" w:fill="auto"/>
            <w:noWrap/>
            <w:vAlign w:val="center"/>
          </w:tcPr>
          <w:p w14:paraId="6EF5B2F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down</w:t>
            </w:r>
          </w:p>
        </w:tc>
      </w:tr>
    </w:tbl>
    <w:p w14:paraId="48BFBC16">
      <w:pPr>
        <w:keepNext w:val="0"/>
        <w:keepLines w:val="0"/>
        <w:pageBreakBefore w:val="0"/>
        <w:widowControl/>
        <w:kinsoku/>
        <w:wordWrap/>
        <w:overflowPunct/>
        <w:topLinePunct w:val="0"/>
        <w:autoSpaceDE/>
        <w:autoSpaceDN/>
        <w:bidi w:val="0"/>
        <w:adjustRightInd/>
        <w:snapToGrid/>
        <w:spacing w:before="120"/>
        <w:jc w:val="both"/>
        <w:textAlignment w:val="auto"/>
        <w:rPr>
          <w:rFonts w:hint="default" w:ascii="Times New Roman" w:hAnsi="Times New Roman" w:cs="Times New Roman"/>
          <w:b/>
          <w:color w:val="auto"/>
          <w:sz w:val="24"/>
          <w:szCs w:val="24"/>
          <w:lang w:val="en-US" w:eastAsia="zh-CN"/>
        </w:rPr>
      </w:pPr>
    </w:p>
    <w:p w14:paraId="384046EC">
      <w:pPr>
        <w:keepNext w:val="0"/>
        <w:keepLines w:val="0"/>
        <w:pageBreakBefore w:val="0"/>
        <w:widowControl/>
        <w:kinsoku/>
        <w:wordWrap/>
        <w:overflowPunct/>
        <w:topLinePunct w:val="0"/>
        <w:autoSpaceDE/>
        <w:autoSpaceDN/>
        <w:bidi w:val="0"/>
        <w:adjustRightInd/>
        <w:snapToGrid/>
        <w:spacing w:before="120"/>
        <w:jc w:val="both"/>
        <w:textAlignment w:val="auto"/>
        <w:rPr>
          <w:rFonts w:hint="eastAsia" w:eastAsia="宋体" w:cs="Times New Roman"/>
          <w:color w:val="auto"/>
          <w:sz w:val="24"/>
          <w:szCs w:val="24"/>
          <w:lang w:val="en-US" w:eastAsia="zh-CN"/>
        </w:rPr>
      </w:pPr>
      <w:r>
        <w:rPr>
          <w:rFonts w:hint="default" w:ascii="Times New Roman" w:hAnsi="Times New Roman" w:cs="Times New Roman"/>
          <w:b/>
          <w:color w:val="auto"/>
          <w:sz w:val="24"/>
          <w:szCs w:val="24"/>
          <w:lang w:val="en-US" w:eastAsia="zh-CN"/>
        </w:rPr>
        <w:t xml:space="preserve">Supplementary Table </w:t>
      </w:r>
      <w:r>
        <w:rPr>
          <w:rFonts w:hint="eastAsia" w:cs="Times New Roman"/>
          <w:b/>
          <w:color w:val="auto"/>
          <w:sz w:val="24"/>
          <w:szCs w:val="24"/>
          <w:lang w:val="en-US" w:eastAsia="zh-CN"/>
        </w:rPr>
        <w:t>4</w:t>
      </w:r>
      <w:r>
        <w:rPr>
          <w:rFonts w:hint="eastAsia" w:ascii="Times New Roman" w:hAnsi="Times New Roman" w:cs="Times New Roman"/>
          <w:b/>
          <w:color w:val="auto"/>
          <w:sz w:val="24"/>
          <w:szCs w:val="24"/>
          <w:lang w:val="en-US" w:eastAsia="zh-CN"/>
        </w:rPr>
        <w:t>.</w:t>
      </w:r>
      <w:r>
        <w:rPr>
          <w:rFonts w:hint="eastAsia" w:cs="Times New Roman"/>
          <w:b/>
          <w:color w:val="auto"/>
          <w:sz w:val="24"/>
          <w:szCs w:val="24"/>
          <w:lang w:val="en-US" w:eastAsia="zh-CN"/>
        </w:rPr>
        <w:t xml:space="preserve"> </w:t>
      </w:r>
      <w:r>
        <w:rPr>
          <w:rFonts w:hint="eastAsia" w:cs="Times New Roman"/>
          <w:b w:val="0"/>
          <w:bCs/>
          <w:color w:val="auto"/>
          <w:sz w:val="24"/>
          <w:szCs w:val="24"/>
          <w:lang w:val="en-US" w:eastAsia="zh-CN"/>
        </w:rPr>
        <w:t>Table of total variance of</w:t>
      </w:r>
      <w:r>
        <w:rPr>
          <w:rFonts w:hint="eastAsia" w:cs="Times New Roman"/>
          <w:b/>
          <w:color w:val="auto"/>
          <w:sz w:val="24"/>
          <w:szCs w:val="24"/>
          <w:lang w:val="en-US" w:eastAsia="zh-CN"/>
        </w:rPr>
        <w:t xml:space="preserve"> </w:t>
      </w:r>
      <w:r>
        <w:rPr>
          <w:rFonts w:hint="eastAsia" w:cs="Times New Roman"/>
          <w:b w:val="0"/>
          <w:bCs/>
          <w:color w:val="auto"/>
          <w:sz w:val="24"/>
          <w:szCs w:val="24"/>
          <w:lang w:val="en-US" w:eastAsia="zh-CN"/>
        </w:rPr>
        <w:t>p</w:t>
      </w:r>
      <w:r>
        <w:rPr>
          <w:rFonts w:hint="default" w:ascii="Times New Roman" w:hAnsi="Times New Roman" w:cs="Times New Roman"/>
          <w:color w:val="auto"/>
          <w:sz w:val="24"/>
          <w:szCs w:val="24"/>
        </w:rPr>
        <w:t>rincipal component analysis (PCA)</w:t>
      </w:r>
      <w:r>
        <w:rPr>
          <w:rFonts w:hint="eastAsia" w:eastAsia="宋体" w:cs="Times New Roman"/>
          <w:color w:val="auto"/>
          <w:sz w:val="24"/>
          <w:szCs w:val="24"/>
          <w:lang w:val="en-US" w:eastAsia="zh-CN"/>
        </w:rPr>
        <w:t xml:space="preserve"> of </w:t>
      </w:r>
      <w:r>
        <w:rPr>
          <w:rFonts w:hint="eastAsia" w:eastAsia="宋体" w:cs="Times New Roman"/>
          <w:i/>
          <w:iCs/>
          <w:color w:val="auto"/>
          <w:sz w:val="24"/>
          <w:szCs w:val="24"/>
          <w:lang w:val="en-US" w:eastAsia="zh-CN"/>
        </w:rPr>
        <w:t>C. morifolium</w:t>
      </w:r>
      <w:r>
        <w:rPr>
          <w:rFonts w:hint="eastAsia" w:eastAsia="宋体" w:cs="Times New Roman"/>
          <w:color w:val="auto"/>
          <w:sz w:val="24"/>
          <w:szCs w:val="24"/>
          <w:lang w:val="en-US" w:eastAsia="zh-CN"/>
        </w:rPr>
        <w:t xml:space="preserve"> soil physicochemical properties and enzyme activities.</w:t>
      </w:r>
    </w:p>
    <w:tbl>
      <w:tblPr>
        <w:tblStyle w:val="20"/>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17"/>
        <w:gridCol w:w="939"/>
        <w:gridCol w:w="1607"/>
        <w:gridCol w:w="1719"/>
        <w:gridCol w:w="933"/>
        <w:gridCol w:w="1575"/>
        <w:gridCol w:w="1701"/>
      </w:tblGrid>
      <w:tr w14:paraId="3F20B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vMerge w:val="restart"/>
            <w:tcBorders>
              <w:top w:val="single" w:color="000000" w:sz="8" w:space="0"/>
              <w:left w:val="nil"/>
              <w:bottom w:val="single" w:color="000000" w:sz="8" w:space="0"/>
              <w:right w:val="nil"/>
            </w:tcBorders>
            <w:shd w:val="clear" w:color="auto" w:fill="auto"/>
            <w:vAlign w:val="center"/>
          </w:tcPr>
          <w:p w14:paraId="2B2E72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Principal companents</w:t>
            </w:r>
          </w:p>
        </w:tc>
        <w:tc>
          <w:tcPr>
            <w:tcW w:w="2134" w:type="pct"/>
            <w:gridSpan w:val="3"/>
            <w:tcBorders>
              <w:top w:val="single" w:color="000000" w:sz="8" w:space="0"/>
              <w:left w:val="nil"/>
              <w:bottom w:val="nil"/>
              <w:right w:val="nil"/>
            </w:tcBorders>
            <w:shd w:val="clear" w:color="auto" w:fill="auto"/>
            <w:noWrap/>
            <w:vAlign w:val="center"/>
          </w:tcPr>
          <w:p w14:paraId="4332B034">
            <w:pPr>
              <w:keepNext w:val="0"/>
              <w:keepLines w:val="0"/>
              <w:pageBreakBefore w:val="0"/>
              <w:widowControl/>
              <w:suppressLineNumbers w:val="0"/>
              <w:kinsoku/>
              <w:wordWrap/>
              <w:overflowPunct/>
              <w:topLinePunct w:val="0"/>
              <w:autoSpaceDE/>
              <w:autoSpaceDN/>
              <w:bidi w:val="0"/>
              <w:adjustRightInd/>
              <w:snapToGrid/>
              <w:spacing w:line="10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Initial eigenvalues</w:t>
            </w:r>
          </w:p>
        </w:tc>
        <w:tc>
          <w:tcPr>
            <w:tcW w:w="2106" w:type="pct"/>
            <w:gridSpan w:val="3"/>
            <w:tcBorders>
              <w:top w:val="single" w:color="000000" w:sz="8" w:space="0"/>
              <w:left w:val="nil"/>
              <w:bottom w:val="nil"/>
              <w:right w:val="nil"/>
            </w:tcBorders>
            <w:shd w:val="clear" w:color="auto" w:fill="auto"/>
            <w:noWrap/>
            <w:vAlign w:val="center"/>
          </w:tcPr>
          <w:p w14:paraId="17EC7F7C">
            <w:pPr>
              <w:keepNext w:val="0"/>
              <w:keepLines w:val="0"/>
              <w:pageBreakBefore w:val="0"/>
              <w:widowControl/>
              <w:suppressLineNumbers w:val="0"/>
              <w:kinsoku/>
              <w:wordWrap/>
              <w:overflowPunct/>
              <w:topLinePunct w:val="0"/>
              <w:autoSpaceDE/>
              <w:autoSpaceDN/>
              <w:bidi w:val="0"/>
              <w:adjustRightInd/>
              <w:snapToGrid/>
              <w:spacing w:line="10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Extraction sums of squared loadings</w:t>
            </w:r>
          </w:p>
        </w:tc>
      </w:tr>
      <w:tr w14:paraId="18573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2" w:hRule="atLeast"/>
        </w:trPr>
        <w:tc>
          <w:tcPr>
            <w:tcW w:w="759" w:type="pct"/>
            <w:vMerge w:val="continue"/>
            <w:tcBorders>
              <w:top w:val="single" w:color="000000" w:sz="8" w:space="0"/>
              <w:left w:val="nil"/>
              <w:bottom w:val="single" w:color="000000" w:sz="8" w:space="0"/>
              <w:right w:val="nil"/>
            </w:tcBorders>
            <w:shd w:val="clear" w:color="auto" w:fill="auto"/>
            <w:vAlign w:val="center"/>
          </w:tcPr>
          <w:p w14:paraId="1B0C3BC4">
            <w:pPr>
              <w:keepNext w:val="0"/>
              <w:keepLines w:val="0"/>
              <w:pageBreakBefore w:val="0"/>
              <w:widowControl/>
              <w:kinsoku/>
              <w:wordWrap/>
              <w:overflowPunct/>
              <w:topLinePunct w:val="0"/>
              <w:autoSpaceDE/>
              <w:autoSpaceDN/>
              <w:bidi w:val="0"/>
              <w:adjustRightInd/>
              <w:snapToGrid/>
              <w:spacing w:line="100" w:lineRule="exact"/>
              <w:jc w:val="center"/>
              <w:rPr>
                <w:rFonts w:hint="default" w:ascii="Times New Roman" w:hAnsi="Times New Roman" w:eastAsia="宋体" w:cs="Times New Roman"/>
                <w:i w:val="0"/>
                <w:iCs w:val="0"/>
                <w:color w:val="auto"/>
                <w:sz w:val="21"/>
                <w:szCs w:val="21"/>
                <w:u w:val="none"/>
              </w:rPr>
            </w:pPr>
          </w:p>
        </w:tc>
        <w:tc>
          <w:tcPr>
            <w:tcW w:w="470" w:type="pct"/>
            <w:tcBorders>
              <w:top w:val="nil"/>
              <w:left w:val="nil"/>
              <w:bottom w:val="single" w:color="000000" w:sz="8" w:space="0"/>
              <w:right w:val="nil"/>
            </w:tcBorders>
            <w:shd w:val="clear" w:color="auto" w:fill="auto"/>
            <w:noWrap/>
            <w:vAlign w:val="center"/>
          </w:tcPr>
          <w:p w14:paraId="1106847E">
            <w:pPr>
              <w:keepNext w:val="0"/>
              <w:keepLines w:val="0"/>
              <w:pageBreakBefore w:val="0"/>
              <w:widowControl/>
              <w:suppressLineNumbers w:val="0"/>
              <w:kinsoku/>
              <w:wordWrap/>
              <w:overflowPunct/>
              <w:topLinePunct w:val="0"/>
              <w:autoSpaceDE/>
              <w:autoSpaceDN/>
              <w:bidi w:val="0"/>
              <w:adjustRightInd/>
              <w:snapToGrid/>
              <w:spacing w:line="100" w:lineRule="exact"/>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T</w:t>
            </w:r>
            <w:r>
              <w:rPr>
                <w:rFonts w:hint="eastAsia" w:eastAsia="宋体" w:cs="Times New Roman"/>
                <w:i w:val="0"/>
                <w:iCs w:val="0"/>
                <w:color w:val="auto"/>
                <w:kern w:val="0"/>
                <w:sz w:val="21"/>
                <w:szCs w:val="21"/>
                <w:u w:val="none"/>
                <w:lang w:val="en-US" w:eastAsia="zh-CN" w:bidi="ar"/>
              </w:rPr>
              <w:t>otal</w:t>
            </w:r>
          </w:p>
        </w:tc>
        <w:tc>
          <w:tcPr>
            <w:tcW w:w="804" w:type="pct"/>
            <w:tcBorders>
              <w:top w:val="nil"/>
              <w:left w:val="nil"/>
              <w:bottom w:val="single" w:color="000000" w:sz="8" w:space="0"/>
              <w:right w:val="nil"/>
            </w:tcBorders>
            <w:shd w:val="clear" w:color="auto" w:fill="auto"/>
            <w:vAlign w:val="center"/>
          </w:tcPr>
          <w:p w14:paraId="5B08A9F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Variance percentage (%)</w:t>
            </w:r>
          </w:p>
        </w:tc>
        <w:tc>
          <w:tcPr>
            <w:tcW w:w="859" w:type="pct"/>
            <w:tcBorders>
              <w:top w:val="nil"/>
              <w:left w:val="nil"/>
              <w:bottom w:val="single" w:color="000000" w:sz="8" w:space="0"/>
              <w:right w:val="nil"/>
            </w:tcBorders>
            <w:shd w:val="clear" w:color="auto" w:fill="auto"/>
            <w:vAlign w:val="center"/>
          </w:tcPr>
          <w:p w14:paraId="74EA833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Cumulative percentage (%)</w:t>
            </w:r>
          </w:p>
        </w:tc>
        <w:tc>
          <w:tcPr>
            <w:tcW w:w="467" w:type="pct"/>
            <w:tcBorders>
              <w:top w:val="nil"/>
              <w:left w:val="nil"/>
              <w:bottom w:val="single" w:color="000000" w:sz="8" w:space="0"/>
              <w:right w:val="nil"/>
            </w:tcBorders>
            <w:shd w:val="clear" w:color="auto" w:fill="auto"/>
            <w:noWrap/>
            <w:vAlign w:val="center"/>
          </w:tcPr>
          <w:p w14:paraId="54D05E9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Total</w:t>
            </w:r>
          </w:p>
        </w:tc>
        <w:tc>
          <w:tcPr>
            <w:tcW w:w="788" w:type="pct"/>
            <w:tcBorders>
              <w:top w:val="nil"/>
              <w:left w:val="nil"/>
              <w:bottom w:val="single" w:color="000000" w:sz="8" w:space="0"/>
              <w:right w:val="nil"/>
            </w:tcBorders>
            <w:shd w:val="clear" w:color="auto" w:fill="auto"/>
            <w:vAlign w:val="center"/>
          </w:tcPr>
          <w:p w14:paraId="5BA81C8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Variance percentage (%)</w:t>
            </w:r>
          </w:p>
        </w:tc>
        <w:tc>
          <w:tcPr>
            <w:tcW w:w="850" w:type="pct"/>
            <w:tcBorders>
              <w:top w:val="nil"/>
              <w:left w:val="nil"/>
              <w:bottom w:val="single" w:color="000000" w:sz="8" w:space="0"/>
              <w:right w:val="nil"/>
            </w:tcBorders>
            <w:shd w:val="clear" w:color="auto" w:fill="auto"/>
            <w:vAlign w:val="center"/>
          </w:tcPr>
          <w:p w14:paraId="5C054C0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Cumulative percentage (%)</w:t>
            </w:r>
          </w:p>
        </w:tc>
      </w:tr>
      <w:tr w14:paraId="2156B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011FD0A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470" w:type="pct"/>
            <w:tcBorders>
              <w:top w:val="nil"/>
              <w:left w:val="nil"/>
              <w:bottom w:val="nil"/>
              <w:right w:val="nil"/>
            </w:tcBorders>
            <w:shd w:val="clear" w:color="auto" w:fill="auto"/>
            <w:noWrap/>
            <w:vAlign w:val="center"/>
          </w:tcPr>
          <w:p w14:paraId="6BF2A27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16.036</w:t>
            </w:r>
          </w:p>
        </w:tc>
        <w:tc>
          <w:tcPr>
            <w:tcW w:w="804" w:type="pct"/>
            <w:tcBorders>
              <w:top w:val="nil"/>
              <w:left w:val="nil"/>
              <w:bottom w:val="nil"/>
              <w:right w:val="nil"/>
            </w:tcBorders>
            <w:shd w:val="clear" w:color="auto" w:fill="auto"/>
            <w:noWrap/>
            <w:vAlign w:val="center"/>
          </w:tcPr>
          <w:p w14:paraId="2464F08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80.179</w:t>
            </w:r>
          </w:p>
        </w:tc>
        <w:tc>
          <w:tcPr>
            <w:tcW w:w="859" w:type="pct"/>
            <w:tcBorders>
              <w:top w:val="nil"/>
              <w:left w:val="nil"/>
              <w:bottom w:val="nil"/>
              <w:right w:val="nil"/>
            </w:tcBorders>
            <w:shd w:val="clear" w:color="auto" w:fill="auto"/>
            <w:noWrap/>
            <w:vAlign w:val="center"/>
          </w:tcPr>
          <w:p w14:paraId="7962FCB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80.179</w:t>
            </w:r>
          </w:p>
        </w:tc>
        <w:tc>
          <w:tcPr>
            <w:tcW w:w="467" w:type="pct"/>
            <w:tcBorders>
              <w:top w:val="nil"/>
              <w:left w:val="nil"/>
              <w:bottom w:val="nil"/>
              <w:right w:val="nil"/>
            </w:tcBorders>
            <w:shd w:val="clear" w:color="auto" w:fill="auto"/>
            <w:noWrap/>
            <w:vAlign w:val="center"/>
          </w:tcPr>
          <w:p w14:paraId="7AA1C16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16.036</w:t>
            </w:r>
          </w:p>
        </w:tc>
        <w:tc>
          <w:tcPr>
            <w:tcW w:w="788" w:type="pct"/>
            <w:tcBorders>
              <w:top w:val="nil"/>
              <w:left w:val="nil"/>
              <w:bottom w:val="nil"/>
              <w:right w:val="nil"/>
            </w:tcBorders>
            <w:shd w:val="clear" w:color="auto" w:fill="auto"/>
            <w:noWrap/>
            <w:vAlign w:val="center"/>
          </w:tcPr>
          <w:p w14:paraId="0E5366C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80.179</w:t>
            </w:r>
          </w:p>
        </w:tc>
        <w:tc>
          <w:tcPr>
            <w:tcW w:w="850" w:type="pct"/>
            <w:tcBorders>
              <w:top w:val="nil"/>
              <w:left w:val="nil"/>
              <w:bottom w:val="nil"/>
              <w:right w:val="nil"/>
            </w:tcBorders>
            <w:shd w:val="clear" w:color="auto" w:fill="auto"/>
            <w:noWrap/>
            <w:vAlign w:val="center"/>
          </w:tcPr>
          <w:p w14:paraId="186C9A2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80.179</w:t>
            </w:r>
          </w:p>
        </w:tc>
      </w:tr>
      <w:tr w14:paraId="346A0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4E9CD26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470" w:type="pct"/>
            <w:tcBorders>
              <w:top w:val="nil"/>
              <w:left w:val="nil"/>
              <w:bottom w:val="nil"/>
              <w:right w:val="nil"/>
            </w:tcBorders>
            <w:shd w:val="clear" w:color="auto" w:fill="auto"/>
            <w:noWrap/>
            <w:vAlign w:val="center"/>
          </w:tcPr>
          <w:p w14:paraId="2484B3C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1.996</w:t>
            </w:r>
          </w:p>
        </w:tc>
        <w:tc>
          <w:tcPr>
            <w:tcW w:w="804" w:type="pct"/>
            <w:tcBorders>
              <w:top w:val="nil"/>
              <w:left w:val="nil"/>
              <w:bottom w:val="nil"/>
              <w:right w:val="nil"/>
            </w:tcBorders>
            <w:shd w:val="clear" w:color="auto" w:fill="auto"/>
            <w:noWrap/>
            <w:vAlign w:val="center"/>
          </w:tcPr>
          <w:p w14:paraId="5570BB9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9.98</w:t>
            </w:r>
          </w:p>
        </w:tc>
        <w:tc>
          <w:tcPr>
            <w:tcW w:w="859" w:type="pct"/>
            <w:tcBorders>
              <w:top w:val="nil"/>
              <w:left w:val="nil"/>
              <w:bottom w:val="nil"/>
              <w:right w:val="nil"/>
            </w:tcBorders>
            <w:shd w:val="clear" w:color="auto" w:fill="auto"/>
            <w:noWrap/>
            <w:vAlign w:val="center"/>
          </w:tcPr>
          <w:p w14:paraId="6FE5769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90.159</w:t>
            </w:r>
          </w:p>
        </w:tc>
        <w:tc>
          <w:tcPr>
            <w:tcW w:w="467" w:type="pct"/>
            <w:tcBorders>
              <w:top w:val="nil"/>
              <w:left w:val="nil"/>
              <w:bottom w:val="nil"/>
              <w:right w:val="nil"/>
            </w:tcBorders>
            <w:shd w:val="clear" w:color="auto" w:fill="auto"/>
            <w:noWrap/>
            <w:vAlign w:val="center"/>
          </w:tcPr>
          <w:p w14:paraId="4F8618B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1.996</w:t>
            </w:r>
          </w:p>
        </w:tc>
        <w:tc>
          <w:tcPr>
            <w:tcW w:w="788" w:type="pct"/>
            <w:tcBorders>
              <w:top w:val="nil"/>
              <w:left w:val="nil"/>
              <w:bottom w:val="nil"/>
              <w:right w:val="nil"/>
            </w:tcBorders>
            <w:shd w:val="clear" w:color="auto" w:fill="auto"/>
            <w:noWrap/>
            <w:vAlign w:val="center"/>
          </w:tcPr>
          <w:p w14:paraId="1400C5D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9.98</w:t>
            </w:r>
          </w:p>
        </w:tc>
        <w:tc>
          <w:tcPr>
            <w:tcW w:w="850" w:type="pct"/>
            <w:tcBorders>
              <w:top w:val="nil"/>
              <w:left w:val="nil"/>
              <w:bottom w:val="nil"/>
              <w:right w:val="nil"/>
            </w:tcBorders>
            <w:shd w:val="clear" w:color="auto" w:fill="auto"/>
            <w:noWrap/>
            <w:vAlign w:val="center"/>
          </w:tcPr>
          <w:p w14:paraId="4DAF5E1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90.159</w:t>
            </w:r>
          </w:p>
        </w:tc>
      </w:tr>
      <w:tr w14:paraId="539CC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75D1A07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470" w:type="pct"/>
            <w:tcBorders>
              <w:top w:val="nil"/>
              <w:left w:val="nil"/>
              <w:bottom w:val="nil"/>
              <w:right w:val="nil"/>
            </w:tcBorders>
            <w:shd w:val="clear" w:color="auto" w:fill="auto"/>
            <w:noWrap/>
            <w:vAlign w:val="center"/>
          </w:tcPr>
          <w:p w14:paraId="7AF121E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1.095</w:t>
            </w:r>
          </w:p>
        </w:tc>
        <w:tc>
          <w:tcPr>
            <w:tcW w:w="804" w:type="pct"/>
            <w:tcBorders>
              <w:top w:val="nil"/>
              <w:left w:val="nil"/>
              <w:bottom w:val="nil"/>
              <w:right w:val="nil"/>
            </w:tcBorders>
            <w:shd w:val="clear" w:color="auto" w:fill="auto"/>
            <w:noWrap/>
            <w:vAlign w:val="center"/>
          </w:tcPr>
          <w:p w14:paraId="35A48F1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5.474</w:t>
            </w:r>
          </w:p>
        </w:tc>
        <w:tc>
          <w:tcPr>
            <w:tcW w:w="859" w:type="pct"/>
            <w:tcBorders>
              <w:top w:val="nil"/>
              <w:left w:val="nil"/>
              <w:bottom w:val="nil"/>
              <w:right w:val="nil"/>
            </w:tcBorders>
            <w:shd w:val="clear" w:color="auto" w:fill="auto"/>
            <w:noWrap/>
            <w:vAlign w:val="center"/>
          </w:tcPr>
          <w:p w14:paraId="06ED24C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95.633</w:t>
            </w:r>
          </w:p>
        </w:tc>
        <w:tc>
          <w:tcPr>
            <w:tcW w:w="467" w:type="pct"/>
            <w:tcBorders>
              <w:top w:val="nil"/>
              <w:left w:val="nil"/>
              <w:bottom w:val="nil"/>
              <w:right w:val="nil"/>
            </w:tcBorders>
            <w:shd w:val="clear" w:color="auto" w:fill="auto"/>
            <w:noWrap/>
            <w:vAlign w:val="center"/>
          </w:tcPr>
          <w:p w14:paraId="66EE77D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1.095</w:t>
            </w:r>
          </w:p>
        </w:tc>
        <w:tc>
          <w:tcPr>
            <w:tcW w:w="788" w:type="pct"/>
            <w:tcBorders>
              <w:top w:val="nil"/>
              <w:left w:val="nil"/>
              <w:bottom w:val="nil"/>
              <w:right w:val="nil"/>
            </w:tcBorders>
            <w:shd w:val="clear" w:color="auto" w:fill="auto"/>
            <w:noWrap/>
            <w:vAlign w:val="center"/>
          </w:tcPr>
          <w:p w14:paraId="124315F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5.474</w:t>
            </w:r>
          </w:p>
        </w:tc>
        <w:tc>
          <w:tcPr>
            <w:tcW w:w="850" w:type="pct"/>
            <w:tcBorders>
              <w:top w:val="nil"/>
              <w:left w:val="nil"/>
              <w:bottom w:val="nil"/>
              <w:right w:val="nil"/>
            </w:tcBorders>
            <w:shd w:val="clear" w:color="auto" w:fill="auto"/>
            <w:noWrap/>
            <w:vAlign w:val="center"/>
          </w:tcPr>
          <w:p w14:paraId="1F5D515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95.633</w:t>
            </w:r>
          </w:p>
        </w:tc>
      </w:tr>
      <w:tr w14:paraId="1DFB4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1FEEE81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470" w:type="pct"/>
            <w:tcBorders>
              <w:top w:val="nil"/>
              <w:left w:val="nil"/>
              <w:bottom w:val="nil"/>
              <w:right w:val="nil"/>
            </w:tcBorders>
            <w:shd w:val="clear" w:color="auto" w:fill="auto"/>
            <w:noWrap/>
            <w:vAlign w:val="center"/>
          </w:tcPr>
          <w:p w14:paraId="1D473CB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0.704</w:t>
            </w:r>
          </w:p>
        </w:tc>
        <w:tc>
          <w:tcPr>
            <w:tcW w:w="804" w:type="pct"/>
            <w:tcBorders>
              <w:top w:val="nil"/>
              <w:left w:val="nil"/>
              <w:bottom w:val="nil"/>
              <w:right w:val="nil"/>
            </w:tcBorders>
            <w:shd w:val="clear" w:color="auto" w:fill="auto"/>
            <w:noWrap/>
            <w:vAlign w:val="center"/>
          </w:tcPr>
          <w:p w14:paraId="0460B9F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3.518</w:t>
            </w:r>
          </w:p>
        </w:tc>
        <w:tc>
          <w:tcPr>
            <w:tcW w:w="859" w:type="pct"/>
            <w:tcBorders>
              <w:top w:val="nil"/>
              <w:left w:val="nil"/>
              <w:bottom w:val="nil"/>
              <w:right w:val="nil"/>
            </w:tcBorders>
            <w:shd w:val="clear" w:color="auto" w:fill="auto"/>
            <w:noWrap/>
            <w:vAlign w:val="center"/>
          </w:tcPr>
          <w:p w14:paraId="0FDBC12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99.151</w:t>
            </w:r>
          </w:p>
        </w:tc>
        <w:tc>
          <w:tcPr>
            <w:tcW w:w="467" w:type="pct"/>
            <w:tcBorders>
              <w:top w:val="nil"/>
              <w:left w:val="nil"/>
              <w:bottom w:val="nil"/>
              <w:right w:val="nil"/>
            </w:tcBorders>
            <w:shd w:val="clear" w:color="auto" w:fill="auto"/>
            <w:noWrap/>
            <w:vAlign w:val="center"/>
          </w:tcPr>
          <w:p w14:paraId="440043F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1B1621A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6817DF6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5AD35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43E194E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470" w:type="pct"/>
            <w:tcBorders>
              <w:top w:val="nil"/>
              <w:left w:val="nil"/>
              <w:bottom w:val="nil"/>
              <w:right w:val="nil"/>
            </w:tcBorders>
            <w:shd w:val="clear" w:color="auto" w:fill="auto"/>
            <w:noWrap/>
            <w:vAlign w:val="center"/>
          </w:tcPr>
          <w:p w14:paraId="27D9524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0.17</w:t>
            </w:r>
          </w:p>
        </w:tc>
        <w:tc>
          <w:tcPr>
            <w:tcW w:w="804" w:type="pct"/>
            <w:tcBorders>
              <w:top w:val="nil"/>
              <w:left w:val="nil"/>
              <w:bottom w:val="nil"/>
              <w:right w:val="nil"/>
            </w:tcBorders>
            <w:shd w:val="clear" w:color="auto" w:fill="auto"/>
            <w:noWrap/>
            <w:vAlign w:val="center"/>
          </w:tcPr>
          <w:p w14:paraId="47EBA93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0.849</w:t>
            </w:r>
          </w:p>
        </w:tc>
        <w:tc>
          <w:tcPr>
            <w:tcW w:w="859" w:type="pct"/>
            <w:tcBorders>
              <w:top w:val="nil"/>
              <w:left w:val="nil"/>
              <w:bottom w:val="nil"/>
              <w:right w:val="nil"/>
            </w:tcBorders>
            <w:shd w:val="clear" w:color="auto" w:fill="auto"/>
            <w:noWrap/>
            <w:vAlign w:val="center"/>
          </w:tcPr>
          <w:p w14:paraId="305B75C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nil"/>
              <w:right w:val="nil"/>
            </w:tcBorders>
            <w:shd w:val="clear" w:color="auto" w:fill="auto"/>
            <w:noWrap/>
            <w:vAlign w:val="center"/>
          </w:tcPr>
          <w:p w14:paraId="54719A7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03F1242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00B0869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6E48A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1734D39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470" w:type="pct"/>
            <w:tcBorders>
              <w:top w:val="nil"/>
              <w:left w:val="nil"/>
              <w:bottom w:val="nil"/>
              <w:right w:val="nil"/>
            </w:tcBorders>
            <w:shd w:val="clear" w:color="auto" w:fill="auto"/>
            <w:noWrap/>
            <w:vAlign w:val="center"/>
          </w:tcPr>
          <w:p w14:paraId="60EB8D1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04" w:type="pct"/>
            <w:tcBorders>
              <w:top w:val="nil"/>
              <w:left w:val="nil"/>
              <w:bottom w:val="nil"/>
              <w:right w:val="nil"/>
            </w:tcBorders>
            <w:shd w:val="clear" w:color="auto" w:fill="auto"/>
            <w:noWrap/>
            <w:vAlign w:val="center"/>
          </w:tcPr>
          <w:p w14:paraId="5C5AFC8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59" w:type="pct"/>
            <w:tcBorders>
              <w:top w:val="nil"/>
              <w:left w:val="nil"/>
              <w:bottom w:val="nil"/>
              <w:right w:val="nil"/>
            </w:tcBorders>
            <w:shd w:val="clear" w:color="auto" w:fill="auto"/>
            <w:noWrap/>
            <w:vAlign w:val="center"/>
          </w:tcPr>
          <w:p w14:paraId="0B15086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nil"/>
              <w:right w:val="nil"/>
            </w:tcBorders>
            <w:shd w:val="clear" w:color="auto" w:fill="auto"/>
            <w:noWrap/>
            <w:vAlign w:val="center"/>
          </w:tcPr>
          <w:p w14:paraId="141B422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73EAAD1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483E99D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74467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3A61191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470" w:type="pct"/>
            <w:tcBorders>
              <w:top w:val="nil"/>
              <w:left w:val="nil"/>
              <w:bottom w:val="nil"/>
              <w:right w:val="nil"/>
            </w:tcBorders>
            <w:shd w:val="clear" w:color="auto" w:fill="auto"/>
            <w:noWrap/>
            <w:vAlign w:val="center"/>
          </w:tcPr>
          <w:p w14:paraId="2715318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04" w:type="pct"/>
            <w:tcBorders>
              <w:top w:val="nil"/>
              <w:left w:val="nil"/>
              <w:bottom w:val="nil"/>
              <w:right w:val="nil"/>
            </w:tcBorders>
            <w:shd w:val="clear" w:color="auto" w:fill="auto"/>
            <w:noWrap/>
            <w:vAlign w:val="center"/>
          </w:tcPr>
          <w:p w14:paraId="2BBA0BB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59" w:type="pct"/>
            <w:tcBorders>
              <w:top w:val="nil"/>
              <w:left w:val="nil"/>
              <w:bottom w:val="nil"/>
              <w:right w:val="nil"/>
            </w:tcBorders>
            <w:shd w:val="clear" w:color="auto" w:fill="auto"/>
            <w:noWrap/>
            <w:vAlign w:val="center"/>
          </w:tcPr>
          <w:p w14:paraId="5C8E0DD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nil"/>
              <w:right w:val="nil"/>
            </w:tcBorders>
            <w:shd w:val="clear" w:color="auto" w:fill="auto"/>
            <w:noWrap/>
            <w:vAlign w:val="center"/>
          </w:tcPr>
          <w:p w14:paraId="2849E5F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66E7556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57F5831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5F8E0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211BF58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470" w:type="pct"/>
            <w:tcBorders>
              <w:top w:val="nil"/>
              <w:left w:val="nil"/>
              <w:bottom w:val="nil"/>
              <w:right w:val="nil"/>
            </w:tcBorders>
            <w:shd w:val="clear" w:color="auto" w:fill="auto"/>
            <w:noWrap/>
            <w:vAlign w:val="center"/>
          </w:tcPr>
          <w:p w14:paraId="6A7D696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04" w:type="pct"/>
            <w:tcBorders>
              <w:top w:val="nil"/>
              <w:left w:val="nil"/>
              <w:bottom w:val="nil"/>
              <w:right w:val="nil"/>
            </w:tcBorders>
            <w:shd w:val="clear" w:color="auto" w:fill="auto"/>
            <w:noWrap/>
            <w:vAlign w:val="center"/>
          </w:tcPr>
          <w:p w14:paraId="0D55EEA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59" w:type="pct"/>
            <w:tcBorders>
              <w:top w:val="nil"/>
              <w:left w:val="nil"/>
              <w:bottom w:val="nil"/>
              <w:right w:val="nil"/>
            </w:tcBorders>
            <w:shd w:val="clear" w:color="auto" w:fill="auto"/>
            <w:noWrap/>
            <w:vAlign w:val="center"/>
          </w:tcPr>
          <w:p w14:paraId="44FE5C6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nil"/>
              <w:right w:val="nil"/>
            </w:tcBorders>
            <w:shd w:val="clear" w:color="auto" w:fill="auto"/>
            <w:noWrap/>
            <w:vAlign w:val="center"/>
          </w:tcPr>
          <w:p w14:paraId="29BAFF1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556519D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355A8CB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68869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08C34C8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p>
        </w:tc>
        <w:tc>
          <w:tcPr>
            <w:tcW w:w="470" w:type="pct"/>
            <w:tcBorders>
              <w:top w:val="nil"/>
              <w:left w:val="nil"/>
              <w:bottom w:val="nil"/>
              <w:right w:val="nil"/>
            </w:tcBorders>
            <w:shd w:val="clear" w:color="auto" w:fill="auto"/>
            <w:noWrap/>
            <w:vAlign w:val="center"/>
          </w:tcPr>
          <w:p w14:paraId="6C3945A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04" w:type="pct"/>
            <w:tcBorders>
              <w:top w:val="nil"/>
              <w:left w:val="nil"/>
              <w:bottom w:val="nil"/>
              <w:right w:val="nil"/>
            </w:tcBorders>
            <w:shd w:val="clear" w:color="auto" w:fill="auto"/>
            <w:noWrap/>
            <w:vAlign w:val="center"/>
          </w:tcPr>
          <w:p w14:paraId="1031407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59" w:type="pct"/>
            <w:tcBorders>
              <w:top w:val="nil"/>
              <w:left w:val="nil"/>
              <w:bottom w:val="nil"/>
              <w:right w:val="nil"/>
            </w:tcBorders>
            <w:shd w:val="clear" w:color="auto" w:fill="auto"/>
            <w:noWrap/>
            <w:vAlign w:val="center"/>
          </w:tcPr>
          <w:p w14:paraId="5091A68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nil"/>
              <w:right w:val="nil"/>
            </w:tcBorders>
            <w:shd w:val="clear" w:color="auto" w:fill="auto"/>
            <w:noWrap/>
            <w:vAlign w:val="center"/>
          </w:tcPr>
          <w:p w14:paraId="3F3A323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66A5642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5057366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2A8D8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2CEF1E7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470" w:type="pct"/>
            <w:tcBorders>
              <w:top w:val="nil"/>
              <w:left w:val="nil"/>
              <w:bottom w:val="nil"/>
              <w:right w:val="nil"/>
            </w:tcBorders>
            <w:shd w:val="clear" w:color="auto" w:fill="auto"/>
            <w:noWrap/>
            <w:vAlign w:val="center"/>
          </w:tcPr>
          <w:p w14:paraId="68DCD90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04" w:type="pct"/>
            <w:tcBorders>
              <w:top w:val="nil"/>
              <w:left w:val="nil"/>
              <w:bottom w:val="nil"/>
              <w:right w:val="nil"/>
            </w:tcBorders>
            <w:shd w:val="clear" w:color="auto" w:fill="auto"/>
            <w:noWrap/>
            <w:vAlign w:val="center"/>
          </w:tcPr>
          <w:p w14:paraId="225FD6F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59" w:type="pct"/>
            <w:tcBorders>
              <w:top w:val="nil"/>
              <w:left w:val="nil"/>
              <w:bottom w:val="nil"/>
              <w:right w:val="nil"/>
            </w:tcBorders>
            <w:shd w:val="clear" w:color="auto" w:fill="auto"/>
            <w:noWrap/>
            <w:vAlign w:val="center"/>
          </w:tcPr>
          <w:p w14:paraId="5855ED5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nil"/>
              <w:right w:val="nil"/>
            </w:tcBorders>
            <w:shd w:val="clear" w:color="auto" w:fill="auto"/>
            <w:noWrap/>
            <w:vAlign w:val="center"/>
          </w:tcPr>
          <w:p w14:paraId="2F82514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041AA9C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2540860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19604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11830D9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w:t>
            </w:r>
          </w:p>
        </w:tc>
        <w:tc>
          <w:tcPr>
            <w:tcW w:w="470" w:type="pct"/>
            <w:tcBorders>
              <w:top w:val="nil"/>
              <w:left w:val="nil"/>
              <w:bottom w:val="nil"/>
              <w:right w:val="nil"/>
            </w:tcBorders>
            <w:shd w:val="clear" w:color="auto" w:fill="auto"/>
            <w:noWrap/>
            <w:vAlign w:val="center"/>
          </w:tcPr>
          <w:p w14:paraId="2F5C6AA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04" w:type="pct"/>
            <w:tcBorders>
              <w:top w:val="nil"/>
              <w:left w:val="nil"/>
              <w:bottom w:val="nil"/>
              <w:right w:val="nil"/>
            </w:tcBorders>
            <w:shd w:val="clear" w:color="auto" w:fill="auto"/>
            <w:noWrap/>
            <w:vAlign w:val="center"/>
          </w:tcPr>
          <w:p w14:paraId="2950752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59" w:type="pct"/>
            <w:tcBorders>
              <w:top w:val="nil"/>
              <w:left w:val="nil"/>
              <w:bottom w:val="nil"/>
              <w:right w:val="nil"/>
            </w:tcBorders>
            <w:shd w:val="clear" w:color="auto" w:fill="auto"/>
            <w:noWrap/>
            <w:vAlign w:val="center"/>
          </w:tcPr>
          <w:p w14:paraId="505D4D9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nil"/>
              <w:right w:val="nil"/>
            </w:tcBorders>
            <w:shd w:val="clear" w:color="auto" w:fill="auto"/>
            <w:noWrap/>
            <w:vAlign w:val="center"/>
          </w:tcPr>
          <w:p w14:paraId="4E6F0A5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4292E49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4F292B3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5D340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6DA3FF5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w:t>
            </w:r>
          </w:p>
        </w:tc>
        <w:tc>
          <w:tcPr>
            <w:tcW w:w="470" w:type="pct"/>
            <w:tcBorders>
              <w:top w:val="nil"/>
              <w:left w:val="nil"/>
              <w:bottom w:val="nil"/>
              <w:right w:val="nil"/>
            </w:tcBorders>
            <w:shd w:val="clear" w:color="auto" w:fill="auto"/>
            <w:noWrap/>
            <w:vAlign w:val="center"/>
          </w:tcPr>
          <w:p w14:paraId="3A0B945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04" w:type="pct"/>
            <w:tcBorders>
              <w:top w:val="nil"/>
              <w:left w:val="nil"/>
              <w:bottom w:val="nil"/>
              <w:right w:val="nil"/>
            </w:tcBorders>
            <w:shd w:val="clear" w:color="auto" w:fill="auto"/>
            <w:noWrap/>
            <w:vAlign w:val="center"/>
          </w:tcPr>
          <w:p w14:paraId="1D1A27E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59" w:type="pct"/>
            <w:tcBorders>
              <w:top w:val="nil"/>
              <w:left w:val="nil"/>
              <w:bottom w:val="nil"/>
              <w:right w:val="nil"/>
            </w:tcBorders>
            <w:shd w:val="clear" w:color="auto" w:fill="auto"/>
            <w:noWrap/>
            <w:vAlign w:val="center"/>
          </w:tcPr>
          <w:p w14:paraId="28B6F16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nil"/>
              <w:right w:val="nil"/>
            </w:tcBorders>
            <w:shd w:val="clear" w:color="auto" w:fill="auto"/>
            <w:noWrap/>
            <w:vAlign w:val="center"/>
          </w:tcPr>
          <w:p w14:paraId="501FCEF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46EACB0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1DFA71F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1A2D4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70428DE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w:t>
            </w:r>
          </w:p>
        </w:tc>
        <w:tc>
          <w:tcPr>
            <w:tcW w:w="470" w:type="pct"/>
            <w:tcBorders>
              <w:top w:val="nil"/>
              <w:left w:val="nil"/>
              <w:bottom w:val="nil"/>
              <w:right w:val="nil"/>
            </w:tcBorders>
            <w:shd w:val="clear" w:color="auto" w:fill="auto"/>
            <w:noWrap/>
            <w:vAlign w:val="center"/>
          </w:tcPr>
          <w:p w14:paraId="2BFAB4C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04" w:type="pct"/>
            <w:tcBorders>
              <w:top w:val="nil"/>
              <w:left w:val="nil"/>
              <w:bottom w:val="nil"/>
              <w:right w:val="nil"/>
            </w:tcBorders>
            <w:shd w:val="clear" w:color="auto" w:fill="auto"/>
            <w:noWrap/>
            <w:vAlign w:val="center"/>
          </w:tcPr>
          <w:p w14:paraId="336C1A7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59" w:type="pct"/>
            <w:tcBorders>
              <w:top w:val="nil"/>
              <w:left w:val="nil"/>
              <w:bottom w:val="nil"/>
              <w:right w:val="nil"/>
            </w:tcBorders>
            <w:shd w:val="clear" w:color="auto" w:fill="auto"/>
            <w:noWrap/>
            <w:vAlign w:val="center"/>
          </w:tcPr>
          <w:p w14:paraId="3F9FDE1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nil"/>
              <w:right w:val="nil"/>
            </w:tcBorders>
            <w:shd w:val="clear" w:color="auto" w:fill="auto"/>
            <w:noWrap/>
            <w:vAlign w:val="center"/>
          </w:tcPr>
          <w:p w14:paraId="656D68C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74B3F81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0F65AFB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29224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3CBB366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470" w:type="pct"/>
            <w:tcBorders>
              <w:top w:val="nil"/>
              <w:left w:val="nil"/>
              <w:bottom w:val="nil"/>
              <w:right w:val="nil"/>
            </w:tcBorders>
            <w:shd w:val="clear" w:color="auto" w:fill="auto"/>
            <w:noWrap/>
            <w:vAlign w:val="center"/>
          </w:tcPr>
          <w:p w14:paraId="3752702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04" w:type="pct"/>
            <w:tcBorders>
              <w:top w:val="nil"/>
              <w:left w:val="nil"/>
              <w:bottom w:val="nil"/>
              <w:right w:val="nil"/>
            </w:tcBorders>
            <w:shd w:val="clear" w:color="auto" w:fill="auto"/>
            <w:noWrap/>
            <w:vAlign w:val="center"/>
          </w:tcPr>
          <w:p w14:paraId="2902AD0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59" w:type="pct"/>
            <w:tcBorders>
              <w:top w:val="nil"/>
              <w:left w:val="nil"/>
              <w:bottom w:val="nil"/>
              <w:right w:val="nil"/>
            </w:tcBorders>
            <w:shd w:val="clear" w:color="auto" w:fill="auto"/>
            <w:noWrap/>
            <w:vAlign w:val="center"/>
          </w:tcPr>
          <w:p w14:paraId="749EC1C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nil"/>
              <w:right w:val="nil"/>
            </w:tcBorders>
            <w:shd w:val="clear" w:color="auto" w:fill="auto"/>
            <w:noWrap/>
            <w:vAlign w:val="center"/>
          </w:tcPr>
          <w:p w14:paraId="5ACF0C6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18FA38A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010D742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458C2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686C652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470" w:type="pct"/>
            <w:tcBorders>
              <w:top w:val="nil"/>
              <w:left w:val="nil"/>
              <w:bottom w:val="nil"/>
              <w:right w:val="nil"/>
            </w:tcBorders>
            <w:shd w:val="clear" w:color="auto" w:fill="auto"/>
            <w:noWrap/>
            <w:vAlign w:val="center"/>
          </w:tcPr>
          <w:p w14:paraId="141A1CF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04" w:type="pct"/>
            <w:tcBorders>
              <w:top w:val="nil"/>
              <w:left w:val="nil"/>
              <w:bottom w:val="nil"/>
              <w:right w:val="nil"/>
            </w:tcBorders>
            <w:shd w:val="clear" w:color="auto" w:fill="auto"/>
            <w:noWrap/>
            <w:vAlign w:val="center"/>
          </w:tcPr>
          <w:p w14:paraId="0116F85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59" w:type="pct"/>
            <w:tcBorders>
              <w:top w:val="nil"/>
              <w:left w:val="nil"/>
              <w:bottom w:val="nil"/>
              <w:right w:val="nil"/>
            </w:tcBorders>
            <w:shd w:val="clear" w:color="auto" w:fill="auto"/>
            <w:noWrap/>
            <w:vAlign w:val="center"/>
          </w:tcPr>
          <w:p w14:paraId="76FB12B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nil"/>
              <w:right w:val="nil"/>
            </w:tcBorders>
            <w:shd w:val="clear" w:color="auto" w:fill="auto"/>
            <w:noWrap/>
            <w:vAlign w:val="center"/>
          </w:tcPr>
          <w:p w14:paraId="06E842D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2BB7E2C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38313F0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3D2CD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493520B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470" w:type="pct"/>
            <w:tcBorders>
              <w:top w:val="nil"/>
              <w:left w:val="nil"/>
              <w:bottom w:val="nil"/>
              <w:right w:val="nil"/>
            </w:tcBorders>
            <w:shd w:val="clear" w:color="auto" w:fill="auto"/>
            <w:noWrap/>
            <w:vAlign w:val="center"/>
          </w:tcPr>
          <w:p w14:paraId="4435B72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04" w:type="pct"/>
            <w:tcBorders>
              <w:top w:val="nil"/>
              <w:left w:val="nil"/>
              <w:bottom w:val="nil"/>
              <w:right w:val="nil"/>
            </w:tcBorders>
            <w:shd w:val="clear" w:color="auto" w:fill="auto"/>
            <w:noWrap/>
            <w:vAlign w:val="center"/>
          </w:tcPr>
          <w:p w14:paraId="6B77854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59" w:type="pct"/>
            <w:tcBorders>
              <w:top w:val="nil"/>
              <w:left w:val="nil"/>
              <w:bottom w:val="nil"/>
              <w:right w:val="nil"/>
            </w:tcBorders>
            <w:shd w:val="clear" w:color="auto" w:fill="auto"/>
            <w:noWrap/>
            <w:vAlign w:val="center"/>
          </w:tcPr>
          <w:p w14:paraId="4608A56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nil"/>
              <w:right w:val="nil"/>
            </w:tcBorders>
            <w:shd w:val="clear" w:color="auto" w:fill="auto"/>
            <w:noWrap/>
            <w:vAlign w:val="center"/>
          </w:tcPr>
          <w:p w14:paraId="1B79C57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32C0144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059FE17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6AADE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53ED4DB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w:t>
            </w:r>
          </w:p>
        </w:tc>
        <w:tc>
          <w:tcPr>
            <w:tcW w:w="470" w:type="pct"/>
            <w:tcBorders>
              <w:top w:val="nil"/>
              <w:left w:val="nil"/>
              <w:bottom w:val="nil"/>
              <w:right w:val="nil"/>
            </w:tcBorders>
            <w:shd w:val="clear" w:color="auto" w:fill="auto"/>
            <w:noWrap/>
            <w:vAlign w:val="center"/>
          </w:tcPr>
          <w:p w14:paraId="664717A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04" w:type="pct"/>
            <w:tcBorders>
              <w:top w:val="nil"/>
              <w:left w:val="nil"/>
              <w:bottom w:val="nil"/>
              <w:right w:val="nil"/>
            </w:tcBorders>
            <w:shd w:val="clear" w:color="auto" w:fill="auto"/>
            <w:noWrap/>
            <w:vAlign w:val="center"/>
          </w:tcPr>
          <w:p w14:paraId="2AAC474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59" w:type="pct"/>
            <w:tcBorders>
              <w:top w:val="nil"/>
              <w:left w:val="nil"/>
              <w:bottom w:val="nil"/>
              <w:right w:val="nil"/>
            </w:tcBorders>
            <w:shd w:val="clear" w:color="auto" w:fill="auto"/>
            <w:noWrap/>
            <w:vAlign w:val="center"/>
          </w:tcPr>
          <w:p w14:paraId="2A7535C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nil"/>
              <w:right w:val="nil"/>
            </w:tcBorders>
            <w:shd w:val="clear" w:color="auto" w:fill="auto"/>
            <w:noWrap/>
            <w:vAlign w:val="center"/>
          </w:tcPr>
          <w:p w14:paraId="45790F6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5CBACE5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11F6C9B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49F8D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7841A3F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w:t>
            </w:r>
          </w:p>
        </w:tc>
        <w:tc>
          <w:tcPr>
            <w:tcW w:w="470" w:type="pct"/>
            <w:tcBorders>
              <w:top w:val="nil"/>
              <w:left w:val="nil"/>
              <w:bottom w:val="nil"/>
              <w:right w:val="nil"/>
            </w:tcBorders>
            <w:shd w:val="clear" w:color="auto" w:fill="auto"/>
            <w:noWrap/>
            <w:vAlign w:val="center"/>
          </w:tcPr>
          <w:p w14:paraId="53D5BBD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04" w:type="pct"/>
            <w:tcBorders>
              <w:top w:val="nil"/>
              <w:left w:val="nil"/>
              <w:bottom w:val="nil"/>
              <w:right w:val="nil"/>
            </w:tcBorders>
            <w:shd w:val="clear" w:color="auto" w:fill="auto"/>
            <w:noWrap/>
            <w:vAlign w:val="center"/>
          </w:tcPr>
          <w:p w14:paraId="357A4AF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59" w:type="pct"/>
            <w:tcBorders>
              <w:top w:val="nil"/>
              <w:left w:val="nil"/>
              <w:bottom w:val="nil"/>
              <w:right w:val="nil"/>
            </w:tcBorders>
            <w:shd w:val="clear" w:color="auto" w:fill="auto"/>
            <w:noWrap/>
            <w:vAlign w:val="center"/>
          </w:tcPr>
          <w:p w14:paraId="321C3F1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nil"/>
              <w:right w:val="nil"/>
            </w:tcBorders>
            <w:shd w:val="clear" w:color="auto" w:fill="auto"/>
            <w:noWrap/>
            <w:vAlign w:val="center"/>
          </w:tcPr>
          <w:p w14:paraId="7EFDE76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56EAF36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6F8CC05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16C74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nil"/>
              <w:right w:val="nil"/>
            </w:tcBorders>
            <w:shd w:val="clear" w:color="auto" w:fill="auto"/>
            <w:noWrap/>
            <w:vAlign w:val="center"/>
          </w:tcPr>
          <w:p w14:paraId="43B1DC1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w:t>
            </w:r>
          </w:p>
        </w:tc>
        <w:tc>
          <w:tcPr>
            <w:tcW w:w="470" w:type="pct"/>
            <w:tcBorders>
              <w:top w:val="nil"/>
              <w:left w:val="nil"/>
              <w:bottom w:val="nil"/>
              <w:right w:val="nil"/>
            </w:tcBorders>
            <w:shd w:val="clear" w:color="auto" w:fill="auto"/>
            <w:noWrap/>
            <w:vAlign w:val="center"/>
          </w:tcPr>
          <w:p w14:paraId="339EF24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04" w:type="pct"/>
            <w:tcBorders>
              <w:top w:val="nil"/>
              <w:left w:val="nil"/>
              <w:bottom w:val="nil"/>
              <w:right w:val="nil"/>
            </w:tcBorders>
            <w:shd w:val="clear" w:color="auto" w:fill="auto"/>
            <w:noWrap/>
            <w:vAlign w:val="center"/>
          </w:tcPr>
          <w:p w14:paraId="1C16D52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59" w:type="pct"/>
            <w:tcBorders>
              <w:top w:val="nil"/>
              <w:left w:val="nil"/>
              <w:bottom w:val="nil"/>
              <w:right w:val="nil"/>
            </w:tcBorders>
            <w:shd w:val="clear" w:color="auto" w:fill="auto"/>
            <w:noWrap/>
            <w:vAlign w:val="center"/>
          </w:tcPr>
          <w:p w14:paraId="5CE81C3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nil"/>
              <w:right w:val="nil"/>
            </w:tcBorders>
            <w:shd w:val="clear" w:color="auto" w:fill="auto"/>
            <w:noWrap/>
            <w:vAlign w:val="center"/>
          </w:tcPr>
          <w:p w14:paraId="1829E11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nil"/>
              <w:right w:val="nil"/>
            </w:tcBorders>
            <w:shd w:val="clear" w:color="auto" w:fill="auto"/>
            <w:noWrap/>
            <w:vAlign w:val="center"/>
          </w:tcPr>
          <w:p w14:paraId="7A954F9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nil"/>
              <w:right w:val="nil"/>
            </w:tcBorders>
            <w:shd w:val="clear" w:color="auto" w:fill="auto"/>
            <w:noWrap/>
            <w:vAlign w:val="center"/>
          </w:tcPr>
          <w:p w14:paraId="2D97990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7E04A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9" w:type="pct"/>
            <w:tcBorders>
              <w:top w:val="nil"/>
              <w:left w:val="nil"/>
              <w:bottom w:val="single" w:color="000000" w:sz="8" w:space="0"/>
              <w:right w:val="nil"/>
            </w:tcBorders>
            <w:shd w:val="clear" w:color="auto" w:fill="auto"/>
            <w:noWrap/>
            <w:vAlign w:val="center"/>
          </w:tcPr>
          <w:p w14:paraId="6FA32B9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70" w:type="pct"/>
            <w:tcBorders>
              <w:top w:val="nil"/>
              <w:left w:val="nil"/>
              <w:bottom w:val="single" w:color="000000" w:sz="8" w:space="0"/>
              <w:right w:val="nil"/>
            </w:tcBorders>
            <w:shd w:val="clear" w:color="auto" w:fill="auto"/>
            <w:noWrap/>
            <w:vAlign w:val="center"/>
          </w:tcPr>
          <w:p w14:paraId="2C39C1B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04" w:type="pct"/>
            <w:tcBorders>
              <w:top w:val="nil"/>
              <w:left w:val="nil"/>
              <w:bottom w:val="single" w:color="000000" w:sz="8" w:space="0"/>
              <w:right w:val="nil"/>
            </w:tcBorders>
            <w:shd w:val="clear" w:color="auto" w:fill="auto"/>
            <w:noWrap/>
            <w:vAlign w:val="center"/>
          </w:tcPr>
          <w:p w14:paraId="7CD09E7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859" w:type="pct"/>
            <w:tcBorders>
              <w:top w:val="nil"/>
              <w:left w:val="nil"/>
              <w:bottom w:val="single" w:color="000000" w:sz="8" w:space="0"/>
              <w:right w:val="nil"/>
            </w:tcBorders>
            <w:shd w:val="clear" w:color="auto" w:fill="auto"/>
            <w:noWrap/>
            <w:vAlign w:val="center"/>
          </w:tcPr>
          <w:p w14:paraId="595CD34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67" w:type="pct"/>
            <w:tcBorders>
              <w:top w:val="nil"/>
              <w:left w:val="nil"/>
              <w:bottom w:val="single" w:color="000000" w:sz="8" w:space="0"/>
              <w:right w:val="nil"/>
            </w:tcBorders>
            <w:shd w:val="clear" w:color="auto" w:fill="auto"/>
            <w:noWrap/>
            <w:vAlign w:val="center"/>
          </w:tcPr>
          <w:p w14:paraId="1B8042D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788" w:type="pct"/>
            <w:tcBorders>
              <w:top w:val="nil"/>
              <w:left w:val="nil"/>
              <w:bottom w:val="single" w:color="000000" w:sz="8" w:space="0"/>
              <w:right w:val="nil"/>
            </w:tcBorders>
            <w:shd w:val="clear" w:color="auto" w:fill="auto"/>
            <w:noWrap/>
            <w:vAlign w:val="center"/>
          </w:tcPr>
          <w:p w14:paraId="11AB01F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50" w:type="pct"/>
            <w:tcBorders>
              <w:top w:val="nil"/>
              <w:left w:val="nil"/>
              <w:bottom w:val="single" w:color="000000" w:sz="8" w:space="0"/>
              <w:right w:val="nil"/>
            </w:tcBorders>
            <w:shd w:val="clear" w:color="auto" w:fill="auto"/>
            <w:noWrap/>
            <w:vAlign w:val="center"/>
          </w:tcPr>
          <w:p w14:paraId="1CA8238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bl>
    <w:p w14:paraId="05DC3A8E">
      <w:pPr>
        <w:keepNext w:val="0"/>
        <w:keepLines w:val="0"/>
        <w:pageBreakBefore w:val="0"/>
        <w:widowControl/>
        <w:kinsoku/>
        <w:wordWrap/>
        <w:overflowPunct/>
        <w:topLinePunct w:val="0"/>
        <w:autoSpaceDE/>
        <w:autoSpaceDN/>
        <w:bidi w:val="0"/>
        <w:adjustRightInd/>
        <w:snapToGrid/>
        <w:spacing w:before="120"/>
        <w:jc w:val="both"/>
        <w:textAlignment w:val="auto"/>
        <w:rPr>
          <w:rFonts w:hint="default" w:ascii="Times New Roman" w:hAnsi="Times New Roman" w:cs="Times New Roman"/>
          <w:b/>
          <w:color w:val="auto"/>
          <w:sz w:val="24"/>
          <w:szCs w:val="24"/>
          <w:lang w:val="en-US" w:eastAsia="zh-CN"/>
        </w:rPr>
      </w:pPr>
    </w:p>
    <w:p w14:paraId="560FA573">
      <w:pPr>
        <w:keepNext w:val="0"/>
        <w:keepLines w:val="0"/>
        <w:pageBreakBefore w:val="0"/>
        <w:widowControl/>
        <w:kinsoku/>
        <w:wordWrap/>
        <w:overflowPunct/>
        <w:topLinePunct w:val="0"/>
        <w:autoSpaceDE/>
        <w:autoSpaceDN/>
        <w:bidi w:val="0"/>
        <w:adjustRightInd/>
        <w:snapToGrid/>
        <w:spacing w:before="120"/>
        <w:jc w:val="both"/>
        <w:textAlignment w:val="auto"/>
        <w:rPr>
          <w:rFonts w:hint="default" w:ascii="Times New Roman" w:hAnsi="Times New Roman" w:cs="Times New Roman"/>
          <w:b/>
          <w:color w:val="auto"/>
          <w:sz w:val="24"/>
          <w:szCs w:val="24"/>
          <w:lang w:val="en-US" w:eastAsia="zh-CN"/>
        </w:rPr>
      </w:pPr>
    </w:p>
    <w:p w14:paraId="7108AD76">
      <w:pPr>
        <w:keepNext w:val="0"/>
        <w:keepLines w:val="0"/>
        <w:pageBreakBefore w:val="0"/>
        <w:widowControl/>
        <w:kinsoku/>
        <w:wordWrap/>
        <w:overflowPunct/>
        <w:topLinePunct w:val="0"/>
        <w:autoSpaceDE/>
        <w:autoSpaceDN/>
        <w:bidi w:val="0"/>
        <w:adjustRightInd/>
        <w:snapToGrid/>
        <w:spacing w:before="120"/>
        <w:jc w:val="both"/>
        <w:textAlignment w:val="auto"/>
        <w:rPr>
          <w:rFonts w:hint="default" w:ascii="Times New Roman" w:hAnsi="Times New Roman" w:cs="Times New Roman"/>
          <w:b/>
          <w:color w:val="auto"/>
          <w:sz w:val="24"/>
          <w:szCs w:val="24"/>
          <w:lang w:val="en-US" w:eastAsia="zh-CN"/>
        </w:rPr>
      </w:pPr>
    </w:p>
    <w:p w14:paraId="6BE8D2C8">
      <w:pPr>
        <w:keepNext w:val="0"/>
        <w:keepLines w:val="0"/>
        <w:pageBreakBefore w:val="0"/>
        <w:widowControl/>
        <w:kinsoku/>
        <w:wordWrap/>
        <w:overflowPunct/>
        <w:topLinePunct w:val="0"/>
        <w:autoSpaceDE/>
        <w:autoSpaceDN/>
        <w:bidi w:val="0"/>
        <w:adjustRightInd/>
        <w:snapToGrid/>
        <w:spacing w:before="120"/>
        <w:jc w:val="both"/>
        <w:textAlignment w:val="auto"/>
        <w:rPr>
          <w:rFonts w:hint="eastAsia" w:eastAsia="宋体" w:cs="Times New Roman"/>
          <w:bCs/>
          <w:color w:val="auto"/>
          <w:sz w:val="24"/>
          <w:szCs w:val="24"/>
          <w:lang w:val="en-US" w:eastAsia="zh-CN"/>
        </w:rPr>
      </w:pPr>
      <w:r>
        <w:rPr>
          <w:rFonts w:hint="default" w:ascii="Times New Roman" w:hAnsi="Times New Roman" w:cs="Times New Roman"/>
          <w:b/>
          <w:color w:val="auto"/>
          <w:sz w:val="24"/>
          <w:szCs w:val="24"/>
          <w:lang w:val="en-US" w:eastAsia="zh-CN"/>
        </w:rPr>
        <w:t xml:space="preserve">Supplementary Table </w:t>
      </w:r>
      <w:r>
        <w:rPr>
          <w:rFonts w:hint="eastAsia" w:cs="Times New Roman"/>
          <w:b/>
          <w:color w:val="auto"/>
          <w:sz w:val="24"/>
          <w:szCs w:val="24"/>
          <w:lang w:val="en-US" w:eastAsia="zh-CN"/>
        </w:rPr>
        <w:t>5</w:t>
      </w:r>
      <w:r>
        <w:rPr>
          <w:rFonts w:hint="eastAsia" w:ascii="Times New Roman" w:hAnsi="Times New Roman" w:cs="Times New Roman"/>
          <w:b/>
          <w:color w:val="auto"/>
          <w:sz w:val="24"/>
          <w:szCs w:val="24"/>
          <w:lang w:val="en-US" w:eastAsia="zh-CN"/>
        </w:rPr>
        <w:t>.</w:t>
      </w:r>
      <w:r>
        <w:rPr>
          <w:rFonts w:hint="eastAsia" w:cs="Times New Roman"/>
          <w:b/>
          <w:color w:val="auto"/>
          <w:sz w:val="24"/>
          <w:szCs w:val="24"/>
          <w:lang w:val="en-US" w:eastAsia="zh-CN"/>
        </w:rPr>
        <w:t xml:space="preserve"> </w:t>
      </w:r>
      <w:r>
        <w:rPr>
          <w:rFonts w:hint="eastAsia" w:cs="Times New Roman"/>
          <w:b w:val="0"/>
          <w:bCs/>
          <w:color w:val="auto"/>
          <w:sz w:val="24"/>
          <w:szCs w:val="24"/>
          <w:lang w:val="en-US" w:eastAsia="zh-CN"/>
        </w:rPr>
        <w:t>Table of matrix components of</w:t>
      </w:r>
      <w:r>
        <w:rPr>
          <w:rFonts w:hint="eastAsia" w:cs="Times New Roman"/>
          <w:b/>
          <w:color w:val="auto"/>
          <w:sz w:val="24"/>
          <w:szCs w:val="24"/>
          <w:lang w:val="en-US" w:eastAsia="zh-CN"/>
        </w:rPr>
        <w:t xml:space="preserve"> </w:t>
      </w:r>
      <w:r>
        <w:rPr>
          <w:rFonts w:hint="eastAsia" w:cs="Times New Roman"/>
          <w:b w:val="0"/>
          <w:bCs/>
          <w:color w:val="auto"/>
          <w:sz w:val="24"/>
          <w:szCs w:val="24"/>
          <w:lang w:val="en-US" w:eastAsia="zh-CN"/>
        </w:rPr>
        <w:t>p</w:t>
      </w:r>
      <w:r>
        <w:rPr>
          <w:rFonts w:hint="default" w:ascii="Times New Roman" w:hAnsi="Times New Roman" w:cs="Times New Roman"/>
          <w:color w:val="auto"/>
          <w:sz w:val="24"/>
          <w:szCs w:val="24"/>
        </w:rPr>
        <w:t>rincipal component analysis (PCA)</w:t>
      </w:r>
      <w:r>
        <w:rPr>
          <w:rFonts w:hint="eastAsia" w:eastAsia="宋体" w:cs="Times New Roman"/>
          <w:color w:val="auto"/>
          <w:sz w:val="24"/>
          <w:szCs w:val="24"/>
          <w:lang w:val="en-US" w:eastAsia="zh-CN"/>
        </w:rPr>
        <w:t xml:space="preserve"> of </w:t>
      </w:r>
      <w:r>
        <w:rPr>
          <w:rFonts w:hint="eastAsia" w:eastAsia="宋体" w:cs="Times New Roman"/>
          <w:i/>
          <w:iCs/>
          <w:color w:val="auto"/>
          <w:sz w:val="24"/>
          <w:szCs w:val="24"/>
          <w:lang w:val="en-US" w:eastAsia="zh-CN"/>
        </w:rPr>
        <w:t>C. morifolium</w:t>
      </w:r>
      <w:r>
        <w:rPr>
          <w:rFonts w:hint="eastAsia" w:eastAsia="宋体" w:cs="Times New Roman"/>
          <w:color w:val="auto"/>
          <w:sz w:val="24"/>
          <w:szCs w:val="24"/>
          <w:lang w:val="en-US" w:eastAsia="zh-CN"/>
        </w:rPr>
        <w:t xml:space="preserve"> soil physicochemical properties and enzyme activities. </w:t>
      </w:r>
      <w:r>
        <w:rPr>
          <w:rFonts w:hint="default" w:ascii="Times New Roman" w:hAnsi="Times New Roman" w:eastAsia="Calibri" w:cs="Times New Roman"/>
          <w:color w:val="auto"/>
          <w:sz w:val="24"/>
          <w:szCs w:val="24"/>
          <w:lang w:eastAsia="en-US"/>
        </w:rPr>
        <w:t>pH</w:t>
      </w:r>
      <w:r>
        <w:rPr>
          <w:rFonts w:hint="default" w:ascii="Times New Roman" w:hAnsi="Times New Roman" w:cs="Times New Roman"/>
          <w:color w:val="auto"/>
          <w:sz w:val="24"/>
          <w:szCs w:val="24"/>
        </w:rPr>
        <w:t>, s</w:t>
      </w:r>
      <w:r>
        <w:rPr>
          <w:rFonts w:hint="default" w:ascii="Times New Roman" w:hAnsi="Times New Roman" w:eastAsia="Calibri" w:cs="Times New Roman"/>
          <w:color w:val="auto"/>
          <w:sz w:val="24"/>
          <w:szCs w:val="24"/>
          <w:lang w:eastAsia="en-US"/>
        </w:rPr>
        <w:t xml:space="preserve">oil organic matter </w:t>
      </w:r>
      <w:r>
        <w:rPr>
          <w:rFonts w:hint="default" w:ascii="Times New Roman" w:hAnsi="Times New Roman" w:eastAsia="宋体" w:cs="Times New Roman"/>
          <w:color w:val="auto"/>
          <w:sz w:val="24"/>
          <w:szCs w:val="24"/>
        </w:rPr>
        <w:t>(SOM)</w:t>
      </w:r>
      <w:r>
        <w:rPr>
          <w:rFonts w:hint="default" w:ascii="Times New Roman" w:hAnsi="Times New Roman" w:cs="Times New Roman"/>
          <w:color w:val="auto"/>
          <w:sz w:val="24"/>
          <w:szCs w:val="24"/>
        </w:rPr>
        <w:t>, t</w:t>
      </w:r>
      <w:r>
        <w:rPr>
          <w:rFonts w:hint="default" w:ascii="Times New Roman" w:hAnsi="Times New Roman" w:eastAsia="Calibri" w:cs="Times New Roman"/>
          <w:color w:val="auto"/>
          <w:sz w:val="24"/>
          <w:szCs w:val="24"/>
          <w:lang w:eastAsia="en-US"/>
        </w:rPr>
        <w:t xml:space="preserve">otal </w:t>
      </w:r>
      <w:r>
        <w:rPr>
          <w:rFonts w:hint="default" w:ascii="Times New Roman" w:hAnsi="Times New Roman" w:eastAsia="宋体" w:cs="Times New Roman"/>
          <w:color w:val="auto"/>
          <w:sz w:val="24"/>
          <w:szCs w:val="24"/>
        </w:rPr>
        <w:t>nitrogen (TN)</w:t>
      </w:r>
      <w:r>
        <w:rPr>
          <w:rFonts w:hint="default" w:ascii="Times New Roman" w:hAnsi="Times New Roman" w:cs="Times New Roman"/>
          <w:color w:val="auto"/>
          <w:sz w:val="24"/>
          <w:szCs w:val="24"/>
        </w:rPr>
        <w:t>, t</w:t>
      </w:r>
      <w:r>
        <w:rPr>
          <w:rFonts w:hint="default" w:ascii="Times New Roman" w:hAnsi="Times New Roman" w:eastAsia="Calibri" w:cs="Times New Roman"/>
          <w:color w:val="auto"/>
          <w:sz w:val="24"/>
          <w:szCs w:val="24"/>
          <w:lang w:eastAsia="en-US"/>
        </w:rPr>
        <w:t xml:space="preserve">otal </w:t>
      </w:r>
      <w:r>
        <w:rPr>
          <w:rFonts w:hint="default" w:ascii="Times New Roman" w:hAnsi="Times New Roman" w:eastAsia="宋体" w:cs="Times New Roman"/>
          <w:color w:val="auto"/>
          <w:sz w:val="24"/>
          <w:szCs w:val="24"/>
        </w:rPr>
        <w:t>phosphorus (TP), t</w:t>
      </w:r>
      <w:r>
        <w:rPr>
          <w:rFonts w:hint="default" w:ascii="Times New Roman" w:hAnsi="Times New Roman" w:eastAsia="Calibri" w:cs="Times New Roman"/>
          <w:color w:val="auto"/>
          <w:sz w:val="24"/>
          <w:szCs w:val="24"/>
          <w:lang w:eastAsia="en-US"/>
        </w:rPr>
        <w:t xml:space="preserve">otal </w:t>
      </w:r>
      <w:r>
        <w:rPr>
          <w:rFonts w:hint="default" w:ascii="Times New Roman" w:hAnsi="Times New Roman" w:eastAsia="宋体" w:cs="Times New Roman"/>
          <w:color w:val="auto"/>
          <w:sz w:val="24"/>
          <w:szCs w:val="24"/>
        </w:rPr>
        <w:t>potassium (TK), ammonium nitrogen (AN), nitrate nitrogen (NN), available phosphorus (AvP), available potassium (AvK), exchangeable calcium (ExCa), exchangeable magnesium (ExMg), available ferrum (AvFe), available manganese (AvMn), available cuprum (AvCu), available zinc (AvZn), available boron (AvB)</w:t>
      </w:r>
      <w:r>
        <w:rPr>
          <w:rFonts w:hint="eastAsia" w:eastAsia="宋体" w:cs="Times New Roman"/>
          <w:color w:val="auto"/>
          <w:sz w:val="24"/>
          <w:szCs w:val="24"/>
          <w:lang w:val="en-US" w:eastAsia="zh-CN"/>
        </w:rPr>
        <w:t xml:space="preserve">, </w:t>
      </w:r>
      <w:r>
        <w:rPr>
          <w:rFonts w:hint="default" w:ascii="Times New Roman" w:hAnsi="Times New Roman" w:eastAsia="宋体" w:cs="Times New Roman"/>
          <w:bCs/>
          <w:color w:val="auto"/>
          <w:sz w:val="24"/>
          <w:szCs w:val="24"/>
        </w:rPr>
        <w:t>s</w:t>
      </w:r>
      <w:r>
        <w:rPr>
          <w:rFonts w:hint="default" w:ascii="Times New Roman" w:hAnsi="Times New Roman" w:eastAsia="Calibri" w:cs="Times New Roman"/>
          <w:bCs/>
          <w:color w:val="auto"/>
          <w:sz w:val="24"/>
          <w:szCs w:val="24"/>
          <w:lang w:eastAsia="en-US"/>
        </w:rPr>
        <w:t xml:space="preserve">oil urease </w:t>
      </w:r>
      <w:r>
        <w:rPr>
          <w:rFonts w:hint="default" w:ascii="Times New Roman" w:hAnsi="Times New Roman" w:eastAsia="宋体" w:cs="Times New Roman"/>
          <w:bCs/>
          <w:color w:val="auto"/>
          <w:sz w:val="24"/>
          <w:szCs w:val="24"/>
        </w:rPr>
        <w:t>(UE)</w:t>
      </w:r>
      <w:r>
        <w:rPr>
          <w:rFonts w:hint="default" w:ascii="Times New Roman" w:hAnsi="Times New Roman" w:cs="Times New Roman"/>
          <w:bCs/>
          <w:color w:val="auto"/>
          <w:sz w:val="24"/>
          <w:szCs w:val="24"/>
        </w:rPr>
        <w:t>, s</w:t>
      </w:r>
      <w:r>
        <w:rPr>
          <w:rFonts w:hint="default" w:ascii="Times New Roman" w:hAnsi="Times New Roman" w:eastAsia="宋体" w:cs="Times New Roman"/>
          <w:bCs/>
          <w:color w:val="auto"/>
          <w:sz w:val="24"/>
          <w:szCs w:val="24"/>
        </w:rPr>
        <w:t>oil sucrase (SC)</w:t>
      </w:r>
      <w:r>
        <w:rPr>
          <w:rFonts w:hint="default" w:ascii="Times New Roman" w:hAnsi="Times New Roman" w:cs="Times New Roman"/>
          <w:bCs/>
          <w:color w:val="auto"/>
          <w:sz w:val="24"/>
          <w:szCs w:val="24"/>
        </w:rPr>
        <w:t>, s</w:t>
      </w:r>
      <w:r>
        <w:rPr>
          <w:rFonts w:hint="default" w:ascii="Times New Roman" w:hAnsi="Times New Roman" w:eastAsia="宋体" w:cs="Times New Roman"/>
          <w:bCs/>
          <w:color w:val="auto"/>
          <w:sz w:val="24"/>
          <w:szCs w:val="24"/>
        </w:rPr>
        <w:t>oil acid phosphatase (ACP)</w:t>
      </w:r>
      <w:r>
        <w:rPr>
          <w:rFonts w:hint="default" w:ascii="Times New Roman" w:hAnsi="Times New Roman" w:cs="Times New Roman"/>
          <w:bCs/>
          <w:color w:val="auto"/>
          <w:sz w:val="24"/>
          <w:szCs w:val="24"/>
        </w:rPr>
        <w:t>, s</w:t>
      </w:r>
      <w:r>
        <w:rPr>
          <w:rFonts w:hint="default" w:ascii="Times New Roman" w:hAnsi="Times New Roman" w:eastAsia="宋体" w:cs="Times New Roman"/>
          <w:bCs/>
          <w:color w:val="auto"/>
          <w:sz w:val="24"/>
          <w:szCs w:val="24"/>
        </w:rPr>
        <w:t>oil catalase (CAT)</w:t>
      </w:r>
      <w:r>
        <w:rPr>
          <w:rFonts w:hint="eastAsia" w:eastAsia="宋体" w:cs="Times New Roman"/>
          <w:bCs/>
          <w:color w:val="auto"/>
          <w:sz w:val="24"/>
          <w:szCs w:val="24"/>
          <w:lang w:val="en-US" w:eastAsia="zh-CN"/>
        </w:rPr>
        <w:t>.</w:t>
      </w:r>
    </w:p>
    <w:tbl>
      <w:tblPr>
        <w:tblStyle w:val="2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15"/>
        <w:gridCol w:w="868"/>
        <w:gridCol w:w="868"/>
        <w:gridCol w:w="874"/>
        <w:gridCol w:w="869"/>
        <w:gridCol w:w="869"/>
        <w:gridCol w:w="875"/>
        <w:gridCol w:w="1536"/>
        <w:gridCol w:w="1115"/>
      </w:tblGrid>
      <w:tr w14:paraId="37E8C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72" w:type="pct"/>
            <w:vMerge w:val="restart"/>
            <w:tcBorders>
              <w:top w:val="single" w:color="000000" w:sz="8" w:space="0"/>
              <w:left w:val="nil"/>
              <w:bottom w:val="single" w:color="000000" w:sz="8" w:space="0"/>
              <w:right w:val="nil"/>
            </w:tcBorders>
            <w:shd w:val="clear" w:color="auto" w:fill="auto"/>
            <w:noWrap/>
            <w:vAlign w:val="center"/>
          </w:tcPr>
          <w:p w14:paraId="365F30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Soil parameters</w:t>
            </w:r>
          </w:p>
        </w:tc>
        <w:tc>
          <w:tcPr>
            <w:tcW w:w="1347" w:type="pct"/>
            <w:gridSpan w:val="3"/>
            <w:tcBorders>
              <w:top w:val="single" w:color="000000" w:sz="8" w:space="0"/>
              <w:left w:val="nil"/>
              <w:bottom w:val="nil"/>
              <w:right w:val="nil"/>
            </w:tcBorders>
            <w:shd w:val="clear" w:color="auto" w:fill="auto"/>
            <w:noWrap/>
            <w:vAlign w:val="center"/>
          </w:tcPr>
          <w:p w14:paraId="0D8AEBB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Component matrix</w:t>
            </w:r>
          </w:p>
        </w:tc>
        <w:tc>
          <w:tcPr>
            <w:tcW w:w="1347" w:type="pct"/>
            <w:gridSpan w:val="3"/>
            <w:tcBorders>
              <w:top w:val="single" w:color="000000" w:sz="8" w:space="0"/>
              <w:left w:val="nil"/>
              <w:bottom w:val="nil"/>
              <w:right w:val="nil"/>
            </w:tcBorders>
            <w:shd w:val="clear" w:color="auto" w:fill="auto"/>
            <w:noWrap/>
            <w:vAlign w:val="center"/>
          </w:tcPr>
          <w:p w14:paraId="54FD75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Principal components</w:t>
            </w:r>
          </w:p>
        </w:tc>
        <w:tc>
          <w:tcPr>
            <w:tcW w:w="716" w:type="pct"/>
            <w:vMerge w:val="restart"/>
            <w:tcBorders>
              <w:top w:val="single" w:color="000000" w:sz="8" w:space="0"/>
              <w:left w:val="nil"/>
              <w:bottom w:val="single" w:color="000000" w:sz="8" w:space="0"/>
              <w:right w:val="nil"/>
            </w:tcBorders>
            <w:shd w:val="clear" w:color="auto" w:fill="auto"/>
            <w:vAlign w:val="center"/>
          </w:tcPr>
          <w:p w14:paraId="0124D9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Comprehensive score coefficient</w:t>
            </w:r>
          </w:p>
        </w:tc>
        <w:tc>
          <w:tcPr>
            <w:tcW w:w="516" w:type="pct"/>
            <w:vMerge w:val="restart"/>
            <w:tcBorders>
              <w:top w:val="single" w:color="000000" w:sz="8" w:space="0"/>
              <w:left w:val="nil"/>
              <w:bottom w:val="single" w:color="000000" w:sz="8" w:space="0"/>
              <w:right w:val="nil"/>
            </w:tcBorders>
            <w:shd w:val="clear" w:color="auto" w:fill="auto"/>
            <w:vAlign w:val="center"/>
          </w:tcPr>
          <w:p w14:paraId="304481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weight coefficient</w:t>
            </w:r>
          </w:p>
        </w:tc>
      </w:tr>
      <w:tr w14:paraId="2FA62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72" w:type="pct"/>
            <w:vMerge w:val="continue"/>
            <w:tcBorders>
              <w:top w:val="single" w:color="000000" w:sz="8" w:space="0"/>
              <w:left w:val="nil"/>
              <w:bottom w:val="single" w:color="000000" w:sz="8" w:space="0"/>
              <w:right w:val="nil"/>
            </w:tcBorders>
            <w:shd w:val="clear" w:color="auto" w:fill="auto"/>
            <w:noWrap/>
            <w:vAlign w:val="center"/>
          </w:tcPr>
          <w:p w14:paraId="79F36F76">
            <w:pPr>
              <w:jc w:val="center"/>
              <w:rPr>
                <w:rFonts w:hint="default" w:ascii="Times New Roman" w:hAnsi="Times New Roman" w:eastAsia="宋体" w:cs="Times New Roman"/>
                <w:i w:val="0"/>
                <w:iCs w:val="0"/>
                <w:color w:val="auto"/>
                <w:sz w:val="21"/>
                <w:szCs w:val="21"/>
                <w:u w:val="none"/>
              </w:rPr>
            </w:pPr>
          </w:p>
        </w:tc>
        <w:tc>
          <w:tcPr>
            <w:tcW w:w="448" w:type="pct"/>
            <w:tcBorders>
              <w:top w:val="nil"/>
              <w:left w:val="nil"/>
              <w:bottom w:val="single" w:color="000000" w:sz="8" w:space="0"/>
              <w:right w:val="nil"/>
            </w:tcBorders>
            <w:shd w:val="clear" w:color="auto" w:fill="auto"/>
            <w:noWrap/>
            <w:vAlign w:val="center"/>
          </w:tcPr>
          <w:p w14:paraId="408D33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U1</w:t>
            </w:r>
          </w:p>
        </w:tc>
        <w:tc>
          <w:tcPr>
            <w:tcW w:w="448" w:type="pct"/>
            <w:tcBorders>
              <w:top w:val="nil"/>
              <w:left w:val="nil"/>
              <w:bottom w:val="single" w:color="000000" w:sz="8" w:space="0"/>
              <w:right w:val="nil"/>
            </w:tcBorders>
            <w:shd w:val="clear" w:color="auto" w:fill="auto"/>
            <w:noWrap/>
            <w:vAlign w:val="center"/>
          </w:tcPr>
          <w:p w14:paraId="6AB5E4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U2</w:t>
            </w:r>
          </w:p>
        </w:tc>
        <w:tc>
          <w:tcPr>
            <w:tcW w:w="449" w:type="pct"/>
            <w:tcBorders>
              <w:top w:val="nil"/>
              <w:left w:val="nil"/>
              <w:bottom w:val="single" w:color="000000" w:sz="8" w:space="0"/>
              <w:right w:val="nil"/>
            </w:tcBorders>
            <w:shd w:val="clear" w:color="auto" w:fill="auto"/>
            <w:noWrap/>
            <w:vAlign w:val="center"/>
          </w:tcPr>
          <w:p w14:paraId="5C63360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U3</w:t>
            </w:r>
          </w:p>
        </w:tc>
        <w:tc>
          <w:tcPr>
            <w:tcW w:w="448" w:type="pct"/>
            <w:tcBorders>
              <w:top w:val="nil"/>
              <w:left w:val="nil"/>
              <w:bottom w:val="single" w:color="000000" w:sz="8" w:space="0"/>
              <w:right w:val="nil"/>
            </w:tcBorders>
            <w:shd w:val="clear" w:color="auto" w:fill="auto"/>
            <w:noWrap/>
            <w:vAlign w:val="center"/>
          </w:tcPr>
          <w:p w14:paraId="42D815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448" w:type="pct"/>
            <w:tcBorders>
              <w:top w:val="nil"/>
              <w:left w:val="nil"/>
              <w:bottom w:val="single" w:color="000000" w:sz="8" w:space="0"/>
              <w:right w:val="nil"/>
            </w:tcBorders>
            <w:shd w:val="clear" w:color="auto" w:fill="auto"/>
            <w:noWrap/>
            <w:vAlign w:val="center"/>
          </w:tcPr>
          <w:p w14:paraId="65E3758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449" w:type="pct"/>
            <w:tcBorders>
              <w:top w:val="nil"/>
              <w:left w:val="nil"/>
              <w:bottom w:val="single" w:color="000000" w:sz="8" w:space="0"/>
              <w:right w:val="nil"/>
            </w:tcBorders>
            <w:shd w:val="clear" w:color="auto" w:fill="auto"/>
            <w:noWrap/>
            <w:vAlign w:val="center"/>
          </w:tcPr>
          <w:p w14:paraId="1E9C07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716" w:type="pct"/>
            <w:vMerge w:val="continue"/>
            <w:tcBorders>
              <w:top w:val="single" w:color="000000" w:sz="8" w:space="0"/>
              <w:left w:val="nil"/>
              <w:bottom w:val="single" w:color="000000" w:sz="8" w:space="0"/>
              <w:right w:val="nil"/>
            </w:tcBorders>
            <w:shd w:val="clear" w:color="auto" w:fill="auto"/>
            <w:vAlign w:val="center"/>
          </w:tcPr>
          <w:p w14:paraId="6066F99D">
            <w:pPr>
              <w:jc w:val="center"/>
              <w:rPr>
                <w:rFonts w:hint="default" w:ascii="Times New Roman" w:hAnsi="Times New Roman" w:eastAsia="宋体" w:cs="Times New Roman"/>
                <w:i w:val="0"/>
                <w:iCs w:val="0"/>
                <w:color w:val="auto"/>
                <w:sz w:val="21"/>
                <w:szCs w:val="21"/>
                <w:u w:val="none"/>
              </w:rPr>
            </w:pPr>
          </w:p>
        </w:tc>
        <w:tc>
          <w:tcPr>
            <w:tcW w:w="516" w:type="pct"/>
            <w:vMerge w:val="continue"/>
            <w:tcBorders>
              <w:top w:val="single" w:color="000000" w:sz="8" w:space="0"/>
              <w:left w:val="nil"/>
              <w:bottom w:val="single" w:color="000000" w:sz="8" w:space="0"/>
              <w:right w:val="nil"/>
            </w:tcBorders>
            <w:shd w:val="clear" w:color="auto" w:fill="auto"/>
            <w:vAlign w:val="center"/>
          </w:tcPr>
          <w:p w14:paraId="1035B749">
            <w:pPr>
              <w:jc w:val="center"/>
              <w:rPr>
                <w:rFonts w:hint="default" w:ascii="Times New Roman" w:hAnsi="Times New Roman" w:eastAsia="宋体" w:cs="Times New Roman"/>
                <w:i w:val="0"/>
                <w:iCs w:val="0"/>
                <w:color w:val="auto"/>
                <w:sz w:val="21"/>
                <w:szCs w:val="21"/>
                <w:u w:val="none"/>
              </w:rPr>
            </w:pPr>
          </w:p>
        </w:tc>
      </w:tr>
      <w:tr w14:paraId="51A14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00524EA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ACP</w:t>
            </w:r>
          </w:p>
        </w:tc>
        <w:tc>
          <w:tcPr>
            <w:tcW w:w="448" w:type="pct"/>
            <w:tcBorders>
              <w:top w:val="nil"/>
              <w:left w:val="nil"/>
              <w:bottom w:val="nil"/>
              <w:right w:val="nil"/>
            </w:tcBorders>
            <w:shd w:val="clear" w:color="auto" w:fill="auto"/>
            <w:noWrap/>
            <w:vAlign w:val="center"/>
          </w:tcPr>
          <w:p w14:paraId="2BF6D83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0.223</w:t>
            </w:r>
          </w:p>
        </w:tc>
        <w:tc>
          <w:tcPr>
            <w:tcW w:w="448" w:type="pct"/>
            <w:tcBorders>
              <w:top w:val="nil"/>
              <w:left w:val="nil"/>
              <w:bottom w:val="nil"/>
              <w:right w:val="nil"/>
            </w:tcBorders>
            <w:shd w:val="clear" w:color="auto" w:fill="auto"/>
            <w:noWrap/>
            <w:vAlign w:val="center"/>
          </w:tcPr>
          <w:p w14:paraId="7CBFBA0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w:t>
            </w:r>
          </w:p>
        </w:tc>
        <w:tc>
          <w:tcPr>
            <w:tcW w:w="449" w:type="pct"/>
            <w:tcBorders>
              <w:top w:val="nil"/>
              <w:left w:val="nil"/>
              <w:bottom w:val="nil"/>
              <w:right w:val="nil"/>
            </w:tcBorders>
            <w:shd w:val="clear" w:color="auto" w:fill="auto"/>
            <w:noWrap/>
            <w:vAlign w:val="center"/>
          </w:tcPr>
          <w:p w14:paraId="4D84F2A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-0.22</w:t>
            </w:r>
          </w:p>
        </w:tc>
        <w:tc>
          <w:tcPr>
            <w:tcW w:w="448" w:type="pct"/>
            <w:tcBorders>
              <w:top w:val="nil"/>
              <w:left w:val="nil"/>
              <w:bottom w:val="nil"/>
              <w:right w:val="nil"/>
            </w:tcBorders>
            <w:shd w:val="clear" w:color="auto" w:fill="auto"/>
            <w:noWrap/>
            <w:vAlign w:val="center"/>
          </w:tcPr>
          <w:p w14:paraId="7BC23BC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0.895</w:t>
            </w:r>
          </w:p>
        </w:tc>
        <w:tc>
          <w:tcPr>
            <w:tcW w:w="448" w:type="pct"/>
            <w:tcBorders>
              <w:top w:val="nil"/>
              <w:left w:val="nil"/>
              <w:bottom w:val="nil"/>
              <w:right w:val="nil"/>
            </w:tcBorders>
            <w:shd w:val="clear" w:color="auto" w:fill="auto"/>
            <w:noWrap/>
            <w:vAlign w:val="center"/>
          </w:tcPr>
          <w:p w14:paraId="133E300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-0.282</w:t>
            </w:r>
          </w:p>
        </w:tc>
        <w:tc>
          <w:tcPr>
            <w:tcW w:w="449" w:type="pct"/>
            <w:tcBorders>
              <w:top w:val="nil"/>
              <w:left w:val="nil"/>
              <w:bottom w:val="nil"/>
              <w:right w:val="nil"/>
            </w:tcBorders>
            <w:shd w:val="clear" w:color="auto" w:fill="auto"/>
            <w:noWrap/>
            <w:vAlign w:val="center"/>
          </w:tcPr>
          <w:p w14:paraId="250CFD8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-0.23</w:t>
            </w:r>
          </w:p>
        </w:tc>
        <w:tc>
          <w:tcPr>
            <w:tcW w:w="716" w:type="pct"/>
            <w:tcBorders>
              <w:top w:val="nil"/>
              <w:left w:val="nil"/>
              <w:bottom w:val="nil"/>
              <w:right w:val="nil"/>
            </w:tcBorders>
            <w:shd w:val="clear" w:color="auto" w:fill="auto"/>
            <w:noWrap/>
            <w:vAlign w:val="center"/>
          </w:tcPr>
          <w:p w14:paraId="24308A9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0.2208</w:t>
            </w:r>
          </w:p>
        </w:tc>
        <w:tc>
          <w:tcPr>
            <w:tcW w:w="516" w:type="pct"/>
            <w:tcBorders>
              <w:top w:val="nil"/>
              <w:left w:val="nil"/>
              <w:bottom w:val="nil"/>
              <w:right w:val="nil"/>
            </w:tcBorders>
            <w:shd w:val="clear" w:color="auto" w:fill="auto"/>
            <w:noWrap/>
            <w:vAlign w:val="center"/>
          </w:tcPr>
          <w:p w14:paraId="2AD222D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5.38%</w:t>
            </w:r>
          </w:p>
        </w:tc>
      </w:tr>
      <w:tr w14:paraId="2AFE9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6653E15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GC</w:t>
            </w:r>
          </w:p>
        </w:tc>
        <w:tc>
          <w:tcPr>
            <w:tcW w:w="448" w:type="pct"/>
            <w:tcBorders>
              <w:top w:val="nil"/>
              <w:left w:val="nil"/>
              <w:bottom w:val="nil"/>
              <w:right w:val="nil"/>
            </w:tcBorders>
            <w:shd w:val="clear" w:color="auto" w:fill="auto"/>
            <w:noWrap/>
            <w:vAlign w:val="center"/>
          </w:tcPr>
          <w:p w14:paraId="7CC2298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0.218</w:t>
            </w:r>
          </w:p>
        </w:tc>
        <w:tc>
          <w:tcPr>
            <w:tcW w:w="448" w:type="pct"/>
            <w:tcBorders>
              <w:top w:val="nil"/>
              <w:left w:val="nil"/>
              <w:bottom w:val="nil"/>
              <w:right w:val="nil"/>
            </w:tcBorders>
            <w:shd w:val="clear" w:color="auto" w:fill="auto"/>
            <w:noWrap/>
            <w:vAlign w:val="center"/>
          </w:tcPr>
          <w:p w14:paraId="2227623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-0.189</w:t>
            </w:r>
          </w:p>
        </w:tc>
        <w:tc>
          <w:tcPr>
            <w:tcW w:w="449" w:type="pct"/>
            <w:tcBorders>
              <w:top w:val="nil"/>
              <w:left w:val="nil"/>
              <w:bottom w:val="nil"/>
              <w:right w:val="nil"/>
            </w:tcBorders>
            <w:shd w:val="clear" w:color="auto" w:fill="auto"/>
            <w:noWrap/>
            <w:vAlign w:val="center"/>
          </w:tcPr>
          <w:p w14:paraId="254CCEE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-0.283</w:t>
            </w:r>
          </w:p>
        </w:tc>
        <w:tc>
          <w:tcPr>
            <w:tcW w:w="448" w:type="pct"/>
            <w:tcBorders>
              <w:top w:val="nil"/>
              <w:left w:val="nil"/>
              <w:bottom w:val="nil"/>
              <w:right w:val="nil"/>
            </w:tcBorders>
            <w:shd w:val="clear" w:color="auto" w:fill="auto"/>
            <w:noWrap/>
            <w:vAlign w:val="center"/>
          </w:tcPr>
          <w:p w14:paraId="767AE57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0.872</w:t>
            </w:r>
          </w:p>
        </w:tc>
        <w:tc>
          <w:tcPr>
            <w:tcW w:w="448" w:type="pct"/>
            <w:tcBorders>
              <w:top w:val="nil"/>
              <w:left w:val="nil"/>
              <w:bottom w:val="nil"/>
              <w:right w:val="nil"/>
            </w:tcBorders>
            <w:shd w:val="clear" w:color="auto" w:fill="auto"/>
            <w:noWrap/>
            <w:vAlign w:val="center"/>
          </w:tcPr>
          <w:p w14:paraId="7ABCE3D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-0.267</w:t>
            </w:r>
          </w:p>
        </w:tc>
        <w:tc>
          <w:tcPr>
            <w:tcW w:w="449" w:type="pct"/>
            <w:tcBorders>
              <w:top w:val="nil"/>
              <w:left w:val="nil"/>
              <w:bottom w:val="nil"/>
              <w:right w:val="nil"/>
            </w:tcBorders>
            <w:shd w:val="clear" w:color="auto" w:fill="auto"/>
            <w:noWrap/>
            <w:vAlign w:val="center"/>
          </w:tcPr>
          <w:p w14:paraId="01D1327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-0.296</w:t>
            </w:r>
          </w:p>
        </w:tc>
        <w:tc>
          <w:tcPr>
            <w:tcW w:w="716" w:type="pct"/>
            <w:tcBorders>
              <w:top w:val="nil"/>
              <w:left w:val="nil"/>
              <w:bottom w:val="nil"/>
              <w:right w:val="nil"/>
            </w:tcBorders>
            <w:shd w:val="clear" w:color="auto" w:fill="auto"/>
            <w:noWrap/>
            <w:vAlign w:val="center"/>
          </w:tcPr>
          <w:p w14:paraId="323AF3C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0.2185</w:t>
            </w:r>
          </w:p>
        </w:tc>
        <w:tc>
          <w:tcPr>
            <w:tcW w:w="516" w:type="pct"/>
            <w:tcBorders>
              <w:top w:val="nil"/>
              <w:left w:val="nil"/>
              <w:bottom w:val="nil"/>
              <w:right w:val="nil"/>
            </w:tcBorders>
            <w:shd w:val="clear" w:color="auto" w:fill="auto"/>
            <w:noWrap/>
            <w:vAlign w:val="center"/>
          </w:tcPr>
          <w:p w14:paraId="1552E2F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5.33%</w:t>
            </w:r>
          </w:p>
        </w:tc>
      </w:tr>
      <w:tr w14:paraId="01AF4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6566D0F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SC</w:t>
            </w:r>
          </w:p>
        </w:tc>
        <w:tc>
          <w:tcPr>
            <w:tcW w:w="448" w:type="pct"/>
            <w:tcBorders>
              <w:top w:val="nil"/>
              <w:left w:val="nil"/>
              <w:bottom w:val="nil"/>
              <w:right w:val="nil"/>
            </w:tcBorders>
            <w:shd w:val="clear" w:color="auto" w:fill="auto"/>
            <w:noWrap/>
            <w:vAlign w:val="center"/>
          </w:tcPr>
          <w:p w14:paraId="26FD2A5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0.248</w:t>
            </w:r>
          </w:p>
        </w:tc>
        <w:tc>
          <w:tcPr>
            <w:tcW w:w="448" w:type="pct"/>
            <w:tcBorders>
              <w:top w:val="nil"/>
              <w:left w:val="nil"/>
              <w:bottom w:val="nil"/>
              <w:right w:val="nil"/>
            </w:tcBorders>
            <w:shd w:val="clear" w:color="auto" w:fill="auto"/>
            <w:noWrap/>
            <w:vAlign w:val="center"/>
          </w:tcPr>
          <w:p w14:paraId="38646F3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0.035</w:t>
            </w:r>
          </w:p>
        </w:tc>
        <w:tc>
          <w:tcPr>
            <w:tcW w:w="449" w:type="pct"/>
            <w:tcBorders>
              <w:top w:val="nil"/>
              <w:left w:val="nil"/>
              <w:bottom w:val="nil"/>
              <w:right w:val="nil"/>
            </w:tcBorders>
            <w:shd w:val="clear" w:color="auto" w:fill="auto"/>
            <w:noWrap/>
            <w:vAlign w:val="center"/>
          </w:tcPr>
          <w:p w14:paraId="4212CF0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-0.011</w:t>
            </w:r>
          </w:p>
        </w:tc>
        <w:tc>
          <w:tcPr>
            <w:tcW w:w="448" w:type="pct"/>
            <w:tcBorders>
              <w:top w:val="nil"/>
              <w:left w:val="nil"/>
              <w:bottom w:val="nil"/>
              <w:right w:val="nil"/>
            </w:tcBorders>
            <w:shd w:val="clear" w:color="auto" w:fill="auto"/>
            <w:noWrap/>
            <w:vAlign w:val="center"/>
          </w:tcPr>
          <w:p w14:paraId="7CC7FC5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0.995</w:t>
            </w:r>
          </w:p>
        </w:tc>
        <w:tc>
          <w:tcPr>
            <w:tcW w:w="448" w:type="pct"/>
            <w:tcBorders>
              <w:top w:val="nil"/>
              <w:left w:val="nil"/>
              <w:bottom w:val="nil"/>
              <w:right w:val="nil"/>
            </w:tcBorders>
            <w:shd w:val="clear" w:color="auto" w:fill="auto"/>
            <w:noWrap/>
            <w:vAlign w:val="center"/>
          </w:tcPr>
          <w:p w14:paraId="4D404E2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0.05</w:t>
            </w:r>
          </w:p>
        </w:tc>
        <w:tc>
          <w:tcPr>
            <w:tcW w:w="449" w:type="pct"/>
            <w:tcBorders>
              <w:top w:val="nil"/>
              <w:left w:val="nil"/>
              <w:bottom w:val="nil"/>
              <w:right w:val="nil"/>
            </w:tcBorders>
            <w:shd w:val="clear" w:color="auto" w:fill="auto"/>
            <w:noWrap/>
            <w:vAlign w:val="center"/>
          </w:tcPr>
          <w:p w14:paraId="1DC50C0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-0.011</w:t>
            </w:r>
          </w:p>
        </w:tc>
        <w:tc>
          <w:tcPr>
            <w:tcW w:w="716" w:type="pct"/>
            <w:tcBorders>
              <w:top w:val="nil"/>
              <w:left w:val="nil"/>
              <w:bottom w:val="nil"/>
              <w:right w:val="nil"/>
            </w:tcBorders>
            <w:shd w:val="clear" w:color="auto" w:fill="auto"/>
            <w:noWrap/>
            <w:vAlign w:val="center"/>
          </w:tcPr>
          <w:p w14:paraId="0984BF3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0.2126</w:t>
            </w:r>
          </w:p>
        </w:tc>
        <w:tc>
          <w:tcPr>
            <w:tcW w:w="516" w:type="pct"/>
            <w:tcBorders>
              <w:top w:val="nil"/>
              <w:left w:val="nil"/>
              <w:bottom w:val="nil"/>
              <w:right w:val="nil"/>
            </w:tcBorders>
            <w:shd w:val="clear" w:color="auto" w:fill="auto"/>
            <w:noWrap/>
            <w:vAlign w:val="center"/>
          </w:tcPr>
          <w:p w14:paraId="75D58E7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5.18%</w:t>
            </w:r>
          </w:p>
        </w:tc>
      </w:tr>
      <w:tr w14:paraId="588F7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4353E3B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UE</w:t>
            </w:r>
          </w:p>
        </w:tc>
        <w:tc>
          <w:tcPr>
            <w:tcW w:w="448" w:type="pct"/>
            <w:tcBorders>
              <w:top w:val="nil"/>
              <w:left w:val="nil"/>
              <w:bottom w:val="nil"/>
              <w:right w:val="nil"/>
            </w:tcBorders>
            <w:shd w:val="clear" w:color="auto" w:fill="auto"/>
            <w:noWrap/>
            <w:vAlign w:val="center"/>
          </w:tcPr>
          <w:p w14:paraId="071B483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-0.223</w:t>
            </w:r>
          </w:p>
        </w:tc>
        <w:tc>
          <w:tcPr>
            <w:tcW w:w="448" w:type="pct"/>
            <w:tcBorders>
              <w:top w:val="nil"/>
              <w:left w:val="nil"/>
              <w:bottom w:val="nil"/>
              <w:right w:val="nil"/>
            </w:tcBorders>
            <w:shd w:val="clear" w:color="auto" w:fill="auto"/>
            <w:noWrap/>
            <w:vAlign w:val="center"/>
          </w:tcPr>
          <w:p w14:paraId="3417338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0.315</w:t>
            </w:r>
          </w:p>
        </w:tc>
        <w:tc>
          <w:tcPr>
            <w:tcW w:w="449" w:type="pct"/>
            <w:tcBorders>
              <w:top w:val="nil"/>
              <w:left w:val="nil"/>
              <w:bottom w:val="nil"/>
              <w:right w:val="nil"/>
            </w:tcBorders>
            <w:shd w:val="clear" w:color="auto" w:fill="auto"/>
            <w:noWrap/>
            <w:vAlign w:val="center"/>
          </w:tcPr>
          <w:p w14:paraId="131C157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-0.006</w:t>
            </w:r>
          </w:p>
        </w:tc>
        <w:tc>
          <w:tcPr>
            <w:tcW w:w="448" w:type="pct"/>
            <w:tcBorders>
              <w:top w:val="nil"/>
              <w:left w:val="nil"/>
              <w:bottom w:val="nil"/>
              <w:right w:val="nil"/>
            </w:tcBorders>
            <w:shd w:val="clear" w:color="auto" w:fill="auto"/>
            <w:noWrap/>
            <w:vAlign w:val="center"/>
          </w:tcPr>
          <w:p w14:paraId="5CF9C0F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-0.893</w:t>
            </w:r>
          </w:p>
        </w:tc>
        <w:tc>
          <w:tcPr>
            <w:tcW w:w="448" w:type="pct"/>
            <w:tcBorders>
              <w:top w:val="nil"/>
              <w:left w:val="nil"/>
              <w:bottom w:val="nil"/>
              <w:right w:val="nil"/>
            </w:tcBorders>
            <w:shd w:val="clear" w:color="auto" w:fill="auto"/>
            <w:noWrap/>
            <w:vAlign w:val="center"/>
          </w:tcPr>
          <w:p w14:paraId="0C562BE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0.444</w:t>
            </w:r>
          </w:p>
        </w:tc>
        <w:tc>
          <w:tcPr>
            <w:tcW w:w="449" w:type="pct"/>
            <w:tcBorders>
              <w:top w:val="nil"/>
              <w:left w:val="nil"/>
              <w:bottom w:val="nil"/>
              <w:right w:val="nil"/>
            </w:tcBorders>
            <w:shd w:val="clear" w:color="auto" w:fill="auto"/>
            <w:noWrap/>
            <w:vAlign w:val="center"/>
          </w:tcPr>
          <w:p w14:paraId="69C867C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-0.006</w:t>
            </w:r>
          </w:p>
        </w:tc>
        <w:tc>
          <w:tcPr>
            <w:tcW w:w="716" w:type="pct"/>
            <w:tcBorders>
              <w:top w:val="nil"/>
              <w:left w:val="nil"/>
              <w:bottom w:val="nil"/>
              <w:right w:val="nil"/>
            </w:tcBorders>
            <w:shd w:val="clear" w:color="auto" w:fill="auto"/>
            <w:noWrap/>
            <w:vAlign w:val="center"/>
          </w:tcPr>
          <w:p w14:paraId="50F528D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0.2202</w:t>
            </w:r>
          </w:p>
        </w:tc>
        <w:tc>
          <w:tcPr>
            <w:tcW w:w="516" w:type="pct"/>
            <w:tcBorders>
              <w:top w:val="nil"/>
              <w:left w:val="nil"/>
              <w:bottom w:val="nil"/>
              <w:right w:val="nil"/>
            </w:tcBorders>
            <w:shd w:val="clear" w:color="auto" w:fill="auto"/>
            <w:noWrap/>
            <w:vAlign w:val="center"/>
          </w:tcPr>
          <w:p w14:paraId="443F03A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5.37%</w:t>
            </w:r>
          </w:p>
        </w:tc>
      </w:tr>
      <w:tr w14:paraId="6B977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7758986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CAT</w:t>
            </w:r>
          </w:p>
        </w:tc>
        <w:tc>
          <w:tcPr>
            <w:tcW w:w="448" w:type="pct"/>
            <w:tcBorders>
              <w:top w:val="nil"/>
              <w:left w:val="nil"/>
              <w:bottom w:val="nil"/>
              <w:right w:val="nil"/>
            </w:tcBorders>
            <w:shd w:val="clear" w:color="auto" w:fill="auto"/>
            <w:noWrap/>
            <w:vAlign w:val="center"/>
          </w:tcPr>
          <w:p w14:paraId="2AB3E26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-0.042</w:t>
            </w:r>
          </w:p>
        </w:tc>
        <w:tc>
          <w:tcPr>
            <w:tcW w:w="448" w:type="pct"/>
            <w:tcBorders>
              <w:top w:val="nil"/>
              <w:left w:val="nil"/>
              <w:bottom w:val="nil"/>
              <w:right w:val="nil"/>
            </w:tcBorders>
            <w:shd w:val="clear" w:color="auto" w:fill="auto"/>
            <w:noWrap/>
            <w:vAlign w:val="center"/>
          </w:tcPr>
          <w:p w14:paraId="5F81C80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-0.432</w:t>
            </w:r>
          </w:p>
        </w:tc>
        <w:tc>
          <w:tcPr>
            <w:tcW w:w="449" w:type="pct"/>
            <w:tcBorders>
              <w:top w:val="nil"/>
              <w:left w:val="nil"/>
              <w:bottom w:val="nil"/>
              <w:right w:val="nil"/>
            </w:tcBorders>
            <w:shd w:val="clear" w:color="auto" w:fill="auto"/>
            <w:noWrap/>
            <w:vAlign w:val="center"/>
          </w:tcPr>
          <w:p w14:paraId="1DE71CB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0.738</w:t>
            </w:r>
          </w:p>
        </w:tc>
        <w:tc>
          <w:tcPr>
            <w:tcW w:w="448" w:type="pct"/>
            <w:tcBorders>
              <w:top w:val="nil"/>
              <w:left w:val="nil"/>
              <w:bottom w:val="nil"/>
              <w:right w:val="nil"/>
            </w:tcBorders>
            <w:shd w:val="clear" w:color="auto" w:fill="auto"/>
            <w:noWrap/>
            <w:vAlign w:val="center"/>
          </w:tcPr>
          <w:p w14:paraId="3643779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-0.17</w:t>
            </w:r>
          </w:p>
        </w:tc>
        <w:tc>
          <w:tcPr>
            <w:tcW w:w="448" w:type="pct"/>
            <w:tcBorders>
              <w:top w:val="nil"/>
              <w:left w:val="nil"/>
              <w:bottom w:val="nil"/>
              <w:right w:val="nil"/>
            </w:tcBorders>
            <w:shd w:val="clear" w:color="auto" w:fill="auto"/>
            <w:noWrap/>
            <w:vAlign w:val="center"/>
          </w:tcPr>
          <w:p w14:paraId="6D9ECCD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-0.611</w:t>
            </w:r>
          </w:p>
        </w:tc>
        <w:tc>
          <w:tcPr>
            <w:tcW w:w="449" w:type="pct"/>
            <w:tcBorders>
              <w:top w:val="nil"/>
              <w:left w:val="nil"/>
              <w:bottom w:val="nil"/>
              <w:right w:val="nil"/>
            </w:tcBorders>
            <w:shd w:val="clear" w:color="auto" w:fill="auto"/>
            <w:noWrap/>
            <w:vAlign w:val="center"/>
          </w:tcPr>
          <w:p w14:paraId="65C9399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0.772</w:t>
            </w:r>
          </w:p>
        </w:tc>
        <w:tc>
          <w:tcPr>
            <w:tcW w:w="716" w:type="pct"/>
            <w:tcBorders>
              <w:top w:val="nil"/>
              <w:left w:val="nil"/>
              <w:bottom w:val="nil"/>
              <w:right w:val="nil"/>
            </w:tcBorders>
            <w:shd w:val="clear" w:color="auto" w:fill="auto"/>
            <w:noWrap/>
            <w:vAlign w:val="center"/>
          </w:tcPr>
          <w:p w14:paraId="08826AF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0.123</w:t>
            </w:r>
          </w:p>
        </w:tc>
        <w:tc>
          <w:tcPr>
            <w:tcW w:w="516" w:type="pct"/>
            <w:tcBorders>
              <w:top w:val="nil"/>
              <w:left w:val="nil"/>
              <w:bottom w:val="nil"/>
              <w:right w:val="nil"/>
            </w:tcBorders>
            <w:shd w:val="clear" w:color="auto" w:fill="auto"/>
            <w:noWrap/>
            <w:vAlign w:val="center"/>
          </w:tcPr>
          <w:p w14:paraId="6B91AAD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3.00%</w:t>
            </w:r>
          </w:p>
        </w:tc>
      </w:tr>
      <w:tr w14:paraId="2C488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1463CC2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pH</w:t>
            </w:r>
          </w:p>
        </w:tc>
        <w:tc>
          <w:tcPr>
            <w:tcW w:w="448" w:type="pct"/>
            <w:tcBorders>
              <w:top w:val="nil"/>
              <w:left w:val="nil"/>
              <w:bottom w:val="nil"/>
              <w:right w:val="nil"/>
            </w:tcBorders>
            <w:shd w:val="clear" w:color="auto" w:fill="auto"/>
            <w:noWrap/>
            <w:vAlign w:val="center"/>
          </w:tcPr>
          <w:p w14:paraId="0BFE4DE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0.243</w:t>
            </w:r>
          </w:p>
        </w:tc>
        <w:tc>
          <w:tcPr>
            <w:tcW w:w="448" w:type="pct"/>
            <w:tcBorders>
              <w:top w:val="nil"/>
              <w:left w:val="nil"/>
              <w:bottom w:val="nil"/>
              <w:right w:val="nil"/>
            </w:tcBorders>
            <w:shd w:val="clear" w:color="auto" w:fill="auto"/>
            <w:noWrap/>
            <w:vAlign w:val="center"/>
          </w:tcPr>
          <w:p w14:paraId="4866315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0.125</w:t>
            </w:r>
          </w:p>
        </w:tc>
        <w:tc>
          <w:tcPr>
            <w:tcW w:w="449" w:type="pct"/>
            <w:tcBorders>
              <w:top w:val="nil"/>
              <w:left w:val="nil"/>
              <w:bottom w:val="nil"/>
              <w:right w:val="nil"/>
            </w:tcBorders>
            <w:shd w:val="clear" w:color="auto" w:fill="auto"/>
            <w:noWrap/>
            <w:vAlign w:val="center"/>
          </w:tcPr>
          <w:p w14:paraId="01B9708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-0.018</w:t>
            </w:r>
          </w:p>
        </w:tc>
        <w:tc>
          <w:tcPr>
            <w:tcW w:w="448" w:type="pct"/>
            <w:tcBorders>
              <w:top w:val="nil"/>
              <w:left w:val="nil"/>
              <w:bottom w:val="nil"/>
              <w:right w:val="nil"/>
            </w:tcBorders>
            <w:shd w:val="clear" w:color="auto" w:fill="auto"/>
            <w:noWrap/>
            <w:vAlign w:val="center"/>
          </w:tcPr>
          <w:p w14:paraId="507D6ED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0.971</w:t>
            </w:r>
          </w:p>
        </w:tc>
        <w:tc>
          <w:tcPr>
            <w:tcW w:w="448" w:type="pct"/>
            <w:tcBorders>
              <w:top w:val="nil"/>
              <w:left w:val="nil"/>
              <w:bottom w:val="nil"/>
              <w:right w:val="nil"/>
            </w:tcBorders>
            <w:shd w:val="clear" w:color="auto" w:fill="auto"/>
            <w:noWrap/>
            <w:vAlign w:val="center"/>
          </w:tcPr>
          <w:p w14:paraId="51EB2DF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0.176</w:t>
            </w:r>
          </w:p>
        </w:tc>
        <w:tc>
          <w:tcPr>
            <w:tcW w:w="449" w:type="pct"/>
            <w:tcBorders>
              <w:top w:val="nil"/>
              <w:left w:val="nil"/>
              <w:bottom w:val="nil"/>
              <w:right w:val="nil"/>
            </w:tcBorders>
            <w:shd w:val="clear" w:color="auto" w:fill="auto"/>
            <w:noWrap/>
            <w:vAlign w:val="center"/>
          </w:tcPr>
          <w:p w14:paraId="655AF3B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-0.019</w:t>
            </w:r>
          </w:p>
        </w:tc>
        <w:tc>
          <w:tcPr>
            <w:tcW w:w="716" w:type="pct"/>
            <w:tcBorders>
              <w:top w:val="nil"/>
              <w:left w:val="nil"/>
              <w:bottom w:val="nil"/>
              <w:right w:val="nil"/>
            </w:tcBorders>
            <w:shd w:val="clear" w:color="auto" w:fill="auto"/>
            <w:noWrap/>
            <w:vAlign w:val="center"/>
          </w:tcPr>
          <w:p w14:paraId="3EBBD9B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0.2175</w:t>
            </w:r>
          </w:p>
        </w:tc>
        <w:tc>
          <w:tcPr>
            <w:tcW w:w="516" w:type="pct"/>
            <w:tcBorders>
              <w:top w:val="nil"/>
              <w:left w:val="nil"/>
              <w:bottom w:val="nil"/>
              <w:right w:val="nil"/>
            </w:tcBorders>
            <w:shd w:val="clear" w:color="auto" w:fill="auto"/>
            <w:noWrap/>
            <w:vAlign w:val="center"/>
          </w:tcPr>
          <w:p w14:paraId="0C4B08A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5.30%</w:t>
            </w:r>
          </w:p>
        </w:tc>
      </w:tr>
      <w:tr w14:paraId="36DA2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38E6017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TN</w:t>
            </w:r>
          </w:p>
        </w:tc>
        <w:tc>
          <w:tcPr>
            <w:tcW w:w="448" w:type="pct"/>
            <w:tcBorders>
              <w:top w:val="nil"/>
              <w:left w:val="nil"/>
              <w:bottom w:val="nil"/>
              <w:right w:val="nil"/>
            </w:tcBorders>
            <w:shd w:val="clear" w:color="auto" w:fill="auto"/>
            <w:noWrap/>
            <w:vAlign w:val="center"/>
          </w:tcPr>
          <w:p w14:paraId="7215DF3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0.247</w:t>
            </w:r>
          </w:p>
        </w:tc>
        <w:tc>
          <w:tcPr>
            <w:tcW w:w="448" w:type="pct"/>
            <w:tcBorders>
              <w:top w:val="nil"/>
              <w:left w:val="nil"/>
              <w:bottom w:val="nil"/>
              <w:right w:val="nil"/>
            </w:tcBorders>
            <w:shd w:val="clear" w:color="auto" w:fill="auto"/>
            <w:noWrap/>
            <w:vAlign w:val="center"/>
          </w:tcPr>
          <w:p w14:paraId="1DACF6B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w:t>
            </w:r>
          </w:p>
        </w:tc>
        <w:tc>
          <w:tcPr>
            <w:tcW w:w="449" w:type="pct"/>
            <w:tcBorders>
              <w:top w:val="nil"/>
              <w:left w:val="nil"/>
              <w:bottom w:val="nil"/>
              <w:right w:val="nil"/>
            </w:tcBorders>
            <w:shd w:val="clear" w:color="auto" w:fill="auto"/>
            <w:noWrap/>
            <w:vAlign w:val="center"/>
          </w:tcPr>
          <w:p w14:paraId="791E962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0.075</w:t>
            </w:r>
          </w:p>
        </w:tc>
        <w:tc>
          <w:tcPr>
            <w:tcW w:w="448" w:type="pct"/>
            <w:tcBorders>
              <w:top w:val="nil"/>
              <w:left w:val="nil"/>
              <w:bottom w:val="nil"/>
              <w:right w:val="nil"/>
            </w:tcBorders>
            <w:shd w:val="clear" w:color="auto" w:fill="auto"/>
            <w:noWrap/>
            <w:vAlign w:val="center"/>
          </w:tcPr>
          <w:p w14:paraId="50DE5D4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0.991</w:t>
            </w:r>
          </w:p>
        </w:tc>
        <w:tc>
          <w:tcPr>
            <w:tcW w:w="448" w:type="pct"/>
            <w:tcBorders>
              <w:top w:val="nil"/>
              <w:left w:val="nil"/>
              <w:bottom w:val="nil"/>
              <w:right w:val="nil"/>
            </w:tcBorders>
            <w:shd w:val="clear" w:color="auto" w:fill="auto"/>
            <w:noWrap/>
            <w:vAlign w:val="center"/>
          </w:tcPr>
          <w:p w14:paraId="7EDB771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0.099</w:t>
            </w:r>
          </w:p>
        </w:tc>
        <w:tc>
          <w:tcPr>
            <w:tcW w:w="449" w:type="pct"/>
            <w:tcBorders>
              <w:top w:val="nil"/>
              <w:left w:val="nil"/>
              <w:bottom w:val="nil"/>
              <w:right w:val="nil"/>
            </w:tcBorders>
            <w:shd w:val="clear" w:color="auto" w:fill="auto"/>
            <w:noWrap/>
            <w:vAlign w:val="center"/>
          </w:tcPr>
          <w:p w14:paraId="5299FE4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0.078</w:t>
            </w:r>
          </w:p>
        </w:tc>
        <w:tc>
          <w:tcPr>
            <w:tcW w:w="716" w:type="pct"/>
            <w:tcBorders>
              <w:top w:val="nil"/>
              <w:left w:val="nil"/>
              <w:bottom w:val="nil"/>
              <w:right w:val="nil"/>
            </w:tcBorders>
            <w:shd w:val="clear" w:color="auto" w:fill="auto"/>
            <w:noWrap/>
            <w:vAlign w:val="center"/>
          </w:tcPr>
          <w:p w14:paraId="6A5C1B7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0.219</w:t>
            </w:r>
          </w:p>
        </w:tc>
        <w:tc>
          <w:tcPr>
            <w:tcW w:w="516" w:type="pct"/>
            <w:tcBorders>
              <w:top w:val="nil"/>
              <w:left w:val="nil"/>
              <w:bottom w:val="nil"/>
              <w:right w:val="nil"/>
            </w:tcBorders>
            <w:shd w:val="clear" w:color="auto" w:fill="auto"/>
            <w:noWrap/>
            <w:vAlign w:val="center"/>
          </w:tcPr>
          <w:p w14:paraId="020E279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5.34%</w:t>
            </w:r>
          </w:p>
        </w:tc>
      </w:tr>
      <w:tr w14:paraId="71AE5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719302C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TP</w:t>
            </w:r>
          </w:p>
        </w:tc>
        <w:tc>
          <w:tcPr>
            <w:tcW w:w="448" w:type="pct"/>
            <w:tcBorders>
              <w:top w:val="nil"/>
              <w:left w:val="nil"/>
              <w:bottom w:val="nil"/>
              <w:right w:val="nil"/>
            </w:tcBorders>
            <w:shd w:val="clear" w:color="auto" w:fill="auto"/>
            <w:noWrap/>
            <w:vAlign w:val="center"/>
          </w:tcPr>
          <w:p w14:paraId="63289A0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w:t>
            </w:r>
          </w:p>
        </w:tc>
        <w:tc>
          <w:tcPr>
            <w:tcW w:w="448" w:type="pct"/>
            <w:tcBorders>
              <w:top w:val="nil"/>
              <w:left w:val="nil"/>
              <w:bottom w:val="nil"/>
              <w:right w:val="nil"/>
            </w:tcBorders>
            <w:shd w:val="clear" w:color="auto" w:fill="auto"/>
            <w:noWrap/>
            <w:vAlign w:val="center"/>
          </w:tcPr>
          <w:p w14:paraId="71A0F09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0.588</w:t>
            </w:r>
          </w:p>
        </w:tc>
        <w:tc>
          <w:tcPr>
            <w:tcW w:w="449" w:type="pct"/>
            <w:tcBorders>
              <w:top w:val="nil"/>
              <w:left w:val="nil"/>
              <w:bottom w:val="nil"/>
              <w:right w:val="nil"/>
            </w:tcBorders>
            <w:shd w:val="clear" w:color="auto" w:fill="auto"/>
            <w:noWrap/>
            <w:vAlign w:val="center"/>
          </w:tcPr>
          <w:p w14:paraId="05F2E46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0.215</w:t>
            </w:r>
          </w:p>
        </w:tc>
        <w:tc>
          <w:tcPr>
            <w:tcW w:w="448" w:type="pct"/>
            <w:tcBorders>
              <w:top w:val="nil"/>
              <w:left w:val="nil"/>
              <w:bottom w:val="nil"/>
              <w:right w:val="nil"/>
            </w:tcBorders>
            <w:shd w:val="clear" w:color="auto" w:fill="auto"/>
            <w:noWrap/>
            <w:vAlign w:val="center"/>
          </w:tcPr>
          <w:p w14:paraId="6FE37A2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-0.039</w:t>
            </w:r>
          </w:p>
        </w:tc>
        <w:tc>
          <w:tcPr>
            <w:tcW w:w="448" w:type="pct"/>
            <w:tcBorders>
              <w:top w:val="nil"/>
              <w:left w:val="nil"/>
              <w:bottom w:val="nil"/>
              <w:right w:val="nil"/>
            </w:tcBorders>
            <w:shd w:val="clear" w:color="auto" w:fill="auto"/>
            <w:noWrap/>
            <w:vAlign w:val="center"/>
          </w:tcPr>
          <w:p w14:paraId="470336D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0.83</w:t>
            </w:r>
          </w:p>
        </w:tc>
        <w:tc>
          <w:tcPr>
            <w:tcW w:w="449" w:type="pct"/>
            <w:tcBorders>
              <w:top w:val="nil"/>
              <w:left w:val="nil"/>
              <w:bottom w:val="nil"/>
              <w:right w:val="nil"/>
            </w:tcBorders>
            <w:shd w:val="clear" w:color="auto" w:fill="auto"/>
            <w:noWrap/>
            <w:vAlign w:val="center"/>
          </w:tcPr>
          <w:p w14:paraId="15FF71A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0.225</w:t>
            </w:r>
          </w:p>
        </w:tc>
        <w:tc>
          <w:tcPr>
            <w:tcW w:w="716" w:type="pct"/>
            <w:tcBorders>
              <w:top w:val="nil"/>
              <w:left w:val="nil"/>
              <w:bottom w:val="nil"/>
              <w:right w:val="nil"/>
            </w:tcBorders>
            <w:shd w:val="clear" w:color="auto" w:fill="auto"/>
            <w:noWrap/>
            <w:vAlign w:val="center"/>
          </w:tcPr>
          <w:p w14:paraId="748FD86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0.0819</w:t>
            </w:r>
          </w:p>
        </w:tc>
        <w:tc>
          <w:tcPr>
            <w:tcW w:w="516" w:type="pct"/>
            <w:tcBorders>
              <w:top w:val="nil"/>
              <w:left w:val="nil"/>
              <w:bottom w:val="nil"/>
              <w:right w:val="nil"/>
            </w:tcBorders>
            <w:shd w:val="clear" w:color="auto" w:fill="auto"/>
            <w:noWrap/>
            <w:vAlign w:val="center"/>
          </w:tcPr>
          <w:p w14:paraId="6C7D9EA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2.00%</w:t>
            </w:r>
          </w:p>
        </w:tc>
      </w:tr>
      <w:tr w14:paraId="30F15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615418C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TK</w:t>
            </w:r>
          </w:p>
        </w:tc>
        <w:tc>
          <w:tcPr>
            <w:tcW w:w="448" w:type="pct"/>
            <w:tcBorders>
              <w:top w:val="nil"/>
              <w:left w:val="nil"/>
              <w:bottom w:val="nil"/>
              <w:right w:val="nil"/>
            </w:tcBorders>
            <w:shd w:val="clear" w:color="auto" w:fill="auto"/>
            <w:noWrap/>
            <w:vAlign w:val="center"/>
          </w:tcPr>
          <w:p w14:paraId="17028A1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-0.249</w:t>
            </w:r>
          </w:p>
        </w:tc>
        <w:tc>
          <w:tcPr>
            <w:tcW w:w="448" w:type="pct"/>
            <w:tcBorders>
              <w:top w:val="nil"/>
              <w:left w:val="nil"/>
              <w:bottom w:val="nil"/>
              <w:right w:val="nil"/>
            </w:tcBorders>
            <w:shd w:val="clear" w:color="auto" w:fill="auto"/>
            <w:noWrap/>
            <w:vAlign w:val="center"/>
          </w:tcPr>
          <w:p w14:paraId="7EBCABA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-0.036</w:t>
            </w:r>
          </w:p>
        </w:tc>
        <w:tc>
          <w:tcPr>
            <w:tcW w:w="449" w:type="pct"/>
            <w:tcBorders>
              <w:top w:val="nil"/>
              <w:left w:val="nil"/>
              <w:bottom w:val="nil"/>
              <w:right w:val="nil"/>
            </w:tcBorders>
            <w:shd w:val="clear" w:color="auto" w:fill="auto"/>
            <w:noWrap/>
            <w:vAlign w:val="center"/>
          </w:tcPr>
          <w:p w14:paraId="3066E55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w:t>
            </w:r>
          </w:p>
        </w:tc>
        <w:tc>
          <w:tcPr>
            <w:tcW w:w="448" w:type="pct"/>
            <w:tcBorders>
              <w:top w:val="nil"/>
              <w:left w:val="nil"/>
              <w:bottom w:val="nil"/>
              <w:right w:val="nil"/>
            </w:tcBorders>
            <w:shd w:val="clear" w:color="auto" w:fill="auto"/>
            <w:noWrap/>
            <w:vAlign w:val="center"/>
          </w:tcPr>
          <w:p w14:paraId="19D2B00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-0.998</w:t>
            </w:r>
          </w:p>
        </w:tc>
        <w:tc>
          <w:tcPr>
            <w:tcW w:w="448" w:type="pct"/>
            <w:tcBorders>
              <w:top w:val="nil"/>
              <w:left w:val="nil"/>
              <w:bottom w:val="nil"/>
              <w:right w:val="nil"/>
            </w:tcBorders>
            <w:shd w:val="clear" w:color="auto" w:fill="auto"/>
            <w:noWrap/>
            <w:vAlign w:val="center"/>
          </w:tcPr>
          <w:p w14:paraId="1737B15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-0.051</w:t>
            </w:r>
          </w:p>
        </w:tc>
        <w:tc>
          <w:tcPr>
            <w:tcW w:w="449" w:type="pct"/>
            <w:tcBorders>
              <w:top w:val="nil"/>
              <w:left w:val="nil"/>
              <w:bottom w:val="nil"/>
              <w:right w:val="nil"/>
            </w:tcBorders>
            <w:shd w:val="clear" w:color="auto" w:fill="auto"/>
            <w:noWrap/>
            <w:vAlign w:val="center"/>
          </w:tcPr>
          <w:p w14:paraId="783FFDA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-0.002</w:t>
            </w:r>
          </w:p>
        </w:tc>
        <w:tc>
          <w:tcPr>
            <w:tcW w:w="716" w:type="pct"/>
            <w:tcBorders>
              <w:top w:val="nil"/>
              <w:left w:val="nil"/>
              <w:bottom w:val="nil"/>
              <w:right w:val="nil"/>
            </w:tcBorders>
            <w:shd w:val="clear" w:color="auto" w:fill="auto"/>
            <w:noWrap/>
            <w:vAlign w:val="center"/>
          </w:tcPr>
          <w:p w14:paraId="7B65039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0.2129</w:t>
            </w:r>
          </w:p>
        </w:tc>
        <w:tc>
          <w:tcPr>
            <w:tcW w:w="516" w:type="pct"/>
            <w:tcBorders>
              <w:top w:val="nil"/>
              <w:left w:val="nil"/>
              <w:bottom w:val="nil"/>
              <w:right w:val="nil"/>
            </w:tcBorders>
            <w:shd w:val="clear" w:color="auto" w:fill="auto"/>
            <w:noWrap/>
            <w:vAlign w:val="center"/>
          </w:tcPr>
          <w:p w14:paraId="6153386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5.19%</w:t>
            </w:r>
          </w:p>
        </w:tc>
      </w:tr>
      <w:tr w14:paraId="29B2B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0681E4F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NN</w:t>
            </w:r>
          </w:p>
        </w:tc>
        <w:tc>
          <w:tcPr>
            <w:tcW w:w="448" w:type="pct"/>
            <w:tcBorders>
              <w:top w:val="nil"/>
              <w:left w:val="nil"/>
              <w:bottom w:val="nil"/>
              <w:right w:val="nil"/>
            </w:tcBorders>
            <w:shd w:val="clear" w:color="auto" w:fill="auto"/>
            <w:noWrap/>
            <w:vAlign w:val="center"/>
          </w:tcPr>
          <w:p w14:paraId="2C17BAC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-0.231</w:t>
            </w:r>
          </w:p>
        </w:tc>
        <w:tc>
          <w:tcPr>
            <w:tcW w:w="448" w:type="pct"/>
            <w:tcBorders>
              <w:top w:val="nil"/>
              <w:left w:val="nil"/>
              <w:bottom w:val="nil"/>
              <w:right w:val="nil"/>
            </w:tcBorders>
            <w:shd w:val="clear" w:color="auto" w:fill="auto"/>
            <w:noWrap/>
            <w:vAlign w:val="center"/>
          </w:tcPr>
          <w:p w14:paraId="2692798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-0.086</w:t>
            </w:r>
          </w:p>
        </w:tc>
        <w:tc>
          <w:tcPr>
            <w:tcW w:w="449" w:type="pct"/>
            <w:tcBorders>
              <w:top w:val="nil"/>
              <w:left w:val="nil"/>
              <w:bottom w:val="nil"/>
              <w:right w:val="nil"/>
            </w:tcBorders>
            <w:shd w:val="clear" w:color="auto" w:fill="auto"/>
            <w:noWrap/>
            <w:vAlign w:val="center"/>
          </w:tcPr>
          <w:p w14:paraId="0E535FE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-0.115</w:t>
            </w:r>
          </w:p>
        </w:tc>
        <w:tc>
          <w:tcPr>
            <w:tcW w:w="448" w:type="pct"/>
            <w:tcBorders>
              <w:top w:val="nil"/>
              <w:left w:val="nil"/>
              <w:bottom w:val="nil"/>
              <w:right w:val="nil"/>
            </w:tcBorders>
            <w:shd w:val="clear" w:color="auto" w:fill="auto"/>
            <w:noWrap/>
            <w:vAlign w:val="center"/>
          </w:tcPr>
          <w:p w14:paraId="4D1232B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-0.924</w:t>
            </w:r>
          </w:p>
        </w:tc>
        <w:tc>
          <w:tcPr>
            <w:tcW w:w="448" w:type="pct"/>
            <w:tcBorders>
              <w:top w:val="nil"/>
              <w:left w:val="nil"/>
              <w:bottom w:val="nil"/>
              <w:right w:val="nil"/>
            </w:tcBorders>
            <w:shd w:val="clear" w:color="auto" w:fill="auto"/>
            <w:noWrap/>
            <w:vAlign w:val="center"/>
          </w:tcPr>
          <w:p w14:paraId="1B1527B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-0.121</w:t>
            </w:r>
          </w:p>
        </w:tc>
        <w:tc>
          <w:tcPr>
            <w:tcW w:w="449" w:type="pct"/>
            <w:tcBorders>
              <w:top w:val="nil"/>
              <w:left w:val="nil"/>
              <w:bottom w:val="nil"/>
              <w:right w:val="nil"/>
            </w:tcBorders>
            <w:shd w:val="clear" w:color="auto" w:fill="auto"/>
            <w:noWrap/>
            <w:vAlign w:val="center"/>
          </w:tcPr>
          <w:p w14:paraId="5255DAE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-0.12</w:t>
            </w:r>
          </w:p>
        </w:tc>
        <w:tc>
          <w:tcPr>
            <w:tcW w:w="716" w:type="pct"/>
            <w:tcBorders>
              <w:top w:val="nil"/>
              <w:left w:val="nil"/>
              <w:bottom w:val="nil"/>
              <w:right w:val="nil"/>
            </w:tcBorders>
            <w:shd w:val="clear" w:color="auto" w:fill="auto"/>
            <w:noWrap/>
            <w:vAlign w:val="center"/>
          </w:tcPr>
          <w:p w14:paraId="1D5074E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0.209</w:t>
            </w:r>
          </w:p>
        </w:tc>
        <w:tc>
          <w:tcPr>
            <w:tcW w:w="516" w:type="pct"/>
            <w:tcBorders>
              <w:top w:val="nil"/>
              <w:left w:val="nil"/>
              <w:bottom w:val="nil"/>
              <w:right w:val="nil"/>
            </w:tcBorders>
            <w:shd w:val="clear" w:color="auto" w:fill="auto"/>
            <w:noWrap/>
            <w:vAlign w:val="center"/>
          </w:tcPr>
          <w:p w14:paraId="0363211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5.10%</w:t>
            </w:r>
          </w:p>
        </w:tc>
      </w:tr>
      <w:tr w14:paraId="698F1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52639F2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AN</w:t>
            </w:r>
          </w:p>
        </w:tc>
        <w:tc>
          <w:tcPr>
            <w:tcW w:w="448" w:type="pct"/>
            <w:tcBorders>
              <w:top w:val="nil"/>
              <w:left w:val="nil"/>
              <w:bottom w:val="nil"/>
              <w:right w:val="nil"/>
            </w:tcBorders>
            <w:shd w:val="clear" w:color="auto" w:fill="auto"/>
            <w:noWrap/>
            <w:vAlign w:val="center"/>
          </w:tcPr>
          <w:p w14:paraId="69A65FE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0.235</w:t>
            </w:r>
          </w:p>
        </w:tc>
        <w:tc>
          <w:tcPr>
            <w:tcW w:w="448" w:type="pct"/>
            <w:tcBorders>
              <w:top w:val="nil"/>
              <w:left w:val="nil"/>
              <w:bottom w:val="nil"/>
              <w:right w:val="nil"/>
            </w:tcBorders>
            <w:shd w:val="clear" w:color="auto" w:fill="auto"/>
            <w:noWrap/>
            <w:vAlign w:val="center"/>
          </w:tcPr>
          <w:p w14:paraId="3F0D86B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-0.091</w:t>
            </w:r>
          </w:p>
        </w:tc>
        <w:tc>
          <w:tcPr>
            <w:tcW w:w="449" w:type="pct"/>
            <w:tcBorders>
              <w:top w:val="nil"/>
              <w:left w:val="nil"/>
              <w:bottom w:val="nil"/>
              <w:right w:val="nil"/>
            </w:tcBorders>
            <w:shd w:val="clear" w:color="auto" w:fill="auto"/>
            <w:noWrap/>
            <w:vAlign w:val="center"/>
          </w:tcPr>
          <w:p w14:paraId="072D0BC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-0.171</w:t>
            </w:r>
          </w:p>
        </w:tc>
        <w:tc>
          <w:tcPr>
            <w:tcW w:w="448" w:type="pct"/>
            <w:tcBorders>
              <w:top w:val="nil"/>
              <w:left w:val="nil"/>
              <w:bottom w:val="nil"/>
              <w:right w:val="nil"/>
            </w:tcBorders>
            <w:shd w:val="clear" w:color="auto" w:fill="auto"/>
            <w:noWrap/>
            <w:vAlign w:val="center"/>
          </w:tcPr>
          <w:p w14:paraId="1190465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0.943</w:t>
            </w:r>
          </w:p>
        </w:tc>
        <w:tc>
          <w:tcPr>
            <w:tcW w:w="448" w:type="pct"/>
            <w:tcBorders>
              <w:top w:val="nil"/>
              <w:left w:val="nil"/>
              <w:bottom w:val="nil"/>
              <w:right w:val="nil"/>
            </w:tcBorders>
            <w:shd w:val="clear" w:color="auto" w:fill="auto"/>
            <w:noWrap/>
            <w:vAlign w:val="center"/>
          </w:tcPr>
          <w:p w14:paraId="4F269D8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-0.129</w:t>
            </w:r>
          </w:p>
        </w:tc>
        <w:tc>
          <w:tcPr>
            <w:tcW w:w="449" w:type="pct"/>
            <w:tcBorders>
              <w:top w:val="nil"/>
              <w:left w:val="nil"/>
              <w:bottom w:val="nil"/>
              <w:right w:val="nil"/>
            </w:tcBorders>
            <w:shd w:val="clear" w:color="auto" w:fill="auto"/>
            <w:noWrap/>
            <w:vAlign w:val="center"/>
          </w:tcPr>
          <w:p w14:paraId="19FE925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-0.179</w:t>
            </w:r>
          </w:p>
        </w:tc>
        <w:tc>
          <w:tcPr>
            <w:tcW w:w="716" w:type="pct"/>
            <w:tcBorders>
              <w:top w:val="nil"/>
              <w:left w:val="nil"/>
              <w:bottom w:val="nil"/>
              <w:right w:val="nil"/>
            </w:tcBorders>
            <w:shd w:val="clear" w:color="auto" w:fill="auto"/>
            <w:noWrap/>
            <w:vAlign w:val="center"/>
          </w:tcPr>
          <w:p w14:paraId="71E3F3E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0.2167</w:t>
            </w:r>
          </w:p>
        </w:tc>
        <w:tc>
          <w:tcPr>
            <w:tcW w:w="516" w:type="pct"/>
            <w:tcBorders>
              <w:top w:val="nil"/>
              <w:left w:val="nil"/>
              <w:bottom w:val="nil"/>
              <w:right w:val="nil"/>
            </w:tcBorders>
            <w:shd w:val="clear" w:color="auto" w:fill="auto"/>
            <w:noWrap/>
            <w:vAlign w:val="center"/>
          </w:tcPr>
          <w:p w14:paraId="3F6A3E0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5.28%</w:t>
            </w:r>
          </w:p>
        </w:tc>
      </w:tr>
      <w:tr w14:paraId="6283C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5C069D1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AvP</w:t>
            </w:r>
          </w:p>
        </w:tc>
        <w:tc>
          <w:tcPr>
            <w:tcW w:w="448" w:type="pct"/>
            <w:tcBorders>
              <w:top w:val="nil"/>
              <w:left w:val="nil"/>
              <w:bottom w:val="nil"/>
              <w:right w:val="nil"/>
            </w:tcBorders>
            <w:shd w:val="clear" w:color="auto" w:fill="auto"/>
            <w:noWrap/>
            <w:vAlign w:val="center"/>
          </w:tcPr>
          <w:p w14:paraId="4883FC2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0.249</w:t>
            </w:r>
          </w:p>
        </w:tc>
        <w:tc>
          <w:tcPr>
            <w:tcW w:w="448" w:type="pct"/>
            <w:tcBorders>
              <w:top w:val="nil"/>
              <w:left w:val="nil"/>
              <w:bottom w:val="nil"/>
              <w:right w:val="nil"/>
            </w:tcBorders>
            <w:shd w:val="clear" w:color="auto" w:fill="auto"/>
            <w:noWrap/>
            <w:vAlign w:val="center"/>
          </w:tcPr>
          <w:p w14:paraId="210441A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-0.036</w:t>
            </w:r>
          </w:p>
        </w:tc>
        <w:tc>
          <w:tcPr>
            <w:tcW w:w="449" w:type="pct"/>
            <w:tcBorders>
              <w:top w:val="nil"/>
              <w:left w:val="nil"/>
              <w:bottom w:val="nil"/>
              <w:right w:val="nil"/>
            </w:tcBorders>
            <w:shd w:val="clear" w:color="auto" w:fill="auto"/>
            <w:noWrap/>
            <w:vAlign w:val="center"/>
          </w:tcPr>
          <w:p w14:paraId="6C131D8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0.024</w:t>
            </w:r>
          </w:p>
        </w:tc>
        <w:tc>
          <w:tcPr>
            <w:tcW w:w="448" w:type="pct"/>
            <w:tcBorders>
              <w:top w:val="nil"/>
              <w:left w:val="nil"/>
              <w:bottom w:val="nil"/>
              <w:right w:val="nil"/>
            </w:tcBorders>
            <w:shd w:val="clear" w:color="auto" w:fill="auto"/>
            <w:noWrap/>
            <w:vAlign w:val="center"/>
          </w:tcPr>
          <w:p w14:paraId="0C6AA91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0.996</w:t>
            </w:r>
          </w:p>
        </w:tc>
        <w:tc>
          <w:tcPr>
            <w:tcW w:w="448" w:type="pct"/>
            <w:tcBorders>
              <w:top w:val="nil"/>
              <w:left w:val="nil"/>
              <w:bottom w:val="nil"/>
              <w:right w:val="nil"/>
            </w:tcBorders>
            <w:shd w:val="clear" w:color="auto" w:fill="auto"/>
            <w:noWrap/>
            <w:vAlign w:val="center"/>
          </w:tcPr>
          <w:p w14:paraId="5B4E9A7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-0.051</w:t>
            </w:r>
          </w:p>
        </w:tc>
        <w:tc>
          <w:tcPr>
            <w:tcW w:w="449" w:type="pct"/>
            <w:tcBorders>
              <w:top w:val="nil"/>
              <w:left w:val="nil"/>
              <w:bottom w:val="nil"/>
              <w:right w:val="nil"/>
            </w:tcBorders>
            <w:shd w:val="clear" w:color="auto" w:fill="auto"/>
            <w:noWrap/>
            <w:vAlign w:val="center"/>
          </w:tcPr>
          <w:p w14:paraId="5F3B133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0.025</w:t>
            </w:r>
          </w:p>
        </w:tc>
        <w:tc>
          <w:tcPr>
            <w:tcW w:w="716" w:type="pct"/>
            <w:tcBorders>
              <w:top w:val="nil"/>
              <w:left w:val="nil"/>
              <w:bottom w:val="nil"/>
              <w:right w:val="nil"/>
            </w:tcBorders>
            <w:shd w:val="clear" w:color="auto" w:fill="auto"/>
            <w:noWrap/>
            <w:vAlign w:val="center"/>
          </w:tcPr>
          <w:p w14:paraId="3875EBE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0.2137</w:t>
            </w:r>
          </w:p>
        </w:tc>
        <w:tc>
          <w:tcPr>
            <w:tcW w:w="516" w:type="pct"/>
            <w:tcBorders>
              <w:top w:val="nil"/>
              <w:left w:val="nil"/>
              <w:bottom w:val="nil"/>
              <w:right w:val="nil"/>
            </w:tcBorders>
            <w:shd w:val="clear" w:color="auto" w:fill="auto"/>
            <w:noWrap/>
            <w:vAlign w:val="center"/>
          </w:tcPr>
          <w:p w14:paraId="798ACF5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5.21%</w:t>
            </w:r>
          </w:p>
        </w:tc>
      </w:tr>
      <w:tr w14:paraId="58C54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7EC56FC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AvK</w:t>
            </w:r>
          </w:p>
        </w:tc>
        <w:tc>
          <w:tcPr>
            <w:tcW w:w="448" w:type="pct"/>
            <w:tcBorders>
              <w:top w:val="nil"/>
              <w:left w:val="nil"/>
              <w:bottom w:val="nil"/>
              <w:right w:val="nil"/>
            </w:tcBorders>
            <w:shd w:val="clear" w:color="auto" w:fill="auto"/>
            <w:noWrap/>
            <w:vAlign w:val="center"/>
          </w:tcPr>
          <w:p w14:paraId="04D40F3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0.233</w:t>
            </w:r>
          </w:p>
        </w:tc>
        <w:tc>
          <w:tcPr>
            <w:tcW w:w="448" w:type="pct"/>
            <w:tcBorders>
              <w:top w:val="nil"/>
              <w:left w:val="nil"/>
              <w:bottom w:val="nil"/>
              <w:right w:val="nil"/>
            </w:tcBorders>
            <w:shd w:val="clear" w:color="auto" w:fill="auto"/>
            <w:noWrap/>
            <w:vAlign w:val="center"/>
          </w:tcPr>
          <w:p w14:paraId="225C8466">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0.235</w:t>
            </w:r>
          </w:p>
        </w:tc>
        <w:tc>
          <w:tcPr>
            <w:tcW w:w="449" w:type="pct"/>
            <w:tcBorders>
              <w:top w:val="nil"/>
              <w:left w:val="nil"/>
              <w:bottom w:val="nil"/>
              <w:right w:val="nil"/>
            </w:tcBorders>
            <w:shd w:val="clear" w:color="auto" w:fill="auto"/>
            <w:noWrap/>
            <w:vAlign w:val="center"/>
          </w:tcPr>
          <w:p w14:paraId="1CC1317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0.056</w:t>
            </w:r>
          </w:p>
        </w:tc>
        <w:tc>
          <w:tcPr>
            <w:tcW w:w="448" w:type="pct"/>
            <w:tcBorders>
              <w:top w:val="nil"/>
              <w:left w:val="nil"/>
              <w:bottom w:val="nil"/>
              <w:right w:val="nil"/>
            </w:tcBorders>
            <w:shd w:val="clear" w:color="auto" w:fill="auto"/>
            <w:noWrap/>
            <w:vAlign w:val="center"/>
          </w:tcPr>
          <w:p w14:paraId="4FF61EA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0.933</w:t>
            </w:r>
          </w:p>
        </w:tc>
        <w:tc>
          <w:tcPr>
            <w:tcW w:w="448" w:type="pct"/>
            <w:tcBorders>
              <w:top w:val="nil"/>
              <w:left w:val="nil"/>
              <w:bottom w:val="nil"/>
              <w:right w:val="nil"/>
            </w:tcBorders>
            <w:shd w:val="clear" w:color="auto" w:fill="auto"/>
            <w:noWrap/>
            <w:vAlign w:val="center"/>
          </w:tcPr>
          <w:p w14:paraId="590ACD8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0.332</w:t>
            </w:r>
          </w:p>
        </w:tc>
        <w:tc>
          <w:tcPr>
            <w:tcW w:w="449" w:type="pct"/>
            <w:tcBorders>
              <w:top w:val="nil"/>
              <w:left w:val="nil"/>
              <w:bottom w:val="nil"/>
              <w:right w:val="nil"/>
            </w:tcBorders>
            <w:shd w:val="clear" w:color="auto" w:fill="auto"/>
            <w:noWrap/>
            <w:vAlign w:val="center"/>
          </w:tcPr>
          <w:p w14:paraId="1FBCF55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0.059</w:t>
            </w:r>
          </w:p>
        </w:tc>
        <w:tc>
          <w:tcPr>
            <w:tcW w:w="716" w:type="pct"/>
            <w:tcBorders>
              <w:top w:val="nil"/>
              <w:left w:val="nil"/>
              <w:bottom w:val="nil"/>
              <w:right w:val="nil"/>
            </w:tcBorders>
            <w:shd w:val="clear" w:color="auto" w:fill="auto"/>
            <w:noWrap/>
            <w:vAlign w:val="center"/>
          </w:tcPr>
          <w:p w14:paraId="5737F96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0.2231</w:t>
            </w:r>
          </w:p>
        </w:tc>
        <w:tc>
          <w:tcPr>
            <w:tcW w:w="516" w:type="pct"/>
            <w:tcBorders>
              <w:top w:val="nil"/>
              <w:left w:val="nil"/>
              <w:bottom w:val="nil"/>
              <w:right w:val="nil"/>
            </w:tcBorders>
            <w:shd w:val="clear" w:color="auto" w:fill="auto"/>
            <w:noWrap/>
            <w:vAlign w:val="center"/>
          </w:tcPr>
          <w:p w14:paraId="0B8B94E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5.44%</w:t>
            </w:r>
          </w:p>
        </w:tc>
      </w:tr>
      <w:tr w14:paraId="14DEA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15128DA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ExCa</w:t>
            </w:r>
          </w:p>
        </w:tc>
        <w:tc>
          <w:tcPr>
            <w:tcW w:w="448" w:type="pct"/>
            <w:tcBorders>
              <w:top w:val="nil"/>
              <w:left w:val="nil"/>
              <w:bottom w:val="nil"/>
              <w:right w:val="nil"/>
            </w:tcBorders>
            <w:shd w:val="clear" w:color="auto" w:fill="auto"/>
            <w:noWrap/>
            <w:vAlign w:val="center"/>
          </w:tcPr>
          <w:p w14:paraId="374E1B4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-0.244</w:t>
            </w:r>
          </w:p>
        </w:tc>
        <w:tc>
          <w:tcPr>
            <w:tcW w:w="448" w:type="pct"/>
            <w:tcBorders>
              <w:top w:val="nil"/>
              <w:left w:val="nil"/>
              <w:bottom w:val="nil"/>
              <w:right w:val="nil"/>
            </w:tcBorders>
            <w:shd w:val="clear" w:color="auto" w:fill="auto"/>
            <w:noWrap/>
            <w:vAlign w:val="center"/>
          </w:tcPr>
          <w:p w14:paraId="1C6D7DB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0.083</w:t>
            </w:r>
          </w:p>
        </w:tc>
        <w:tc>
          <w:tcPr>
            <w:tcW w:w="449" w:type="pct"/>
            <w:tcBorders>
              <w:top w:val="nil"/>
              <w:left w:val="nil"/>
              <w:bottom w:val="nil"/>
              <w:right w:val="nil"/>
            </w:tcBorders>
            <w:shd w:val="clear" w:color="auto" w:fill="auto"/>
            <w:noWrap/>
            <w:vAlign w:val="center"/>
          </w:tcPr>
          <w:p w14:paraId="522C5F5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-0.117</w:t>
            </w:r>
          </w:p>
        </w:tc>
        <w:tc>
          <w:tcPr>
            <w:tcW w:w="448" w:type="pct"/>
            <w:tcBorders>
              <w:top w:val="nil"/>
              <w:left w:val="nil"/>
              <w:bottom w:val="nil"/>
              <w:right w:val="nil"/>
            </w:tcBorders>
            <w:shd w:val="clear" w:color="auto" w:fill="auto"/>
            <w:noWrap/>
            <w:vAlign w:val="center"/>
          </w:tcPr>
          <w:p w14:paraId="661ECF4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-0.975</w:t>
            </w:r>
          </w:p>
        </w:tc>
        <w:tc>
          <w:tcPr>
            <w:tcW w:w="448" w:type="pct"/>
            <w:tcBorders>
              <w:top w:val="nil"/>
              <w:left w:val="nil"/>
              <w:bottom w:val="nil"/>
              <w:right w:val="nil"/>
            </w:tcBorders>
            <w:shd w:val="clear" w:color="auto" w:fill="auto"/>
            <w:noWrap/>
            <w:vAlign w:val="center"/>
          </w:tcPr>
          <w:p w14:paraId="23003D7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0.117</w:t>
            </w:r>
          </w:p>
        </w:tc>
        <w:tc>
          <w:tcPr>
            <w:tcW w:w="449" w:type="pct"/>
            <w:tcBorders>
              <w:top w:val="nil"/>
              <w:left w:val="nil"/>
              <w:bottom w:val="nil"/>
              <w:right w:val="nil"/>
            </w:tcBorders>
            <w:shd w:val="clear" w:color="auto" w:fill="auto"/>
            <w:noWrap/>
            <w:vAlign w:val="center"/>
          </w:tcPr>
          <w:p w14:paraId="3352047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-0.122</w:t>
            </w:r>
          </w:p>
        </w:tc>
        <w:tc>
          <w:tcPr>
            <w:tcW w:w="716" w:type="pct"/>
            <w:tcBorders>
              <w:top w:val="nil"/>
              <w:left w:val="nil"/>
              <w:bottom w:val="nil"/>
              <w:right w:val="nil"/>
            </w:tcBorders>
            <w:shd w:val="clear" w:color="auto" w:fill="auto"/>
            <w:noWrap/>
            <w:vAlign w:val="center"/>
          </w:tcPr>
          <w:p w14:paraId="44F34F7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0.2195</w:t>
            </w:r>
          </w:p>
        </w:tc>
        <w:tc>
          <w:tcPr>
            <w:tcW w:w="516" w:type="pct"/>
            <w:tcBorders>
              <w:top w:val="nil"/>
              <w:left w:val="nil"/>
              <w:bottom w:val="nil"/>
              <w:right w:val="nil"/>
            </w:tcBorders>
            <w:shd w:val="clear" w:color="auto" w:fill="auto"/>
            <w:noWrap/>
            <w:vAlign w:val="center"/>
          </w:tcPr>
          <w:p w14:paraId="66C4BA5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5.35%</w:t>
            </w:r>
          </w:p>
        </w:tc>
      </w:tr>
      <w:tr w14:paraId="63204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7CB6264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ExMg</w:t>
            </w:r>
          </w:p>
        </w:tc>
        <w:tc>
          <w:tcPr>
            <w:tcW w:w="448" w:type="pct"/>
            <w:tcBorders>
              <w:top w:val="nil"/>
              <w:left w:val="nil"/>
              <w:bottom w:val="nil"/>
              <w:right w:val="nil"/>
            </w:tcBorders>
            <w:shd w:val="clear" w:color="auto" w:fill="auto"/>
            <w:noWrap/>
            <w:vAlign w:val="center"/>
          </w:tcPr>
          <w:p w14:paraId="6B6C31B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-0.219</w:t>
            </w:r>
          </w:p>
        </w:tc>
        <w:tc>
          <w:tcPr>
            <w:tcW w:w="448" w:type="pct"/>
            <w:tcBorders>
              <w:top w:val="nil"/>
              <w:left w:val="nil"/>
              <w:bottom w:val="nil"/>
              <w:right w:val="nil"/>
            </w:tcBorders>
            <w:shd w:val="clear" w:color="auto" w:fill="auto"/>
            <w:noWrap/>
            <w:vAlign w:val="center"/>
          </w:tcPr>
          <w:p w14:paraId="29A1DF7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0.218</w:t>
            </w:r>
          </w:p>
        </w:tc>
        <w:tc>
          <w:tcPr>
            <w:tcW w:w="449" w:type="pct"/>
            <w:tcBorders>
              <w:top w:val="nil"/>
              <w:left w:val="nil"/>
              <w:bottom w:val="nil"/>
              <w:right w:val="nil"/>
            </w:tcBorders>
            <w:shd w:val="clear" w:color="auto" w:fill="auto"/>
            <w:noWrap/>
            <w:vAlign w:val="center"/>
          </w:tcPr>
          <w:p w14:paraId="3470FBE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-0.22</w:t>
            </w:r>
          </w:p>
        </w:tc>
        <w:tc>
          <w:tcPr>
            <w:tcW w:w="448" w:type="pct"/>
            <w:tcBorders>
              <w:top w:val="nil"/>
              <w:left w:val="nil"/>
              <w:bottom w:val="nil"/>
              <w:right w:val="nil"/>
            </w:tcBorders>
            <w:shd w:val="clear" w:color="auto" w:fill="auto"/>
            <w:noWrap/>
            <w:vAlign w:val="center"/>
          </w:tcPr>
          <w:p w14:paraId="7C9E005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-0.875</w:t>
            </w:r>
          </w:p>
        </w:tc>
        <w:tc>
          <w:tcPr>
            <w:tcW w:w="448" w:type="pct"/>
            <w:tcBorders>
              <w:top w:val="nil"/>
              <w:left w:val="nil"/>
              <w:bottom w:val="nil"/>
              <w:right w:val="nil"/>
            </w:tcBorders>
            <w:shd w:val="clear" w:color="auto" w:fill="auto"/>
            <w:noWrap/>
            <w:vAlign w:val="center"/>
          </w:tcPr>
          <w:p w14:paraId="42ECBBC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0.309</w:t>
            </w:r>
          </w:p>
        </w:tc>
        <w:tc>
          <w:tcPr>
            <w:tcW w:w="449" w:type="pct"/>
            <w:tcBorders>
              <w:top w:val="nil"/>
              <w:left w:val="nil"/>
              <w:bottom w:val="nil"/>
              <w:right w:val="nil"/>
            </w:tcBorders>
            <w:shd w:val="clear" w:color="auto" w:fill="auto"/>
            <w:noWrap/>
            <w:vAlign w:val="center"/>
          </w:tcPr>
          <w:p w14:paraId="18B50FF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-0.23</w:t>
            </w:r>
          </w:p>
        </w:tc>
        <w:tc>
          <w:tcPr>
            <w:tcW w:w="716" w:type="pct"/>
            <w:tcBorders>
              <w:top w:val="nil"/>
              <w:left w:val="nil"/>
              <w:bottom w:val="nil"/>
              <w:right w:val="nil"/>
            </w:tcBorders>
            <w:shd w:val="clear" w:color="auto" w:fill="auto"/>
            <w:noWrap/>
            <w:vAlign w:val="center"/>
          </w:tcPr>
          <w:p w14:paraId="72AEA9C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0.2187</w:t>
            </w:r>
          </w:p>
        </w:tc>
        <w:tc>
          <w:tcPr>
            <w:tcW w:w="516" w:type="pct"/>
            <w:tcBorders>
              <w:top w:val="nil"/>
              <w:left w:val="nil"/>
              <w:bottom w:val="nil"/>
              <w:right w:val="nil"/>
            </w:tcBorders>
            <w:shd w:val="clear" w:color="auto" w:fill="auto"/>
            <w:noWrap/>
            <w:vAlign w:val="center"/>
          </w:tcPr>
          <w:p w14:paraId="03765F4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5.33%</w:t>
            </w:r>
          </w:p>
        </w:tc>
      </w:tr>
      <w:tr w14:paraId="283B3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25DBA73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AvFe</w:t>
            </w:r>
          </w:p>
        </w:tc>
        <w:tc>
          <w:tcPr>
            <w:tcW w:w="448" w:type="pct"/>
            <w:tcBorders>
              <w:top w:val="nil"/>
              <w:left w:val="nil"/>
              <w:bottom w:val="nil"/>
              <w:right w:val="nil"/>
            </w:tcBorders>
            <w:shd w:val="clear" w:color="auto" w:fill="auto"/>
            <w:noWrap/>
            <w:vAlign w:val="center"/>
          </w:tcPr>
          <w:p w14:paraId="5E5EFF3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0.244</w:t>
            </w:r>
          </w:p>
        </w:tc>
        <w:tc>
          <w:tcPr>
            <w:tcW w:w="448" w:type="pct"/>
            <w:tcBorders>
              <w:top w:val="nil"/>
              <w:left w:val="nil"/>
              <w:bottom w:val="nil"/>
              <w:right w:val="nil"/>
            </w:tcBorders>
            <w:shd w:val="clear" w:color="auto" w:fill="auto"/>
            <w:noWrap/>
            <w:vAlign w:val="center"/>
          </w:tcPr>
          <w:p w14:paraId="7DFA84E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0.004</w:t>
            </w:r>
          </w:p>
        </w:tc>
        <w:tc>
          <w:tcPr>
            <w:tcW w:w="449" w:type="pct"/>
            <w:tcBorders>
              <w:top w:val="nil"/>
              <w:left w:val="nil"/>
              <w:bottom w:val="nil"/>
              <w:right w:val="nil"/>
            </w:tcBorders>
            <w:shd w:val="clear" w:color="auto" w:fill="auto"/>
            <w:noWrap/>
            <w:vAlign w:val="center"/>
          </w:tcPr>
          <w:p w14:paraId="2BBCD4A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-0.031</w:t>
            </w:r>
          </w:p>
        </w:tc>
        <w:tc>
          <w:tcPr>
            <w:tcW w:w="448" w:type="pct"/>
            <w:tcBorders>
              <w:top w:val="nil"/>
              <w:left w:val="nil"/>
              <w:bottom w:val="nil"/>
              <w:right w:val="nil"/>
            </w:tcBorders>
            <w:shd w:val="clear" w:color="auto" w:fill="auto"/>
            <w:noWrap/>
            <w:vAlign w:val="center"/>
          </w:tcPr>
          <w:p w14:paraId="7D4EC20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0.976</w:t>
            </w:r>
          </w:p>
        </w:tc>
        <w:tc>
          <w:tcPr>
            <w:tcW w:w="448" w:type="pct"/>
            <w:tcBorders>
              <w:top w:val="nil"/>
              <w:left w:val="nil"/>
              <w:bottom w:val="nil"/>
              <w:right w:val="nil"/>
            </w:tcBorders>
            <w:shd w:val="clear" w:color="auto" w:fill="auto"/>
            <w:noWrap/>
            <w:vAlign w:val="center"/>
          </w:tcPr>
          <w:p w14:paraId="5A019F7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0.005</w:t>
            </w:r>
          </w:p>
        </w:tc>
        <w:tc>
          <w:tcPr>
            <w:tcW w:w="449" w:type="pct"/>
            <w:tcBorders>
              <w:top w:val="nil"/>
              <w:left w:val="nil"/>
              <w:bottom w:val="nil"/>
              <w:right w:val="nil"/>
            </w:tcBorders>
            <w:shd w:val="clear" w:color="auto" w:fill="auto"/>
            <w:noWrap/>
            <w:vAlign w:val="center"/>
          </w:tcPr>
          <w:p w14:paraId="1A1CB70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-0.032</w:t>
            </w:r>
          </w:p>
        </w:tc>
        <w:tc>
          <w:tcPr>
            <w:tcW w:w="716" w:type="pct"/>
            <w:tcBorders>
              <w:top w:val="nil"/>
              <w:left w:val="nil"/>
              <w:bottom w:val="nil"/>
              <w:right w:val="nil"/>
            </w:tcBorders>
            <w:shd w:val="clear" w:color="auto" w:fill="auto"/>
            <w:noWrap/>
            <w:vAlign w:val="center"/>
          </w:tcPr>
          <w:p w14:paraId="317528C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0.2064</w:t>
            </w:r>
          </w:p>
        </w:tc>
        <w:tc>
          <w:tcPr>
            <w:tcW w:w="516" w:type="pct"/>
            <w:tcBorders>
              <w:top w:val="nil"/>
              <w:left w:val="nil"/>
              <w:bottom w:val="nil"/>
              <w:right w:val="nil"/>
            </w:tcBorders>
            <w:shd w:val="clear" w:color="auto" w:fill="auto"/>
            <w:noWrap/>
            <w:vAlign w:val="center"/>
          </w:tcPr>
          <w:p w14:paraId="6E678CE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5.03%</w:t>
            </w:r>
          </w:p>
        </w:tc>
      </w:tr>
      <w:tr w14:paraId="4D1D3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64DD867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AvMn</w:t>
            </w:r>
          </w:p>
        </w:tc>
        <w:tc>
          <w:tcPr>
            <w:tcW w:w="448" w:type="pct"/>
            <w:tcBorders>
              <w:top w:val="nil"/>
              <w:left w:val="nil"/>
              <w:bottom w:val="nil"/>
              <w:right w:val="nil"/>
            </w:tcBorders>
            <w:shd w:val="clear" w:color="auto" w:fill="auto"/>
            <w:noWrap/>
            <w:vAlign w:val="center"/>
          </w:tcPr>
          <w:p w14:paraId="038E6F8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0.199</w:t>
            </w:r>
          </w:p>
        </w:tc>
        <w:tc>
          <w:tcPr>
            <w:tcW w:w="448" w:type="pct"/>
            <w:tcBorders>
              <w:top w:val="nil"/>
              <w:left w:val="nil"/>
              <w:bottom w:val="nil"/>
              <w:right w:val="nil"/>
            </w:tcBorders>
            <w:shd w:val="clear" w:color="auto" w:fill="auto"/>
            <w:noWrap/>
            <w:vAlign w:val="center"/>
          </w:tcPr>
          <w:p w14:paraId="6294B25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0.282</w:t>
            </w:r>
          </w:p>
        </w:tc>
        <w:tc>
          <w:tcPr>
            <w:tcW w:w="449" w:type="pct"/>
            <w:tcBorders>
              <w:top w:val="nil"/>
              <w:left w:val="nil"/>
              <w:bottom w:val="nil"/>
              <w:right w:val="nil"/>
            </w:tcBorders>
            <w:shd w:val="clear" w:color="auto" w:fill="auto"/>
            <w:noWrap/>
            <w:vAlign w:val="center"/>
          </w:tcPr>
          <w:p w14:paraId="5529258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0.401</w:t>
            </w:r>
          </w:p>
        </w:tc>
        <w:tc>
          <w:tcPr>
            <w:tcW w:w="448" w:type="pct"/>
            <w:tcBorders>
              <w:top w:val="nil"/>
              <w:left w:val="nil"/>
              <w:bottom w:val="nil"/>
              <w:right w:val="nil"/>
            </w:tcBorders>
            <w:shd w:val="clear" w:color="auto" w:fill="auto"/>
            <w:noWrap/>
            <w:vAlign w:val="center"/>
          </w:tcPr>
          <w:p w14:paraId="40A4145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0.796</w:t>
            </w:r>
          </w:p>
        </w:tc>
        <w:tc>
          <w:tcPr>
            <w:tcW w:w="448" w:type="pct"/>
            <w:tcBorders>
              <w:top w:val="nil"/>
              <w:left w:val="nil"/>
              <w:bottom w:val="nil"/>
              <w:right w:val="nil"/>
            </w:tcBorders>
            <w:shd w:val="clear" w:color="auto" w:fill="auto"/>
            <w:noWrap/>
            <w:vAlign w:val="center"/>
          </w:tcPr>
          <w:p w14:paraId="2855C43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0.398</w:t>
            </w:r>
          </w:p>
        </w:tc>
        <w:tc>
          <w:tcPr>
            <w:tcW w:w="449" w:type="pct"/>
            <w:tcBorders>
              <w:top w:val="nil"/>
              <w:left w:val="nil"/>
              <w:bottom w:val="nil"/>
              <w:right w:val="nil"/>
            </w:tcBorders>
            <w:shd w:val="clear" w:color="auto" w:fill="auto"/>
            <w:noWrap/>
            <w:vAlign w:val="center"/>
          </w:tcPr>
          <w:p w14:paraId="4D9D403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0.42</w:t>
            </w:r>
          </w:p>
        </w:tc>
        <w:tc>
          <w:tcPr>
            <w:tcW w:w="716" w:type="pct"/>
            <w:tcBorders>
              <w:top w:val="nil"/>
              <w:left w:val="nil"/>
              <w:bottom w:val="nil"/>
              <w:right w:val="nil"/>
            </w:tcBorders>
            <w:shd w:val="clear" w:color="auto" w:fill="auto"/>
            <w:noWrap/>
            <w:vAlign w:val="center"/>
          </w:tcPr>
          <w:p w14:paraId="598C24C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0.219</w:t>
            </w:r>
          </w:p>
        </w:tc>
        <w:tc>
          <w:tcPr>
            <w:tcW w:w="516" w:type="pct"/>
            <w:tcBorders>
              <w:top w:val="nil"/>
              <w:left w:val="nil"/>
              <w:bottom w:val="nil"/>
              <w:right w:val="nil"/>
            </w:tcBorders>
            <w:shd w:val="clear" w:color="auto" w:fill="auto"/>
            <w:noWrap/>
            <w:vAlign w:val="center"/>
          </w:tcPr>
          <w:p w14:paraId="16FF797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5.34%</w:t>
            </w:r>
          </w:p>
        </w:tc>
      </w:tr>
      <w:tr w14:paraId="22090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3425DE9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AvZn</w:t>
            </w:r>
          </w:p>
        </w:tc>
        <w:tc>
          <w:tcPr>
            <w:tcW w:w="448" w:type="pct"/>
            <w:tcBorders>
              <w:top w:val="nil"/>
              <w:left w:val="nil"/>
              <w:bottom w:val="nil"/>
              <w:right w:val="nil"/>
            </w:tcBorders>
            <w:shd w:val="clear" w:color="auto" w:fill="auto"/>
            <w:noWrap/>
            <w:vAlign w:val="center"/>
          </w:tcPr>
          <w:p w14:paraId="63D5E93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0.247</w:t>
            </w:r>
          </w:p>
        </w:tc>
        <w:tc>
          <w:tcPr>
            <w:tcW w:w="448" w:type="pct"/>
            <w:tcBorders>
              <w:top w:val="nil"/>
              <w:left w:val="nil"/>
              <w:bottom w:val="nil"/>
              <w:right w:val="nil"/>
            </w:tcBorders>
            <w:shd w:val="clear" w:color="auto" w:fill="auto"/>
            <w:noWrap/>
            <w:vAlign w:val="center"/>
          </w:tcPr>
          <w:p w14:paraId="6016BE39">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w:t>
            </w:r>
          </w:p>
        </w:tc>
        <w:tc>
          <w:tcPr>
            <w:tcW w:w="449" w:type="pct"/>
            <w:tcBorders>
              <w:top w:val="nil"/>
              <w:left w:val="nil"/>
              <w:bottom w:val="nil"/>
              <w:right w:val="nil"/>
            </w:tcBorders>
            <w:shd w:val="clear" w:color="auto" w:fill="auto"/>
            <w:noWrap/>
            <w:vAlign w:val="center"/>
          </w:tcPr>
          <w:p w14:paraId="79C5D25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-0.052</w:t>
            </w:r>
          </w:p>
        </w:tc>
        <w:tc>
          <w:tcPr>
            <w:tcW w:w="448" w:type="pct"/>
            <w:tcBorders>
              <w:top w:val="nil"/>
              <w:left w:val="nil"/>
              <w:bottom w:val="nil"/>
              <w:right w:val="nil"/>
            </w:tcBorders>
            <w:shd w:val="clear" w:color="auto" w:fill="auto"/>
            <w:noWrap/>
            <w:vAlign w:val="center"/>
          </w:tcPr>
          <w:p w14:paraId="2307465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0.987</w:t>
            </w:r>
          </w:p>
        </w:tc>
        <w:tc>
          <w:tcPr>
            <w:tcW w:w="448" w:type="pct"/>
            <w:tcBorders>
              <w:top w:val="nil"/>
              <w:left w:val="nil"/>
              <w:bottom w:val="nil"/>
              <w:right w:val="nil"/>
            </w:tcBorders>
            <w:shd w:val="clear" w:color="auto" w:fill="auto"/>
            <w:noWrap/>
            <w:vAlign w:val="center"/>
          </w:tcPr>
          <w:p w14:paraId="5707FEE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-0.098</w:t>
            </w:r>
          </w:p>
        </w:tc>
        <w:tc>
          <w:tcPr>
            <w:tcW w:w="449" w:type="pct"/>
            <w:tcBorders>
              <w:top w:val="nil"/>
              <w:left w:val="nil"/>
              <w:bottom w:val="nil"/>
              <w:right w:val="nil"/>
            </w:tcBorders>
            <w:shd w:val="clear" w:color="auto" w:fill="auto"/>
            <w:noWrap/>
            <w:vAlign w:val="center"/>
          </w:tcPr>
          <w:p w14:paraId="487ABBCC">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-0.055</w:t>
            </w:r>
          </w:p>
        </w:tc>
        <w:tc>
          <w:tcPr>
            <w:tcW w:w="716" w:type="pct"/>
            <w:tcBorders>
              <w:top w:val="nil"/>
              <w:left w:val="nil"/>
              <w:bottom w:val="nil"/>
              <w:right w:val="nil"/>
            </w:tcBorders>
            <w:shd w:val="clear" w:color="auto" w:fill="auto"/>
            <w:noWrap/>
            <w:vAlign w:val="center"/>
          </w:tcPr>
          <w:p w14:paraId="36D7668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0.217</w:t>
            </w:r>
          </w:p>
        </w:tc>
        <w:tc>
          <w:tcPr>
            <w:tcW w:w="516" w:type="pct"/>
            <w:tcBorders>
              <w:top w:val="nil"/>
              <w:left w:val="nil"/>
              <w:bottom w:val="nil"/>
              <w:right w:val="nil"/>
            </w:tcBorders>
            <w:shd w:val="clear" w:color="auto" w:fill="auto"/>
            <w:noWrap/>
            <w:vAlign w:val="center"/>
          </w:tcPr>
          <w:p w14:paraId="74C3478F">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5.29%</w:t>
            </w:r>
          </w:p>
        </w:tc>
      </w:tr>
      <w:tr w14:paraId="7F13E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72" w:type="pct"/>
            <w:tcBorders>
              <w:top w:val="nil"/>
              <w:left w:val="nil"/>
              <w:bottom w:val="nil"/>
              <w:right w:val="nil"/>
            </w:tcBorders>
            <w:shd w:val="clear" w:color="auto" w:fill="auto"/>
            <w:noWrap/>
            <w:vAlign w:val="center"/>
          </w:tcPr>
          <w:p w14:paraId="58A70312">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AvCu</w:t>
            </w:r>
          </w:p>
        </w:tc>
        <w:tc>
          <w:tcPr>
            <w:tcW w:w="448" w:type="pct"/>
            <w:tcBorders>
              <w:top w:val="nil"/>
              <w:left w:val="nil"/>
              <w:bottom w:val="nil"/>
              <w:right w:val="nil"/>
            </w:tcBorders>
            <w:shd w:val="clear" w:color="auto" w:fill="auto"/>
            <w:noWrap/>
            <w:vAlign w:val="center"/>
          </w:tcPr>
          <w:p w14:paraId="414422B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0.246</w:t>
            </w:r>
          </w:p>
        </w:tc>
        <w:tc>
          <w:tcPr>
            <w:tcW w:w="448" w:type="pct"/>
            <w:tcBorders>
              <w:top w:val="nil"/>
              <w:left w:val="nil"/>
              <w:bottom w:val="nil"/>
              <w:right w:val="nil"/>
            </w:tcBorders>
            <w:shd w:val="clear" w:color="auto" w:fill="auto"/>
            <w:noWrap/>
            <w:vAlign w:val="center"/>
          </w:tcPr>
          <w:p w14:paraId="4F34800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0.021</w:t>
            </w:r>
          </w:p>
        </w:tc>
        <w:tc>
          <w:tcPr>
            <w:tcW w:w="449" w:type="pct"/>
            <w:tcBorders>
              <w:top w:val="nil"/>
              <w:left w:val="nil"/>
              <w:bottom w:val="nil"/>
              <w:right w:val="nil"/>
            </w:tcBorders>
            <w:shd w:val="clear" w:color="auto" w:fill="auto"/>
            <w:noWrap/>
            <w:vAlign w:val="center"/>
          </w:tcPr>
          <w:p w14:paraId="46720C7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-0.034</w:t>
            </w:r>
          </w:p>
        </w:tc>
        <w:tc>
          <w:tcPr>
            <w:tcW w:w="448" w:type="pct"/>
            <w:tcBorders>
              <w:top w:val="nil"/>
              <w:left w:val="nil"/>
              <w:bottom w:val="nil"/>
              <w:right w:val="nil"/>
            </w:tcBorders>
            <w:shd w:val="clear" w:color="auto" w:fill="auto"/>
            <w:noWrap/>
            <w:vAlign w:val="center"/>
          </w:tcPr>
          <w:p w14:paraId="3D3E64E4">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0.987</w:t>
            </w:r>
          </w:p>
        </w:tc>
        <w:tc>
          <w:tcPr>
            <w:tcW w:w="448" w:type="pct"/>
            <w:tcBorders>
              <w:top w:val="nil"/>
              <w:left w:val="nil"/>
              <w:bottom w:val="nil"/>
              <w:right w:val="nil"/>
            </w:tcBorders>
            <w:shd w:val="clear" w:color="auto" w:fill="auto"/>
            <w:noWrap/>
            <w:vAlign w:val="center"/>
          </w:tcPr>
          <w:p w14:paraId="38F9617E">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w:t>
            </w:r>
          </w:p>
        </w:tc>
        <w:tc>
          <w:tcPr>
            <w:tcW w:w="449" w:type="pct"/>
            <w:tcBorders>
              <w:top w:val="nil"/>
              <w:left w:val="nil"/>
              <w:bottom w:val="nil"/>
              <w:right w:val="nil"/>
            </w:tcBorders>
            <w:shd w:val="clear" w:color="auto" w:fill="auto"/>
            <w:noWrap/>
            <w:vAlign w:val="center"/>
          </w:tcPr>
          <w:p w14:paraId="64CFDF63">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-0.035</w:t>
            </w:r>
          </w:p>
        </w:tc>
        <w:tc>
          <w:tcPr>
            <w:tcW w:w="716" w:type="pct"/>
            <w:tcBorders>
              <w:top w:val="nil"/>
              <w:left w:val="nil"/>
              <w:bottom w:val="nil"/>
              <w:right w:val="nil"/>
            </w:tcBorders>
            <w:shd w:val="clear" w:color="auto" w:fill="auto"/>
            <w:noWrap/>
            <w:vAlign w:val="center"/>
          </w:tcPr>
          <w:p w14:paraId="7012D845">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0.2108</w:t>
            </w:r>
          </w:p>
        </w:tc>
        <w:tc>
          <w:tcPr>
            <w:tcW w:w="516" w:type="pct"/>
            <w:tcBorders>
              <w:top w:val="nil"/>
              <w:left w:val="nil"/>
              <w:bottom w:val="nil"/>
              <w:right w:val="nil"/>
            </w:tcBorders>
            <w:shd w:val="clear" w:color="auto" w:fill="auto"/>
            <w:noWrap/>
            <w:vAlign w:val="center"/>
          </w:tcPr>
          <w:p w14:paraId="14641F6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5.14%</w:t>
            </w:r>
          </w:p>
        </w:tc>
      </w:tr>
      <w:tr w14:paraId="7F256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72" w:type="pct"/>
            <w:tcBorders>
              <w:top w:val="nil"/>
              <w:left w:val="nil"/>
              <w:bottom w:val="single" w:color="000000" w:sz="8" w:space="0"/>
              <w:right w:val="nil"/>
            </w:tcBorders>
            <w:shd w:val="clear" w:color="auto" w:fill="auto"/>
            <w:noWrap/>
            <w:vAlign w:val="center"/>
          </w:tcPr>
          <w:p w14:paraId="404DDE81">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SOM</w:t>
            </w:r>
          </w:p>
        </w:tc>
        <w:tc>
          <w:tcPr>
            <w:tcW w:w="448" w:type="pct"/>
            <w:tcBorders>
              <w:top w:val="nil"/>
              <w:left w:val="nil"/>
              <w:bottom w:val="single" w:color="000000" w:sz="8" w:space="0"/>
              <w:right w:val="nil"/>
            </w:tcBorders>
            <w:shd w:val="clear" w:color="auto" w:fill="auto"/>
            <w:noWrap/>
            <w:vAlign w:val="center"/>
          </w:tcPr>
          <w:p w14:paraId="7AE449F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0.234</w:t>
            </w:r>
          </w:p>
        </w:tc>
        <w:tc>
          <w:tcPr>
            <w:tcW w:w="448" w:type="pct"/>
            <w:tcBorders>
              <w:top w:val="nil"/>
              <w:left w:val="nil"/>
              <w:bottom w:val="single" w:color="000000" w:sz="8" w:space="0"/>
              <w:right w:val="nil"/>
            </w:tcBorders>
            <w:shd w:val="clear" w:color="auto" w:fill="auto"/>
            <w:noWrap/>
            <w:vAlign w:val="center"/>
          </w:tcPr>
          <w:p w14:paraId="3D8BCF28">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0.242</w:t>
            </w:r>
          </w:p>
        </w:tc>
        <w:tc>
          <w:tcPr>
            <w:tcW w:w="449" w:type="pct"/>
            <w:tcBorders>
              <w:top w:val="nil"/>
              <w:left w:val="nil"/>
              <w:bottom w:val="single" w:color="000000" w:sz="8" w:space="0"/>
              <w:right w:val="nil"/>
            </w:tcBorders>
            <w:shd w:val="clear" w:color="auto" w:fill="auto"/>
            <w:noWrap/>
            <w:vAlign w:val="center"/>
          </w:tcPr>
          <w:p w14:paraId="75AFDD2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-0.006</w:t>
            </w:r>
          </w:p>
        </w:tc>
        <w:tc>
          <w:tcPr>
            <w:tcW w:w="448" w:type="pct"/>
            <w:tcBorders>
              <w:top w:val="nil"/>
              <w:left w:val="nil"/>
              <w:bottom w:val="single" w:color="000000" w:sz="8" w:space="0"/>
              <w:right w:val="nil"/>
            </w:tcBorders>
            <w:shd w:val="clear" w:color="auto" w:fill="auto"/>
            <w:noWrap/>
            <w:vAlign w:val="center"/>
          </w:tcPr>
          <w:p w14:paraId="510F31BB">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0.935</w:t>
            </w:r>
          </w:p>
        </w:tc>
        <w:tc>
          <w:tcPr>
            <w:tcW w:w="448" w:type="pct"/>
            <w:tcBorders>
              <w:top w:val="nil"/>
              <w:left w:val="nil"/>
              <w:bottom w:val="single" w:color="000000" w:sz="8" w:space="0"/>
              <w:right w:val="nil"/>
            </w:tcBorders>
            <w:shd w:val="clear" w:color="auto" w:fill="auto"/>
            <w:noWrap/>
            <w:vAlign w:val="center"/>
          </w:tcPr>
          <w:p w14:paraId="2159581D">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0.342</w:t>
            </w:r>
          </w:p>
        </w:tc>
        <w:tc>
          <w:tcPr>
            <w:tcW w:w="449" w:type="pct"/>
            <w:tcBorders>
              <w:top w:val="nil"/>
              <w:left w:val="nil"/>
              <w:bottom w:val="single" w:color="000000" w:sz="8" w:space="0"/>
              <w:right w:val="nil"/>
            </w:tcBorders>
            <w:shd w:val="clear" w:color="auto" w:fill="auto"/>
            <w:noWrap/>
            <w:vAlign w:val="center"/>
          </w:tcPr>
          <w:p w14:paraId="715F4040">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-0.006</w:t>
            </w:r>
          </w:p>
        </w:tc>
        <w:tc>
          <w:tcPr>
            <w:tcW w:w="716" w:type="pct"/>
            <w:tcBorders>
              <w:top w:val="nil"/>
              <w:left w:val="nil"/>
              <w:bottom w:val="single" w:color="000000" w:sz="8" w:space="0"/>
              <w:right w:val="nil"/>
            </w:tcBorders>
            <w:shd w:val="clear" w:color="auto" w:fill="auto"/>
            <w:noWrap/>
            <w:vAlign w:val="center"/>
          </w:tcPr>
          <w:p w14:paraId="66BCDFB7">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0.2215</w:t>
            </w:r>
          </w:p>
        </w:tc>
        <w:tc>
          <w:tcPr>
            <w:tcW w:w="516" w:type="pct"/>
            <w:tcBorders>
              <w:top w:val="nil"/>
              <w:left w:val="nil"/>
              <w:bottom w:val="single" w:color="000000" w:sz="8" w:space="0"/>
              <w:right w:val="nil"/>
            </w:tcBorders>
            <w:shd w:val="clear" w:color="auto" w:fill="auto"/>
            <w:noWrap/>
            <w:vAlign w:val="center"/>
          </w:tcPr>
          <w:p w14:paraId="6E0DBF7A">
            <w:pPr>
              <w:keepNext w:val="0"/>
              <w:keepLines w:val="0"/>
              <w:pageBreakBefore w:val="0"/>
              <w:widowControl/>
              <w:suppressLineNumbers w:val="0"/>
              <w:kinsoku/>
              <w:wordWrap/>
              <w:overflowPunct/>
              <w:topLinePunct w:val="0"/>
              <w:autoSpaceDE/>
              <w:autoSpaceDN/>
              <w:bidi w:val="0"/>
              <w:adjustRightInd/>
              <w:snapToGrid/>
              <w:spacing w:line="20" w:lineRule="exact"/>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5.40%</w:t>
            </w:r>
          </w:p>
        </w:tc>
      </w:tr>
    </w:tbl>
    <w:p w14:paraId="6D92FE4F">
      <w:pPr>
        <w:widowControl w:val="0"/>
        <w:spacing w:before="0" w:after="0"/>
        <w:jc w:val="both"/>
        <w:rPr>
          <w:rFonts w:hint="default" w:ascii="Times New Roman" w:hAnsi="Times New Roman" w:cs="Times New Roman" w:eastAsiaTheme="minorEastAsia"/>
          <w:color w:val="auto"/>
          <w:kern w:val="2"/>
          <w:sz w:val="21"/>
          <w:szCs w:val="21"/>
          <w:lang w:val="en-US" w:eastAsia="zh-CN" w:bidi="ar"/>
        </w:rPr>
      </w:pPr>
    </w:p>
    <w:p w14:paraId="0BD5D374">
      <w:pPr>
        <w:widowControl w:val="0"/>
        <w:spacing w:before="0" w:after="0"/>
        <w:jc w:val="both"/>
        <w:rPr>
          <w:rFonts w:hint="default" w:ascii="Times New Roman" w:hAnsi="Times New Roman" w:cs="Times New Roman" w:eastAsiaTheme="minorEastAsia"/>
          <w:color w:val="auto"/>
          <w:kern w:val="2"/>
          <w:sz w:val="21"/>
          <w:szCs w:val="21"/>
          <w:lang w:val="en-US" w:eastAsia="zh-CN" w:bidi="ar"/>
        </w:rPr>
      </w:pPr>
    </w:p>
    <w:p w14:paraId="5E3D0F78">
      <w:pPr>
        <w:widowControl w:val="0"/>
        <w:spacing w:before="0" w:after="0"/>
        <w:jc w:val="both"/>
        <w:rPr>
          <w:rFonts w:hint="default" w:ascii="Times New Roman" w:hAnsi="Times New Roman" w:cs="Times New Roman" w:eastAsiaTheme="minorEastAsia"/>
          <w:color w:val="auto"/>
          <w:kern w:val="2"/>
          <w:sz w:val="21"/>
          <w:szCs w:val="21"/>
          <w:lang w:val="en-US" w:eastAsia="zh-CN" w:bidi="ar"/>
        </w:rPr>
      </w:pPr>
    </w:p>
    <w:p w14:paraId="5A7FBEE5">
      <w:pPr>
        <w:widowControl w:val="0"/>
        <w:spacing w:before="0" w:after="0"/>
        <w:jc w:val="both"/>
        <w:rPr>
          <w:rFonts w:hint="default" w:ascii="Times New Roman" w:hAnsi="Times New Roman" w:cs="Times New Roman" w:eastAsiaTheme="minorEastAsia"/>
          <w:color w:val="auto"/>
          <w:kern w:val="2"/>
          <w:sz w:val="21"/>
          <w:szCs w:val="21"/>
          <w:lang w:val="en-US" w:eastAsia="zh-CN" w:bidi="ar"/>
        </w:rPr>
      </w:pPr>
    </w:p>
    <w:p w14:paraId="3E2ED7F0">
      <w:pPr>
        <w:widowControl w:val="0"/>
        <w:spacing w:before="0" w:after="0"/>
        <w:jc w:val="both"/>
        <w:rPr>
          <w:rFonts w:hint="default" w:ascii="Times New Roman" w:hAnsi="Times New Roman" w:cs="Times New Roman" w:eastAsiaTheme="minorEastAsia"/>
          <w:color w:val="auto"/>
          <w:kern w:val="2"/>
          <w:sz w:val="21"/>
          <w:szCs w:val="21"/>
          <w:lang w:val="en-US" w:eastAsia="zh-CN" w:bidi="ar"/>
        </w:rPr>
      </w:pPr>
    </w:p>
    <w:p w14:paraId="5AC9F228">
      <w:pPr>
        <w:widowControl w:val="0"/>
        <w:spacing w:before="0" w:after="0"/>
        <w:jc w:val="both"/>
        <w:rPr>
          <w:rFonts w:hint="default" w:ascii="Times New Roman" w:hAnsi="Times New Roman" w:cs="Times New Roman" w:eastAsiaTheme="minorEastAsia"/>
          <w:color w:val="auto"/>
          <w:kern w:val="2"/>
          <w:sz w:val="21"/>
          <w:szCs w:val="21"/>
          <w:lang w:val="en-US" w:eastAsia="zh-CN" w:bidi="ar"/>
        </w:rPr>
      </w:pPr>
    </w:p>
    <w:p w14:paraId="271C84BF">
      <w:pPr>
        <w:widowControl w:val="0"/>
        <w:spacing w:before="0" w:after="0"/>
        <w:jc w:val="both"/>
        <w:rPr>
          <w:rFonts w:hint="default" w:ascii="Times New Roman" w:hAnsi="Times New Roman" w:cs="Times New Roman" w:eastAsiaTheme="minorEastAsia"/>
          <w:color w:val="auto"/>
          <w:kern w:val="2"/>
          <w:sz w:val="21"/>
          <w:szCs w:val="21"/>
          <w:lang w:val="en-US" w:eastAsia="zh-CN" w:bidi="ar"/>
        </w:rPr>
      </w:pPr>
    </w:p>
    <w:p w14:paraId="0116A9B4">
      <w:pPr>
        <w:widowControl w:val="0"/>
        <w:spacing w:before="0" w:after="0"/>
        <w:jc w:val="both"/>
        <w:rPr>
          <w:rFonts w:hint="default" w:ascii="Times New Roman" w:hAnsi="Times New Roman" w:cs="Times New Roman" w:eastAsiaTheme="minorEastAsia"/>
          <w:color w:val="auto"/>
          <w:kern w:val="2"/>
          <w:sz w:val="21"/>
          <w:szCs w:val="21"/>
          <w:lang w:val="en-US" w:eastAsia="zh-CN" w:bidi="ar"/>
        </w:rPr>
      </w:pPr>
    </w:p>
    <w:p w14:paraId="611AF4E6">
      <w:pPr>
        <w:widowControl w:val="0"/>
        <w:spacing w:before="0" w:after="0"/>
        <w:jc w:val="both"/>
        <w:rPr>
          <w:rFonts w:hint="default" w:ascii="Times New Roman" w:hAnsi="Times New Roman" w:cs="Times New Roman" w:eastAsiaTheme="minorEastAsia"/>
          <w:color w:val="auto"/>
          <w:kern w:val="2"/>
          <w:sz w:val="21"/>
          <w:szCs w:val="21"/>
          <w:lang w:val="en-US" w:eastAsia="zh-CN" w:bidi="ar"/>
        </w:rPr>
      </w:pPr>
    </w:p>
    <w:p w14:paraId="2151197E">
      <w:pPr>
        <w:widowControl w:val="0"/>
        <w:spacing w:before="0" w:after="0"/>
        <w:jc w:val="both"/>
        <w:rPr>
          <w:rFonts w:hint="default" w:ascii="Times New Roman" w:hAnsi="Times New Roman" w:cs="Times New Roman" w:eastAsiaTheme="minorEastAsia"/>
          <w:color w:val="auto"/>
          <w:kern w:val="2"/>
          <w:sz w:val="21"/>
          <w:szCs w:val="21"/>
          <w:lang w:val="en-US" w:eastAsia="zh-CN" w:bidi="ar"/>
        </w:rPr>
      </w:pPr>
      <w:r>
        <w:rPr>
          <w:rFonts w:hint="default" w:ascii="Times New Roman" w:hAnsi="Times New Roman" w:cs="Times New Roman"/>
          <w:b/>
          <w:color w:val="auto"/>
          <w:sz w:val="24"/>
          <w:szCs w:val="24"/>
          <w:lang w:val="en-US" w:eastAsia="zh-CN"/>
        </w:rPr>
        <w:t xml:space="preserve">Supplementary Table </w:t>
      </w:r>
      <w:r>
        <w:rPr>
          <w:rFonts w:hint="eastAsia" w:cs="Times New Roman"/>
          <w:b/>
          <w:color w:val="auto"/>
          <w:sz w:val="24"/>
          <w:szCs w:val="24"/>
          <w:lang w:val="en-US" w:eastAsia="zh-CN"/>
        </w:rPr>
        <w:t>6</w:t>
      </w:r>
      <w:r>
        <w:rPr>
          <w:rFonts w:hint="eastAsia" w:ascii="Times New Roman" w:hAnsi="Times New Roman" w:cs="Times New Roman"/>
          <w:b/>
          <w:color w:val="auto"/>
          <w:sz w:val="24"/>
          <w:szCs w:val="24"/>
          <w:lang w:val="en-US" w:eastAsia="zh-CN"/>
        </w:rPr>
        <w:t>.</w:t>
      </w:r>
      <w:r>
        <w:rPr>
          <w:rFonts w:hint="eastAsia" w:cs="Times New Roman"/>
          <w:b/>
          <w:color w:val="auto"/>
          <w:sz w:val="24"/>
          <w:szCs w:val="24"/>
          <w:lang w:val="en-US" w:eastAsia="zh-CN"/>
        </w:rPr>
        <w:t xml:space="preserve"> </w:t>
      </w:r>
      <w:r>
        <w:rPr>
          <w:rFonts w:hint="eastAsia" w:cs="Times New Roman"/>
          <w:b w:val="0"/>
          <w:bCs/>
          <w:color w:val="auto"/>
          <w:sz w:val="24"/>
          <w:szCs w:val="24"/>
          <w:lang w:val="en-US" w:eastAsia="zh-CN"/>
        </w:rPr>
        <w:t xml:space="preserve">The agronomic traits and yield of </w:t>
      </w:r>
      <w:r>
        <w:rPr>
          <w:rFonts w:hint="eastAsia" w:cs="Times New Roman"/>
          <w:b w:val="0"/>
          <w:bCs/>
          <w:i/>
          <w:iCs/>
          <w:color w:val="auto"/>
          <w:sz w:val="24"/>
          <w:szCs w:val="24"/>
          <w:lang w:val="en-US" w:eastAsia="zh-CN"/>
        </w:rPr>
        <w:t>Prunella vulgaris</w:t>
      </w:r>
    </w:p>
    <w:p w14:paraId="75DA397E">
      <w:pPr>
        <w:widowControl w:val="0"/>
        <w:spacing w:before="0" w:after="0"/>
        <w:jc w:val="both"/>
        <w:rPr>
          <w:rFonts w:hint="default" w:ascii="Times New Roman" w:hAnsi="Times New Roman" w:cs="Times New Roman" w:eastAsiaTheme="minorEastAsia"/>
          <w:color w:val="auto"/>
          <w:kern w:val="2"/>
          <w:sz w:val="21"/>
          <w:szCs w:val="21"/>
          <w:lang w:val="en-US" w:eastAsia="zh-CN" w:bidi="ar"/>
        </w:rPr>
      </w:pPr>
    </w:p>
    <w:tbl>
      <w:tblPr>
        <w:tblStyle w:val="2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27"/>
        <w:gridCol w:w="2067"/>
        <w:gridCol w:w="2067"/>
        <w:gridCol w:w="1851"/>
        <w:gridCol w:w="1777"/>
      </w:tblGrid>
      <w:tr w14:paraId="45BB7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1114" w:type="pct"/>
            <w:tcBorders>
              <w:top w:val="single" w:color="000000" w:sz="4" w:space="0"/>
              <w:left w:val="nil"/>
              <w:bottom w:val="single" w:color="000000" w:sz="4" w:space="0"/>
              <w:right w:val="nil"/>
            </w:tcBorders>
            <w:shd w:val="clear" w:color="auto" w:fill="auto"/>
            <w:noWrap/>
            <w:vAlign w:val="center"/>
          </w:tcPr>
          <w:p w14:paraId="5FD125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Plant weight (g)</w:t>
            </w:r>
          </w:p>
          <w:p w14:paraId="73E33E9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n=10</w:t>
            </w:r>
          </w:p>
        </w:tc>
        <w:tc>
          <w:tcPr>
            <w:tcW w:w="1034" w:type="pct"/>
            <w:tcBorders>
              <w:top w:val="single" w:color="000000" w:sz="4" w:space="0"/>
              <w:left w:val="nil"/>
              <w:bottom w:val="single" w:color="000000" w:sz="4" w:space="0"/>
              <w:right w:val="nil"/>
            </w:tcBorders>
            <w:shd w:val="clear" w:color="auto" w:fill="auto"/>
            <w:noWrap/>
            <w:vAlign w:val="center"/>
          </w:tcPr>
          <w:p w14:paraId="38D226F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Plant height (cm)</w:t>
            </w:r>
          </w:p>
          <w:p w14:paraId="65CF66E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n=10</w:t>
            </w:r>
          </w:p>
        </w:tc>
        <w:tc>
          <w:tcPr>
            <w:tcW w:w="1034" w:type="pct"/>
            <w:tcBorders>
              <w:top w:val="single" w:color="000000" w:sz="4" w:space="0"/>
              <w:left w:val="nil"/>
              <w:bottom w:val="single" w:color="000000" w:sz="4" w:space="0"/>
              <w:right w:val="nil"/>
            </w:tcBorders>
            <w:shd w:val="clear" w:color="auto" w:fill="auto"/>
            <w:vAlign w:val="center"/>
          </w:tcPr>
          <w:p w14:paraId="266FAA0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Number of fruit spikes per plant</w:t>
            </w:r>
          </w:p>
          <w:p w14:paraId="030E0BA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n=10</w:t>
            </w:r>
          </w:p>
        </w:tc>
        <w:tc>
          <w:tcPr>
            <w:tcW w:w="926" w:type="pct"/>
            <w:tcBorders>
              <w:top w:val="single" w:color="000000" w:sz="4" w:space="0"/>
              <w:left w:val="nil"/>
              <w:bottom w:val="single" w:color="000000" w:sz="4" w:space="0"/>
              <w:right w:val="nil"/>
            </w:tcBorders>
            <w:shd w:val="clear" w:color="auto" w:fill="auto"/>
            <w:vAlign w:val="center"/>
          </w:tcPr>
          <w:p w14:paraId="685712B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Fresh weight of fruit spikes per plant (g)</w:t>
            </w:r>
          </w:p>
          <w:p w14:paraId="6765829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n=10</w:t>
            </w:r>
          </w:p>
        </w:tc>
        <w:tc>
          <w:tcPr>
            <w:tcW w:w="889" w:type="pct"/>
            <w:tcBorders>
              <w:top w:val="single" w:color="000000" w:sz="4" w:space="0"/>
              <w:left w:val="nil"/>
              <w:bottom w:val="single" w:color="000000" w:sz="4" w:space="0"/>
              <w:right w:val="nil"/>
            </w:tcBorders>
            <w:shd w:val="clear" w:color="auto" w:fill="auto"/>
            <w:vAlign w:val="center"/>
          </w:tcPr>
          <w:p w14:paraId="4922DB1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Dry weight of fruit spikes per plant (g)</w:t>
            </w:r>
          </w:p>
          <w:p w14:paraId="3428D1A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n=10</w:t>
            </w:r>
          </w:p>
        </w:tc>
      </w:tr>
      <w:tr w14:paraId="63F84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14" w:type="pct"/>
            <w:tcBorders>
              <w:top w:val="nil"/>
              <w:left w:val="nil"/>
              <w:bottom w:val="single" w:color="000000" w:sz="4" w:space="0"/>
              <w:right w:val="nil"/>
            </w:tcBorders>
            <w:shd w:val="clear" w:color="auto" w:fill="auto"/>
            <w:noWrap/>
            <w:vAlign w:val="center"/>
          </w:tcPr>
          <w:p w14:paraId="4ABF7C6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531.4±126.51</w:t>
            </w:r>
          </w:p>
        </w:tc>
        <w:tc>
          <w:tcPr>
            <w:tcW w:w="1034" w:type="pct"/>
            <w:tcBorders>
              <w:top w:val="nil"/>
              <w:left w:val="nil"/>
              <w:bottom w:val="single" w:color="000000" w:sz="4" w:space="0"/>
              <w:right w:val="nil"/>
            </w:tcBorders>
            <w:shd w:val="clear" w:color="auto" w:fill="auto"/>
            <w:noWrap/>
            <w:vAlign w:val="center"/>
          </w:tcPr>
          <w:p w14:paraId="6B78DA6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87.2±8.05</w:t>
            </w:r>
          </w:p>
        </w:tc>
        <w:tc>
          <w:tcPr>
            <w:tcW w:w="1034" w:type="pct"/>
            <w:tcBorders>
              <w:top w:val="nil"/>
              <w:left w:val="nil"/>
              <w:bottom w:val="single" w:color="000000" w:sz="4" w:space="0"/>
              <w:right w:val="nil"/>
            </w:tcBorders>
            <w:shd w:val="clear" w:color="auto" w:fill="auto"/>
            <w:noWrap/>
            <w:vAlign w:val="center"/>
          </w:tcPr>
          <w:p w14:paraId="11411DA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236.2±32.34</w:t>
            </w:r>
          </w:p>
        </w:tc>
        <w:tc>
          <w:tcPr>
            <w:tcW w:w="926" w:type="pct"/>
            <w:tcBorders>
              <w:top w:val="nil"/>
              <w:left w:val="nil"/>
              <w:bottom w:val="single" w:color="000000" w:sz="4" w:space="0"/>
              <w:right w:val="nil"/>
            </w:tcBorders>
            <w:shd w:val="clear" w:color="auto" w:fill="auto"/>
            <w:noWrap/>
            <w:vAlign w:val="center"/>
          </w:tcPr>
          <w:p w14:paraId="5ACF2F9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136.67±29.72</w:t>
            </w:r>
          </w:p>
        </w:tc>
        <w:tc>
          <w:tcPr>
            <w:tcW w:w="889" w:type="pct"/>
            <w:tcBorders>
              <w:top w:val="nil"/>
              <w:left w:val="nil"/>
              <w:bottom w:val="single" w:color="000000" w:sz="4" w:space="0"/>
              <w:right w:val="nil"/>
            </w:tcBorders>
            <w:shd w:val="clear" w:color="auto" w:fill="auto"/>
            <w:noWrap/>
            <w:vAlign w:val="center"/>
          </w:tcPr>
          <w:p w14:paraId="156E9C0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55.6±7.81</w:t>
            </w:r>
          </w:p>
        </w:tc>
      </w:tr>
    </w:tbl>
    <w:p w14:paraId="2E56F550">
      <w:pPr>
        <w:widowControl w:val="0"/>
        <w:spacing w:before="0" w:after="0"/>
        <w:jc w:val="both"/>
        <w:rPr>
          <w:rFonts w:hint="default" w:ascii="Times New Roman" w:hAnsi="Times New Roman" w:cs="Times New Roman" w:eastAsiaTheme="minorEastAsia"/>
          <w:color w:val="auto"/>
          <w:kern w:val="2"/>
          <w:sz w:val="21"/>
          <w:szCs w:val="21"/>
          <w:lang w:val="en-US" w:eastAsia="zh-CN" w:bidi="ar"/>
        </w:rPr>
      </w:pPr>
    </w:p>
    <w:sectPr>
      <w:headerReference r:id="rId6" w:type="first"/>
      <w:footerReference r:id="rId7" w:type="default"/>
      <w:headerReference r:id="rId5" w:type="even"/>
      <w:footerReference r:id="rId8" w:type="even"/>
      <w:pgSz w:w="12240" w:h="15840"/>
      <w:pgMar w:top="1138" w:right="1181" w:bottom="1138" w:left="1282" w:header="720" w:footer="720" w:gutter="0"/>
      <w:pgBorders>
        <w:top w:val="none" w:sz="0" w:space="0"/>
        <w:left w:val="none" w:sz="0" w:space="0"/>
        <w:bottom w:val="none" w:sz="0" w:space="0"/>
        <w:right w:val="none" w:sz="0" w:space="0"/>
      </w:pgBorders>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orbel-Bold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B95AC">
    <w:pPr>
      <w:rPr>
        <w:b/>
        <w:sz w:val="20"/>
        <w:szCs w:val="24"/>
      </w:rPr>
    </w:pPr>
    <w:r>
      <w:rPr>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2CF1CF1">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434.15pt;margin-top:726.5pt;height:31.15pt;width:118.8pt;mso-position-horizontal-relative:page;mso-position-vertical-relative:page;z-index:251659264;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RAcAODMCAAB1BAAADgAAAAAAAAABACAAAAAhAQAAZHJzL2Uyb0RvYy54bWxQ&#10;SwUGAAAAAAYABgBZAQAAxgUAAAAA&#10;">
              <v:fill on="f" focussize="0,0"/>
              <v:stroke on="f" weight="0.5pt"/>
              <v:imagedata o:title=""/>
              <o:lock v:ext="edit" aspectratio="f"/>
              <v:textbox style="mso-fit-shape-to-text:t;">
                <w:txbxContent>
                  <w:p w14:paraId="02CF1CF1">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8E10B">
    <w:pPr>
      <w:rPr>
        <w:color w:val="C00000"/>
        <w:szCs w:val="24"/>
      </w:rPr>
    </w:pPr>
    <w:r>
      <w:rPr>
        <w:lang w:val="en-GB" w:eastAsia="en-GB"/>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CF72143">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1" o:spid="_x0000_s1026" o:spt="202" type="#_x0000_t202" style="position:absolute;left:0pt;margin-left:434.15pt;margin-top:724.2pt;height:31.15pt;width:118.8pt;mso-position-horizontal-relative:page;mso-position-vertical-relative:page;z-index:251660288;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dEItIAAAAEAQAADwAAAAAAAAABACAAAAAiAAAAZHJzL2Rvd25yZXYueG1sUEsBAhQA&#10;FAAAAAgAh07iQFsR1fExAgAAcwQAAA4AAAAAAAAAAQAgAAAAIQEAAGRycy9lMm9Eb2MueG1sUEsF&#10;BgAAAAAGAAYAWQEAAMQFAAAAAA==&#10;">
              <v:fill on="f" focussize="0,0"/>
              <v:stroke on="f" weight="0.5pt"/>
              <v:imagedata o:title=""/>
              <o:lock v:ext="edit" aspectratio="f"/>
              <v:textbox style="mso-fit-shape-to-text:t;">
                <w:txbxContent>
                  <w:p w14:paraId="5CF72143">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0F2B6">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64BDC">
    <w:r>
      <w:rPr>
        <w:b/>
      </w:rPr>
      <w:ptab w:relativeTo="margin" w:alignment="center" w:leader="none"/>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0804BE"/>
    <w:multiLevelType w:val="singleLevel"/>
    <w:tmpl w:val="B10804BE"/>
    <w:lvl w:ilvl="0" w:tentative="0">
      <w:start w:val="4"/>
      <w:numFmt w:val="decimal"/>
      <w:suff w:val="space"/>
      <w:lvlText w:val="%1."/>
      <w:lvlJc w:val="left"/>
    </w:lvl>
  </w:abstractNum>
  <w:abstractNum w:abstractNumId="1">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4"/>
      <w:lvlText w:val="%1.%2"/>
      <w:lvlJc w:val="left"/>
      <w:pPr>
        <w:tabs>
          <w:tab w:val="left" w:pos="567"/>
        </w:tabs>
        <w:ind w:left="567" w:hanging="567"/>
      </w:pPr>
      <w:rPr>
        <w:rFonts w:hint="default"/>
      </w:rPr>
    </w:lvl>
    <w:lvl w:ilvl="2" w:tentative="0">
      <w:start w:val="1"/>
      <w:numFmt w:val="decimal"/>
      <w:pStyle w:val="5"/>
      <w:lvlText w:val="%1.%2.%3"/>
      <w:lvlJc w:val="left"/>
      <w:pPr>
        <w:tabs>
          <w:tab w:val="left" w:pos="567"/>
        </w:tabs>
        <w:ind w:left="567" w:hanging="567"/>
      </w:pPr>
      <w:rPr>
        <w:rFonts w:hint="default"/>
      </w:rPr>
    </w:lvl>
    <w:lvl w:ilvl="3" w:tentative="0">
      <w:start w:val="1"/>
      <w:numFmt w:val="decimal"/>
      <w:pStyle w:val="6"/>
      <w:lvlText w:val="%1.%2.%3.%4"/>
      <w:lvlJc w:val="left"/>
      <w:pPr>
        <w:tabs>
          <w:tab w:val="left" w:pos="567"/>
        </w:tabs>
        <w:ind w:left="567" w:hanging="567"/>
      </w:pPr>
      <w:rPr>
        <w:rFonts w:hint="default"/>
      </w:rPr>
    </w:lvl>
    <w:lvl w:ilvl="4" w:tentative="0">
      <w:start w:val="1"/>
      <w:numFmt w:val="decimal"/>
      <w:pStyle w:val="7"/>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2">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3">
    <w:nsid w:val="513E211C"/>
    <w:multiLevelType w:val="singleLevel"/>
    <w:tmpl w:val="513E211C"/>
    <w:lvl w:ilvl="0" w:tentative="0">
      <w:start w:val="1"/>
      <w:numFmt w:val="decimal"/>
      <w:suff w:val="space"/>
      <w:lvlText w:val="[%1]"/>
      <w:lvlJc w:val="left"/>
    </w:lvl>
  </w:abstractNum>
  <w:abstractNum w:abstractNumId="4">
    <w:nsid w:val="5FF1480B"/>
    <w:multiLevelType w:val="singleLevel"/>
    <w:tmpl w:val="5FF1480B"/>
    <w:lvl w:ilvl="0" w:tentative="0">
      <w:start w:val="1"/>
      <w:numFmt w:val="decimal"/>
      <w:suff w:val="space"/>
      <w:lvlText w:val="%1."/>
      <w:lvlJc w:val="left"/>
    </w:lvl>
  </w:abstractNum>
  <w:abstractNum w:abstractNumId="5">
    <w:nsid w:val="7CA76914"/>
    <w:multiLevelType w:val="singleLevel"/>
    <w:tmpl w:val="7CA76914"/>
    <w:lvl w:ilvl="0" w:tentative="0">
      <w:start w:val="1"/>
      <w:numFmt w:val="decimal"/>
      <w:suff w:val="space"/>
      <w:lvlText w:val="[%1]"/>
      <w:lvlJc w:val="left"/>
    </w:lvl>
  </w:abstractNum>
  <w:num w:numId="1">
    <w:abstractNumId w:val="1"/>
  </w:num>
  <w:num w:numId="2">
    <w:abstractNumId w:val="2"/>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attachedTemplate r:id="rId1"/>
  <w:documentProtection w:enforcement="0"/>
  <w:defaultTabStop w:val="720"/>
  <w:evenAndOddHeaders w:val="1"/>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M2ZDUxNmJhNjczODU4ZWEzOThmZmJkNmUwOTYyYTgifQ=="/>
  </w:docVars>
  <w:rsids>
    <w:rsidRoot w:val="00803D24"/>
    <w:rsid w:val="0001436A"/>
    <w:rsid w:val="00034304"/>
    <w:rsid w:val="00035434"/>
    <w:rsid w:val="00052A14"/>
    <w:rsid w:val="00077D53"/>
    <w:rsid w:val="00105FD9"/>
    <w:rsid w:val="00117666"/>
    <w:rsid w:val="001549D3"/>
    <w:rsid w:val="00160065"/>
    <w:rsid w:val="00177D84"/>
    <w:rsid w:val="00267D18"/>
    <w:rsid w:val="002868E2"/>
    <w:rsid w:val="002869C3"/>
    <w:rsid w:val="002936E4"/>
    <w:rsid w:val="002B4A57"/>
    <w:rsid w:val="002C74CA"/>
    <w:rsid w:val="003544FB"/>
    <w:rsid w:val="003D2D47"/>
    <w:rsid w:val="003D2F2D"/>
    <w:rsid w:val="00401590"/>
    <w:rsid w:val="00447801"/>
    <w:rsid w:val="00452E9C"/>
    <w:rsid w:val="004735C8"/>
    <w:rsid w:val="004961FF"/>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03D24"/>
    <w:rsid w:val="00817DD6"/>
    <w:rsid w:val="00885156"/>
    <w:rsid w:val="009151AA"/>
    <w:rsid w:val="0093429D"/>
    <w:rsid w:val="00943573"/>
    <w:rsid w:val="00970F7D"/>
    <w:rsid w:val="00994A3D"/>
    <w:rsid w:val="009C2B12"/>
    <w:rsid w:val="009C70F3"/>
    <w:rsid w:val="00A174D9"/>
    <w:rsid w:val="00A569CD"/>
    <w:rsid w:val="00AB5EE2"/>
    <w:rsid w:val="00AB6715"/>
    <w:rsid w:val="00B1671E"/>
    <w:rsid w:val="00B25EB8"/>
    <w:rsid w:val="00B354E1"/>
    <w:rsid w:val="00B37F4D"/>
    <w:rsid w:val="00C52A7B"/>
    <w:rsid w:val="00C56BAF"/>
    <w:rsid w:val="00C679AA"/>
    <w:rsid w:val="00C75972"/>
    <w:rsid w:val="00CC0A3A"/>
    <w:rsid w:val="00CD066B"/>
    <w:rsid w:val="00CE4FEE"/>
    <w:rsid w:val="00DB59C3"/>
    <w:rsid w:val="00DC259A"/>
    <w:rsid w:val="00DE23E8"/>
    <w:rsid w:val="00E52377"/>
    <w:rsid w:val="00E64E17"/>
    <w:rsid w:val="00E866C9"/>
    <w:rsid w:val="00EA3D3C"/>
    <w:rsid w:val="00F46900"/>
    <w:rsid w:val="00F61D89"/>
    <w:rsid w:val="01AA7D1B"/>
    <w:rsid w:val="07941252"/>
    <w:rsid w:val="07D70A42"/>
    <w:rsid w:val="0AA942B1"/>
    <w:rsid w:val="0C913FB2"/>
    <w:rsid w:val="12E6266F"/>
    <w:rsid w:val="13F83386"/>
    <w:rsid w:val="147E4E1C"/>
    <w:rsid w:val="14EC447B"/>
    <w:rsid w:val="154D404A"/>
    <w:rsid w:val="16F23F8C"/>
    <w:rsid w:val="19D90D46"/>
    <w:rsid w:val="1AE92451"/>
    <w:rsid w:val="1BE00892"/>
    <w:rsid w:val="1C9F3357"/>
    <w:rsid w:val="1CC85A3F"/>
    <w:rsid w:val="1DE32193"/>
    <w:rsid w:val="1F446C62"/>
    <w:rsid w:val="23556570"/>
    <w:rsid w:val="2454079D"/>
    <w:rsid w:val="24EA3FEC"/>
    <w:rsid w:val="271148B6"/>
    <w:rsid w:val="2CC66F08"/>
    <w:rsid w:val="2EB75F4A"/>
    <w:rsid w:val="2FB74C7B"/>
    <w:rsid w:val="2FD22A7E"/>
    <w:rsid w:val="31D332EC"/>
    <w:rsid w:val="335700B3"/>
    <w:rsid w:val="34D72D98"/>
    <w:rsid w:val="35E84393"/>
    <w:rsid w:val="369C6344"/>
    <w:rsid w:val="37270EEB"/>
    <w:rsid w:val="3B600AD3"/>
    <w:rsid w:val="3CE5337D"/>
    <w:rsid w:val="3D4E0F7F"/>
    <w:rsid w:val="3D582D0B"/>
    <w:rsid w:val="3DE87A1A"/>
    <w:rsid w:val="42C67E72"/>
    <w:rsid w:val="44813F77"/>
    <w:rsid w:val="44C3499E"/>
    <w:rsid w:val="45B74A13"/>
    <w:rsid w:val="4800731A"/>
    <w:rsid w:val="4AD30D16"/>
    <w:rsid w:val="4DCB2178"/>
    <w:rsid w:val="4DF3347D"/>
    <w:rsid w:val="4F495A4B"/>
    <w:rsid w:val="50214EFF"/>
    <w:rsid w:val="50437722"/>
    <w:rsid w:val="51B605C0"/>
    <w:rsid w:val="529176ED"/>
    <w:rsid w:val="533B56AA"/>
    <w:rsid w:val="53884EAB"/>
    <w:rsid w:val="54204110"/>
    <w:rsid w:val="55D10548"/>
    <w:rsid w:val="55E15678"/>
    <w:rsid w:val="56A613E8"/>
    <w:rsid w:val="59802B3E"/>
    <w:rsid w:val="5BE34B31"/>
    <w:rsid w:val="5C632ADA"/>
    <w:rsid w:val="5D297863"/>
    <w:rsid w:val="62E13378"/>
    <w:rsid w:val="636447A9"/>
    <w:rsid w:val="65870843"/>
    <w:rsid w:val="65F27C99"/>
    <w:rsid w:val="661C580F"/>
    <w:rsid w:val="66937634"/>
    <w:rsid w:val="68623D98"/>
    <w:rsid w:val="68891983"/>
    <w:rsid w:val="69985FA2"/>
    <w:rsid w:val="6C9463A3"/>
    <w:rsid w:val="6CDE7774"/>
    <w:rsid w:val="6EFD5AB2"/>
    <w:rsid w:val="6FA456EE"/>
    <w:rsid w:val="6FD465EA"/>
    <w:rsid w:val="70FB6B09"/>
    <w:rsid w:val="729332C4"/>
    <w:rsid w:val="72D57472"/>
    <w:rsid w:val="732E6A75"/>
    <w:rsid w:val="76872831"/>
    <w:rsid w:val="77093CF3"/>
    <w:rsid w:val="77721DAF"/>
    <w:rsid w:val="77C83101"/>
    <w:rsid w:val="7A834A6E"/>
    <w:rsid w:val="7B7553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before="120" w:after="240" w:line="240" w:lineRule="auto"/>
    </w:pPr>
    <w:rPr>
      <w:rFonts w:ascii="Times New Roman" w:hAnsi="Times New Roman" w:eastAsiaTheme="minorHAnsi" w:cstheme="minorBidi"/>
      <w:sz w:val="24"/>
      <w:szCs w:val="22"/>
      <w:lang w:val="en-US" w:eastAsia="en-US" w:bidi="ar-SA"/>
    </w:rPr>
  </w:style>
  <w:style w:type="paragraph" w:styleId="2">
    <w:name w:val="heading 1"/>
    <w:basedOn w:val="3"/>
    <w:next w:val="1"/>
    <w:link w:val="31"/>
    <w:autoRedefine/>
    <w:qFormat/>
    <w:uiPriority w:val="2"/>
    <w:pPr>
      <w:numPr>
        <w:ilvl w:val="0"/>
        <w:numId w:val="1"/>
      </w:numPr>
      <w:spacing w:before="240"/>
      <w:contextualSpacing w:val="0"/>
      <w:outlineLvl w:val="0"/>
    </w:pPr>
    <w:rPr>
      <w:b/>
    </w:rPr>
  </w:style>
  <w:style w:type="paragraph" w:styleId="4">
    <w:name w:val="heading 2"/>
    <w:basedOn w:val="2"/>
    <w:next w:val="1"/>
    <w:link w:val="32"/>
    <w:autoRedefine/>
    <w:qFormat/>
    <w:uiPriority w:val="2"/>
    <w:pPr>
      <w:numPr>
        <w:ilvl w:val="1"/>
      </w:numPr>
      <w:spacing w:after="200"/>
      <w:outlineLvl w:val="1"/>
    </w:pPr>
  </w:style>
  <w:style w:type="paragraph" w:styleId="5">
    <w:name w:val="heading 3"/>
    <w:basedOn w:val="1"/>
    <w:next w:val="1"/>
    <w:link w:val="45"/>
    <w:autoRedefine/>
    <w:qFormat/>
    <w:uiPriority w:val="2"/>
    <w:pPr>
      <w:keepNext/>
      <w:keepLines/>
      <w:numPr>
        <w:ilvl w:val="2"/>
        <w:numId w:val="1"/>
      </w:numPr>
      <w:spacing w:before="40" w:after="120"/>
      <w:outlineLvl w:val="2"/>
    </w:pPr>
    <w:rPr>
      <w:rFonts w:eastAsiaTheme="majorEastAsia" w:cstheme="majorBidi"/>
      <w:b/>
      <w:szCs w:val="24"/>
    </w:rPr>
  </w:style>
  <w:style w:type="paragraph" w:styleId="6">
    <w:name w:val="heading 4"/>
    <w:basedOn w:val="5"/>
    <w:next w:val="1"/>
    <w:link w:val="46"/>
    <w:autoRedefine/>
    <w:qFormat/>
    <w:uiPriority w:val="2"/>
    <w:pPr>
      <w:numPr>
        <w:ilvl w:val="3"/>
      </w:numPr>
      <w:outlineLvl w:val="3"/>
    </w:pPr>
    <w:rPr>
      <w:iCs/>
    </w:rPr>
  </w:style>
  <w:style w:type="paragraph" w:styleId="7">
    <w:name w:val="heading 5"/>
    <w:basedOn w:val="6"/>
    <w:next w:val="1"/>
    <w:link w:val="47"/>
    <w:autoRedefine/>
    <w:qFormat/>
    <w:uiPriority w:val="2"/>
    <w:pPr>
      <w:numPr>
        <w:ilvl w:val="4"/>
      </w:numPr>
      <w:outlineLvl w:val="4"/>
    </w:p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3">
    <w:name w:val="List Paragraph"/>
    <w:basedOn w:val="1"/>
    <w:autoRedefine/>
    <w:qFormat/>
    <w:uiPriority w:val="3"/>
    <w:pPr>
      <w:numPr>
        <w:ilvl w:val="0"/>
        <w:numId w:val="2"/>
      </w:numPr>
      <w:contextualSpacing/>
    </w:pPr>
    <w:rPr>
      <w:rFonts w:eastAsia="Cambria" w:cs="Times New Roman"/>
      <w:szCs w:val="24"/>
    </w:rPr>
  </w:style>
  <w:style w:type="paragraph" w:styleId="8">
    <w:name w:val="caption"/>
    <w:basedOn w:val="1"/>
    <w:next w:val="9"/>
    <w:autoRedefine/>
    <w:unhideWhenUsed/>
    <w:qFormat/>
    <w:uiPriority w:val="35"/>
    <w:pPr>
      <w:keepNext/>
    </w:pPr>
    <w:rPr>
      <w:rFonts w:cs="Times New Roman"/>
      <w:b/>
      <w:bCs/>
      <w:szCs w:val="24"/>
    </w:rPr>
  </w:style>
  <w:style w:type="paragraph" w:styleId="9">
    <w:name w:val="No Spacing"/>
    <w:autoRedefine/>
    <w:unhideWhenUsed/>
    <w:qFormat/>
    <w:uiPriority w:val="99"/>
    <w:pPr>
      <w:spacing w:after="0" w:line="240" w:lineRule="auto"/>
    </w:pPr>
    <w:rPr>
      <w:rFonts w:ascii="Times New Roman" w:hAnsi="Times New Roman" w:eastAsiaTheme="minorHAnsi" w:cstheme="minorBidi"/>
      <w:sz w:val="24"/>
      <w:szCs w:val="22"/>
      <w:lang w:val="en-US" w:eastAsia="en-US" w:bidi="ar-SA"/>
    </w:rPr>
  </w:style>
  <w:style w:type="paragraph" w:styleId="10">
    <w:name w:val="annotation text"/>
    <w:basedOn w:val="1"/>
    <w:link w:val="37"/>
    <w:autoRedefine/>
    <w:semiHidden/>
    <w:unhideWhenUsed/>
    <w:qFormat/>
    <w:uiPriority w:val="99"/>
    <w:rPr>
      <w:sz w:val="20"/>
      <w:szCs w:val="20"/>
    </w:rPr>
  </w:style>
  <w:style w:type="paragraph" w:styleId="11">
    <w:name w:val="endnote text"/>
    <w:basedOn w:val="1"/>
    <w:link w:val="39"/>
    <w:autoRedefine/>
    <w:semiHidden/>
    <w:unhideWhenUsed/>
    <w:qFormat/>
    <w:uiPriority w:val="99"/>
    <w:pPr>
      <w:spacing w:after="0"/>
    </w:pPr>
    <w:rPr>
      <w:sz w:val="20"/>
      <w:szCs w:val="20"/>
    </w:rPr>
  </w:style>
  <w:style w:type="paragraph" w:styleId="12">
    <w:name w:val="Balloon Text"/>
    <w:basedOn w:val="1"/>
    <w:link w:val="35"/>
    <w:autoRedefine/>
    <w:semiHidden/>
    <w:unhideWhenUsed/>
    <w:qFormat/>
    <w:uiPriority w:val="99"/>
    <w:pPr>
      <w:spacing w:after="0"/>
    </w:pPr>
    <w:rPr>
      <w:rFonts w:ascii="Tahoma" w:hAnsi="Tahoma" w:cs="Tahoma"/>
      <w:sz w:val="16"/>
      <w:szCs w:val="16"/>
    </w:rPr>
  </w:style>
  <w:style w:type="paragraph" w:styleId="13">
    <w:name w:val="footer"/>
    <w:basedOn w:val="1"/>
    <w:link w:val="40"/>
    <w:autoRedefine/>
    <w:unhideWhenUsed/>
    <w:qFormat/>
    <w:uiPriority w:val="99"/>
    <w:pPr>
      <w:tabs>
        <w:tab w:val="center" w:pos="4844"/>
        <w:tab w:val="right" w:pos="9689"/>
      </w:tabs>
      <w:spacing w:after="0"/>
    </w:pPr>
  </w:style>
  <w:style w:type="paragraph" w:styleId="14">
    <w:name w:val="header"/>
    <w:basedOn w:val="1"/>
    <w:link w:val="42"/>
    <w:autoRedefine/>
    <w:unhideWhenUsed/>
    <w:qFormat/>
    <w:uiPriority w:val="99"/>
    <w:pPr>
      <w:tabs>
        <w:tab w:val="center" w:pos="4844"/>
        <w:tab w:val="right" w:pos="9689"/>
      </w:tabs>
    </w:pPr>
    <w:rPr>
      <w:b/>
    </w:rPr>
  </w:style>
  <w:style w:type="paragraph" w:styleId="15">
    <w:name w:val="Subtitle"/>
    <w:basedOn w:val="1"/>
    <w:next w:val="1"/>
    <w:link w:val="33"/>
    <w:autoRedefine/>
    <w:unhideWhenUsed/>
    <w:qFormat/>
    <w:uiPriority w:val="99"/>
    <w:pPr>
      <w:spacing w:before="240"/>
    </w:pPr>
    <w:rPr>
      <w:rFonts w:cs="Times New Roman"/>
      <w:b/>
      <w:szCs w:val="24"/>
    </w:rPr>
  </w:style>
  <w:style w:type="paragraph" w:styleId="16">
    <w:name w:val="footnote text"/>
    <w:basedOn w:val="1"/>
    <w:link w:val="41"/>
    <w:autoRedefine/>
    <w:semiHidden/>
    <w:unhideWhenUsed/>
    <w:qFormat/>
    <w:uiPriority w:val="99"/>
    <w:pPr>
      <w:spacing w:after="0"/>
    </w:pPr>
    <w:rPr>
      <w:sz w:val="20"/>
      <w:szCs w:val="20"/>
    </w:rPr>
  </w:style>
  <w:style w:type="paragraph" w:styleId="17">
    <w:name w:val="Normal (Web)"/>
    <w:basedOn w:val="1"/>
    <w:autoRedefine/>
    <w:unhideWhenUsed/>
    <w:qFormat/>
    <w:uiPriority w:val="99"/>
    <w:pPr>
      <w:spacing w:before="100" w:beforeAutospacing="1" w:after="100" w:afterAutospacing="1"/>
    </w:pPr>
    <w:rPr>
      <w:rFonts w:eastAsia="Times New Roman" w:cs="Times New Roman"/>
      <w:szCs w:val="24"/>
    </w:rPr>
  </w:style>
  <w:style w:type="paragraph" w:styleId="18">
    <w:name w:val="Title"/>
    <w:basedOn w:val="1"/>
    <w:next w:val="1"/>
    <w:link w:val="51"/>
    <w:autoRedefine/>
    <w:qFormat/>
    <w:uiPriority w:val="0"/>
    <w:pPr>
      <w:suppressLineNumbers/>
      <w:spacing w:before="240" w:after="360"/>
      <w:jc w:val="center"/>
    </w:pPr>
    <w:rPr>
      <w:rFonts w:cs="Times New Roman"/>
      <w:b/>
      <w:sz w:val="32"/>
      <w:szCs w:val="32"/>
    </w:rPr>
  </w:style>
  <w:style w:type="paragraph" w:styleId="19">
    <w:name w:val="annotation subject"/>
    <w:basedOn w:val="10"/>
    <w:next w:val="10"/>
    <w:link w:val="38"/>
    <w:autoRedefine/>
    <w:semiHidden/>
    <w:unhideWhenUsed/>
    <w:qFormat/>
    <w:uiPriority w:val="99"/>
    <w:rPr>
      <w:b/>
      <w:bCs/>
    </w:rPr>
  </w:style>
  <w:style w:type="table" w:styleId="21">
    <w:name w:val="Table Grid"/>
    <w:basedOn w:val="20"/>
    <w:autoRedefine/>
    <w:qFormat/>
    <w:uiPriority w:val="59"/>
    <w:pPr>
      <w:spacing w:after="0" w:line="240" w:lineRule="auto"/>
    </w:pPr>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22"/>
    <w:rPr>
      <w:rFonts w:ascii="Times New Roman" w:hAnsi="Times New Roman"/>
      <w:b/>
      <w:bCs/>
    </w:rPr>
  </w:style>
  <w:style w:type="character" w:styleId="24">
    <w:name w:val="endnote reference"/>
    <w:basedOn w:val="22"/>
    <w:autoRedefine/>
    <w:semiHidden/>
    <w:unhideWhenUsed/>
    <w:qFormat/>
    <w:uiPriority w:val="99"/>
    <w:rPr>
      <w:vertAlign w:val="superscript"/>
    </w:rPr>
  </w:style>
  <w:style w:type="character" w:styleId="25">
    <w:name w:val="FollowedHyperlink"/>
    <w:basedOn w:val="22"/>
    <w:autoRedefine/>
    <w:semiHidden/>
    <w:unhideWhenUsed/>
    <w:qFormat/>
    <w:uiPriority w:val="99"/>
    <w:rPr>
      <w:color w:val="800080" w:themeColor="followedHyperlink"/>
      <w:u w:val="single"/>
      <w14:textFill>
        <w14:solidFill>
          <w14:schemeClr w14:val="folHlink"/>
        </w14:solidFill>
      </w14:textFill>
    </w:rPr>
  </w:style>
  <w:style w:type="character" w:styleId="26">
    <w:name w:val="Emphasis"/>
    <w:basedOn w:val="22"/>
    <w:autoRedefine/>
    <w:qFormat/>
    <w:uiPriority w:val="20"/>
    <w:rPr>
      <w:rFonts w:ascii="Times New Roman" w:hAnsi="Times New Roman"/>
      <w:i/>
      <w:iCs/>
    </w:rPr>
  </w:style>
  <w:style w:type="character" w:styleId="27">
    <w:name w:val="line number"/>
    <w:basedOn w:val="22"/>
    <w:autoRedefine/>
    <w:semiHidden/>
    <w:unhideWhenUsed/>
    <w:qFormat/>
    <w:uiPriority w:val="99"/>
  </w:style>
  <w:style w:type="character" w:styleId="28">
    <w:name w:val="Hyperlink"/>
    <w:basedOn w:val="22"/>
    <w:autoRedefine/>
    <w:unhideWhenUsed/>
    <w:qFormat/>
    <w:uiPriority w:val="99"/>
    <w:rPr>
      <w:color w:val="0000FF"/>
      <w:u w:val="single"/>
    </w:rPr>
  </w:style>
  <w:style w:type="character" w:styleId="29">
    <w:name w:val="annotation reference"/>
    <w:basedOn w:val="22"/>
    <w:autoRedefine/>
    <w:semiHidden/>
    <w:unhideWhenUsed/>
    <w:qFormat/>
    <w:uiPriority w:val="99"/>
    <w:rPr>
      <w:sz w:val="16"/>
      <w:szCs w:val="16"/>
    </w:rPr>
  </w:style>
  <w:style w:type="character" w:styleId="30">
    <w:name w:val="footnote reference"/>
    <w:basedOn w:val="22"/>
    <w:autoRedefine/>
    <w:semiHidden/>
    <w:unhideWhenUsed/>
    <w:qFormat/>
    <w:uiPriority w:val="99"/>
    <w:rPr>
      <w:vertAlign w:val="superscript"/>
    </w:rPr>
  </w:style>
  <w:style w:type="character" w:customStyle="1" w:styleId="31">
    <w:name w:val="Heading 1 Char"/>
    <w:basedOn w:val="22"/>
    <w:link w:val="2"/>
    <w:autoRedefine/>
    <w:qFormat/>
    <w:uiPriority w:val="2"/>
    <w:rPr>
      <w:rFonts w:ascii="Times New Roman" w:hAnsi="Times New Roman" w:eastAsia="Cambria" w:cs="Times New Roman"/>
      <w:b/>
      <w:sz w:val="24"/>
      <w:szCs w:val="24"/>
    </w:rPr>
  </w:style>
  <w:style w:type="character" w:customStyle="1" w:styleId="32">
    <w:name w:val="Heading 2 Char"/>
    <w:basedOn w:val="22"/>
    <w:link w:val="4"/>
    <w:autoRedefine/>
    <w:qFormat/>
    <w:uiPriority w:val="2"/>
    <w:rPr>
      <w:rFonts w:ascii="Times New Roman" w:hAnsi="Times New Roman" w:eastAsia="Cambria" w:cs="Times New Roman"/>
      <w:b/>
      <w:sz w:val="24"/>
      <w:szCs w:val="24"/>
    </w:rPr>
  </w:style>
  <w:style w:type="character" w:customStyle="1" w:styleId="33">
    <w:name w:val="Subtitle Char"/>
    <w:basedOn w:val="22"/>
    <w:link w:val="15"/>
    <w:autoRedefine/>
    <w:qFormat/>
    <w:uiPriority w:val="99"/>
    <w:rPr>
      <w:rFonts w:ascii="Times New Roman" w:hAnsi="Times New Roman" w:cs="Times New Roman"/>
      <w:b/>
      <w:sz w:val="24"/>
      <w:szCs w:val="24"/>
    </w:rPr>
  </w:style>
  <w:style w:type="paragraph" w:customStyle="1" w:styleId="34">
    <w:name w:val="Author List"/>
    <w:basedOn w:val="15"/>
    <w:next w:val="1"/>
    <w:autoRedefine/>
    <w:qFormat/>
    <w:uiPriority w:val="1"/>
  </w:style>
  <w:style w:type="character" w:customStyle="1" w:styleId="35">
    <w:name w:val="Balloon Text Char"/>
    <w:basedOn w:val="22"/>
    <w:link w:val="12"/>
    <w:autoRedefine/>
    <w:semiHidden/>
    <w:qFormat/>
    <w:uiPriority w:val="99"/>
    <w:rPr>
      <w:rFonts w:ascii="Tahoma" w:hAnsi="Tahoma" w:cs="Tahoma"/>
      <w:sz w:val="16"/>
      <w:szCs w:val="16"/>
    </w:rPr>
  </w:style>
  <w:style w:type="character" w:customStyle="1" w:styleId="36">
    <w:name w:val="Book Title"/>
    <w:basedOn w:val="22"/>
    <w:autoRedefine/>
    <w:qFormat/>
    <w:uiPriority w:val="33"/>
    <w:rPr>
      <w:rFonts w:ascii="Times New Roman" w:hAnsi="Times New Roman"/>
      <w:b/>
      <w:bCs/>
      <w:i/>
      <w:iCs/>
      <w:spacing w:val="5"/>
    </w:rPr>
  </w:style>
  <w:style w:type="character" w:customStyle="1" w:styleId="37">
    <w:name w:val="Comment Text Char"/>
    <w:basedOn w:val="22"/>
    <w:link w:val="10"/>
    <w:autoRedefine/>
    <w:semiHidden/>
    <w:qFormat/>
    <w:uiPriority w:val="99"/>
    <w:rPr>
      <w:rFonts w:ascii="Times New Roman" w:hAnsi="Times New Roman"/>
      <w:sz w:val="20"/>
      <w:szCs w:val="20"/>
    </w:rPr>
  </w:style>
  <w:style w:type="character" w:customStyle="1" w:styleId="38">
    <w:name w:val="Comment Subject Char"/>
    <w:basedOn w:val="37"/>
    <w:link w:val="19"/>
    <w:autoRedefine/>
    <w:semiHidden/>
    <w:qFormat/>
    <w:uiPriority w:val="99"/>
    <w:rPr>
      <w:rFonts w:ascii="Times New Roman" w:hAnsi="Times New Roman"/>
      <w:b/>
      <w:bCs/>
      <w:sz w:val="20"/>
      <w:szCs w:val="20"/>
    </w:rPr>
  </w:style>
  <w:style w:type="character" w:customStyle="1" w:styleId="39">
    <w:name w:val="Endnote Text Char"/>
    <w:basedOn w:val="22"/>
    <w:link w:val="11"/>
    <w:autoRedefine/>
    <w:semiHidden/>
    <w:qFormat/>
    <w:uiPriority w:val="99"/>
    <w:rPr>
      <w:rFonts w:ascii="Times New Roman" w:hAnsi="Times New Roman"/>
      <w:sz w:val="20"/>
      <w:szCs w:val="20"/>
    </w:rPr>
  </w:style>
  <w:style w:type="character" w:customStyle="1" w:styleId="40">
    <w:name w:val="Footer Char"/>
    <w:basedOn w:val="22"/>
    <w:link w:val="13"/>
    <w:autoRedefine/>
    <w:qFormat/>
    <w:uiPriority w:val="99"/>
    <w:rPr>
      <w:rFonts w:ascii="Times New Roman" w:hAnsi="Times New Roman"/>
      <w:sz w:val="24"/>
    </w:rPr>
  </w:style>
  <w:style w:type="character" w:customStyle="1" w:styleId="41">
    <w:name w:val="Footnote Text Char"/>
    <w:basedOn w:val="22"/>
    <w:link w:val="16"/>
    <w:autoRedefine/>
    <w:semiHidden/>
    <w:qFormat/>
    <w:uiPriority w:val="99"/>
    <w:rPr>
      <w:rFonts w:ascii="Times New Roman" w:hAnsi="Times New Roman"/>
      <w:sz w:val="20"/>
      <w:szCs w:val="20"/>
    </w:rPr>
  </w:style>
  <w:style w:type="character" w:customStyle="1" w:styleId="42">
    <w:name w:val="Header Char"/>
    <w:basedOn w:val="22"/>
    <w:link w:val="14"/>
    <w:autoRedefine/>
    <w:qFormat/>
    <w:uiPriority w:val="99"/>
    <w:rPr>
      <w:rFonts w:ascii="Times New Roman" w:hAnsi="Times New Roman"/>
      <w:b/>
      <w:sz w:val="24"/>
    </w:rPr>
  </w:style>
  <w:style w:type="character" w:customStyle="1" w:styleId="43">
    <w:name w:val="Intense Emphasis"/>
    <w:basedOn w:val="22"/>
    <w:autoRedefine/>
    <w:unhideWhenUsed/>
    <w:qFormat/>
    <w:uiPriority w:val="21"/>
    <w:rPr>
      <w:rFonts w:ascii="Times New Roman" w:hAnsi="Times New Roman"/>
      <w:i/>
      <w:iCs/>
      <w:color w:val="auto"/>
    </w:rPr>
  </w:style>
  <w:style w:type="character" w:customStyle="1" w:styleId="44">
    <w:name w:val="Intense Reference"/>
    <w:basedOn w:val="22"/>
    <w:autoRedefine/>
    <w:qFormat/>
    <w:uiPriority w:val="32"/>
    <w:rPr>
      <w:b/>
      <w:bCs/>
      <w:smallCaps/>
      <w:color w:val="auto"/>
      <w:spacing w:val="5"/>
    </w:rPr>
  </w:style>
  <w:style w:type="character" w:customStyle="1" w:styleId="45">
    <w:name w:val="Heading 3 Char"/>
    <w:basedOn w:val="22"/>
    <w:link w:val="5"/>
    <w:autoRedefine/>
    <w:qFormat/>
    <w:uiPriority w:val="2"/>
    <w:rPr>
      <w:rFonts w:ascii="Times New Roman" w:hAnsi="Times New Roman" w:eastAsiaTheme="majorEastAsia" w:cstheme="majorBidi"/>
      <w:b/>
      <w:sz w:val="24"/>
      <w:szCs w:val="24"/>
    </w:rPr>
  </w:style>
  <w:style w:type="character" w:customStyle="1" w:styleId="46">
    <w:name w:val="Heading 4 Char"/>
    <w:basedOn w:val="22"/>
    <w:link w:val="6"/>
    <w:autoRedefine/>
    <w:qFormat/>
    <w:uiPriority w:val="2"/>
    <w:rPr>
      <w:rFonts w:ascii="Times New Roman" w:hAnsi="Times New Roman" w:eastAsiaTheme="majorEastAsia" w:cstheme="majorBidi"/>
      <w:b/>
      <w:iCs/>
      <w:sz w:val="24"/>
      <w:szCs w:val="24"/>
    </w:rPr>
  </w:style>
  <w:style w:type="character" w:customStyle="1" w:styleId="47">
    <w:name w:val="Heading 5 Char"/>
    <w:basedOn w:val="22"/>
    <w:link w:val="7"/>
    <w:autoRedefine/>
    <w:qFormat/>
    <w:uiPriority w:val="2"/>
    <w:rPr>
      <w:rFonts w:ascii="Times New Roman" w:hAnsi="Times New Roman" w:eastAsiaTheme="majorEastAsia" w:cstheme="majorBidi"/>
      <w:b/>
      <w:iCs/>
      <w:sz w:val="24"/>
      <w:szCs w:val="24"/>
    </w:rPr>
  </w:style>
  <w:style w:type="paragraph" w:styleId="48">
    <w:name w:val="Quote"/>
    <w:basedOn w:val="1"/>
    <w:next w:val="1"/>
    <w:link w:val="49"/>
    <w:autoRedefine/>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Quote Char"/>
    <w:basedOn w:val="22"/>
    <w:link w:val="48"/>
    <w:autoRedefine/>
    <w:qFormat/>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0">
    <w:name w:val="Subtle Emphasis"/>
    <w:basedOn w:val="22"/>
    <w:autoRedefine/>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1">
    <w:name w:val="Title Char"/>
    <w:basedOn w:val="22"/>
    <w:link w:val="18"/>
    <w:autoRedefine/>
    <w:qFormat/>
    <w:uiPriority w:val="0"/>
    <w:rPr>
      <w:rFonts w:ascii="Times New Roman" w:hAnsi="Times New Roman" w:cs="Times New Roman"/>
      <w:b/>
      <w:sz w:val="32"/>
      <w:szCs w:val="32"/>
    </w:rPr>
  </w:style>
  <w:style w:type="paragraph" w:customStyle="1" w:styleId="52">
    <w:name w:val="Supplementary Material"/>
    <w:basedOn w:val="18"/>
    <w:next w:val="18"/>
    <w:autoRedefine/>
    <w:qFormat/>
    <w:uiPriority w:val="0"/>
    <w:pPr>
      <w:spacing w:after="120"/>
    </w:pPr>
    <w:rPr>
      <w:i/>
    </w:rPr>
  </w:style>
  <w:style w:type="paragraph" w:customStyle="1" w:styleId="53">
    <w:name w:val="Revision"/>
    <w:autoRedefine/>
    <w:hidden/>
    <w:semiHidden/>
    <w:qFormat/>
    <w:uiPriority w:val="99"/>
    <w:pPr>
      <w:spacing w:after="0" w:line="240" w:lineRule="auto"/>
    </w:pPr>
    <w:rPr>
      <w:rFonts w:ascii="Times New Roman" w:hAnsi="Times New Roman" w:eastAsiaTheme="minorHAnsi" w:cstheme="minorBidi"/>
      <w:sz w:val="24"/>
      <w:szCs w:val="22"/>
      <w:lang w:val="en-US" w:eastAsia="en-US" w:bidi="ar-SA"/>
    </w:rPr>
  </w:style>
  <w:style w:type="character" w:customStyle="1" w:styleId="54">
    <w:name w:val="font11"/>
    <w:basedOn w:val="22"/>
    <w:autoRedefine/>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Supplementary_Material.dotx</Template>
  <Pages>14</Pages>
  <Words>354</Words>
  <Characters>2039</Characters>
  <Lines>6</Lines>
  <Paragraphs>1</Paragraphs>
  <TotalTime>5</TotalTime>
  <ScaleCrop>false</ScaleCrop>
  <LinksUpToDate>false</LinksUpToDate>
  <CharactersWithSpaces>2368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2022-11-17T16:58:00Z</dcterms:created>
  <dc:creator>Frontiers</dc:creator>
  <cp:lastModifiedBy>12977</cp:lastModifiedBy>
  <cp:lastPrinted>2013-10-03T12:51:00Z</cp:lastPrinted>
  <dcterms:modified xsi:type="dcterms:W3CDTF">2025-07-06T07:31:47Z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KSOProductBuildVer">
    <vt:lpwstr>2052-12.1.0.21915</vt:lpwstr>
  </property>
  <property fmtid="{D5CDD505-2E9C-101B-9397-08002B2CF9AE}" pid="11" name="ICV">
    <vt:lpwstr>875C58D4B8234099A336B79A36C8574F_13</vt:lpwstr>
  </property>
  <property fmtid="{D5CDD505-2E9C-101B-9397-08002B2CF9AE}" pid="12" name="KSOTemplateDocerSaveRecord">
    <vt:lpwstr>eyJoZGlkIjoiYmY3YTdjZDI3ZDNlOTJmZWZkMzg4ZjUwZjI4MzMwZmMiLCJ1c2VySWQiOiIyMzk0OTE1MzEifQ==</vt:lpwstr>
  </property>
</Properties>
</file>