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DA7B6A" w14:textId="77777777" w:rsidR="00824006" w:rsidRPr="00A84639" w:rsidRDefault="00824006" w:rsidP="00AA6C28">
      <w:pPr>
        <w:jc w:val="both"/>
        <w:rPr>
          <w:rFonts w:asciiTheme="majorBidi" w:hAnsiTheme="majorBidi" w:cstheme="majorBidi"/>
          <w:b/>
          <w:bCs/>
          <w:color w:val="000000" w:themeColor="text1"/>
        </w:rPr>
      </w:pPr>
      <w:r w:rsidRPr="00A84639">
        <w:rPr>
          <w:rFonts w:asciiTheme="majorBidi" w:hAnsiTheme="majorBidi" w:cstheme="majorBidi"/>
          <w:b/>
          <w:bCs/>
          <w:color w:val="000000" w:themeColor="text1"/>
        </w:rPr>
        <w:t>Additional File 3:</w:t>
      </w:r>
    </w:p>
    <w:p w14:paraId="10BD528C" w14:textId="77777777" w:rsidR="00824006" w:rsidRPr="00A84639" w:rsidRDefault="00824006" w:rsidP="00AA6C28">
      <w:pPr>
        <w:jc w:val="both"/>
        <w:rPr>
          <w:rFonts w:asciiTheme="majorBidi" w:hAnsiTheme="majorBidi" w:cstheme="majorBidi"/>
          <w:b/>
          <w:bCs/>
          <w:color w:val="000000" w:themeColor="text1"/>
        </w:rPr>
      </w:pPr>
      <w:r w:rsidRPr="00A84639">
        <w:rPr>
          <w:rFonts w:asciiTheme="majorBidi" w:hAnsiTheme="majorBidi" w:cstheme="majorBidi"/>
          <w:b/>
          <w:bCs/>
          <w:color w:val="000000" w:themeColor="text1"/>
        </w:rPr>
        <w:t>Supplementary Text 1. Extended microbial diversity results and comparisons</w:t>
      </w:r>
    </w:p>
    <w:p w14:paraId="4A1491CF" w14:textId="77777777" w:rsidR="00824006" w:rsidRPr="00A84639" w:rsidRDefault="00824006" w:rsidP="00AA6C28">
      <w:pPr>
        <w:jc w:val="both"/>
        <w:rPr>
          <w:rFonts w:asciiTheme="majorBidi" w:hAnsiTheme="majorBidi" w:cstheme="majorBidi"/>
          <w:color w:val="000000" w:themeColor="text1"/>
        </w:rPr>
      </w:pPr>
      <w:r w:rsidRPr="00A84639">
        <w:rPr>
          <w:rFonts w:asciiTheme="majorBidi" w:hAnsiTheme="majorBidi" w:cstheme="majorBidi"/>
          <w:color w:val="000000" w:themeColor="text1"/>
        </w:rPr>
        <w:t>Our findings extend previous surveys of the Hatiba hydrothermal vents (8), highlighting diversity and richness across depths and hydrothermal activity gradients. To assess microbial diversity, we performed 16S rRNA gene sequencing on 15 subsamples comprising eight surface precipitates, five precipitates from a depth of 1 m, and two microbial mat samples (see Table S2 and Methods for details).</w:t>
      </w:r>
    </w:p>
    <w:p w14:paraId="122AA0F2" w14:textId="77777777" w:rsidR="00824006" w:rsidRPr="00A84639" w:rsidRDefault="00824006" w:rsidP="00AA6C28">
      <w:pPr>
        <w:jc w:val="both"/>
        <w:rPr>
          <w:rFonts w:asciiTheme="majorBidi" w:hAnsiTheme="majorBidi" w:cstheme="majorBidi"/>
          <w:i/>
          <w:iCs/>
          <w:color w:val="000000" w:themeColor="text1"/>
        </w:rPr>
      </w:pPr>
      <w:r w:rsidRPr="00A84639">
        <w:rPr>
          <w:rFonts w:asciiTheme="majorBidi" w:hAnsiTheme="majorBidi" w:cstheme="majorBidi"/>
          <w:i/>
          <w:iCs/>
          <w:color w:val="000000" w:themeColor="text1"/>
        </w:rPr>
        <w:t>Community composition across depths</w:t>
      </w:r>
    </w:p>
    <w:p w14:paraId="086D293A" w14:textId="64449170" w:rsidR="00824006" w:rsidRPr="00A84639" w:rsidRDefault="00824006" w:rsidP="00AA6C28">
      <w:pPr>
        <w:jc w:val="both"/>
        <w:rPr>
          <w:rFonts w:asciiTheme="majorBidi" w:hAnsiTheme="majorBidi" w:cstheme="majorBidi"/>
          <w:color w:val="000000" w:themeColor="text1"/>
        </w:rPr>
      </w:pPr>
      <w:r w:rsidRPr="00A84639">
        <w:rPr>
          <w:rFonts w:asciiTheme="majorBidi" w:hAnsiTheme="majorBidi" w:cstheme="majorBidi"/>
          <w:color w:val="000000" w:themeColor="text1"/>
        </w:rPr>
        <w:t xml:space="preserve">Beta diversity analysis (Bray–Curtis dissimilarity) revealed significant differences in community composition between surface and 1 m depth precipitates (p = 0.001). </w:t>
      </w:r>
      <w:r w:rsidRPr="00A84639">
        <w:rPr>
          <w:rFonts w:asciiTheme="majorBidi" w:hAnsiTheme="majorBidi" w:cstheme="majorBidi"/>
          <w:i/>
          <w:iCs/>
          <w:color w:val="000000" w:themeColor="text1"/>
        </w:rPr>
        <w:t>Chloroflexi</w:t>
      </w:r>
      <w:r w:rsidRPr="00A84639">
        <w:rPr>
          <w:rFonts w:asciiTheme="majorBidi" w:hAnsiTheme="majorBidi" w:cstheme="majorBidi"/>
          <w:color w:val="000000" w:themeColor="text1"/>
        </w:rPr>
        <w:t xml:space="preserve"> were the dominant group overall, accounting for 9%–20% at the surface and 12%–26% at 1 m depth, with </w:t>
      </w:r>
      <w:r w:rsidRPr="00A84639">
        <w:rPr>
          <w:rFonts w:asciiTheme="majorBidi" w:hAnsiTheme="majorBidi" w:cstheme="majorBidi"/>
          <w:i/>
          <w:iCs/>
          <w:color w:val="000000" w:themeColor="text1"/>
        </w:rPr>
        <w:t xml:space="preserve">Dehalococcoidia </w:t>
      </w:r>
      <w:r w:rsidRPr="00A84639">
        <w:rPr>
          <w:rFonts w:asciiTheme="majorBidi" w:hAnsiTheme="majorBidi" w:cstheme="majorBidi"/>
          <w:color w:val="000000" w:themeColor="text1"/>
        </w:rPr>
        <w:t xml:space="preserve">as the primary class (7%–15% at the surface, 8%–20% at depth). </w:t>
      </w:r>
      <w:r w:rsidRPr="00A84639">
        <w:rPr>
          <w:rFonts w:asciiTheme="majorBidi" w:hAnsiTheme="majorBidi" w:cstheme="majorBidi"/>
          <w:i/>
          <w:iCs/>
          <w:color w:val="000000" w:themeColor="text1"/>
        </w:rPr>
        <w:t>Pseudomonadota</w:t>
      </w:r>
      <w:r w:rsidRPr="00A84639">
        <w:rPr>
          <w:rFonts w:asciiTheme="majorBidi" w:hAnsiTheme="majorBidi" w:cstheme="majorBidi"/>
          <w:color w:val="000000" w:themeColor="text1"/>
        </w:rPr>
        <w:t xml:space="preserve"> were also prominent, accounting for 5%–22% at the surface and 6%–17% at depth, with </w:t>
      </w:r>
      <w:r w:rsidRPr="00A84639">
        <w:rPr>
          <w:rFonts w:asciiTheme="majorBidi" w:hAnsiTheme="majorBidi" w:cstheme="majorBidi"/>
          <w:i/>
          <w:iCs/>
          <w:color w:val="000000" w:themeColor="text1"/>
        </w:rPr>
        <w:t>Alphaproteobacteria</w:t>
      </w:r>
      <w:r w:rsidRPr="00A84639">
        <w:rPr>
          <w:rFonts w:asciiTheme="majorBidi" w:hAnsiTheme="majorBidi" w:cstheme="majorBidi"/>
          <w:color w:val="000000" w:themeColor="text1"/>
        </w:rPr>
        <w:t xml:space="preserve"> (3%–13% at the surface, 5%–12% at depth) and </w:t>
      </w:r>
      <w:r w:rsidRPr="00A84639">
        <w:rPr>
          <w:rFonts w:asciiTheme="majorBidi" w:hAnsiTheme="majorBidi" w:cstheme="majorBidi"/>
          <w:i/>
          <w:iCs/>
          <w:color w:val="000000" w:themeColor="text1"/>
        </w:rPr>
        <w:t xml:space="preserve">Gammaproteobacteria </w:t>
      </w:r>
      <w:r w:rsidRPr="00A84639">
        <w:rPr>
          <w:rFonts w:asciiTheme="majorBidi" w:hAnsiTheme="majorBidi" w:cstheme="majorBidi"/>
          <w:color w:val="000000" w:themeColor="text1"/>
        </w:rPr>
        <w:t xml:space="preserve">(2%–13% at the surface, 3%–4% at depth) as the main classes. Other prominent groups included </w:t>
      </w:r>
      <w:r w:rsidRPr="00A84639">
        <w:rPr>
          <w:rFonts w:asciiTheme="majorBidi" w:hAnsiTheme="majorBidi" w:cstheme="majorBidi"/>
          <w:i/>
          <w:iCs/>
          <w:color w:val="000000" w:themeColor="text1"/>
        </w:rPr>
        <w:t xml:space="preserve">Acidobacteriota </w:t>
      </w:r>
      <w:r w:rsidRPr="00A84639">
        <w:rPr>
          <w:rFonts w:asciiTheme="majorBidi" w:hAnsiTheme="majorBidi" w:cstheme="majorBidi"/>
          <w:color w:val="000000" w:themeColor="text1"/>
        </w:rPr>
        <w:t>(4%–16%),</w:t>
      </w:r>
      <w:r w:rsidRPr="00A84639">
        <w:rPr>
          <w:rFonts w:asciiTheme="majorBidi" w:hAnsiTheme="majorBidi" w:cstheme="majorBidi"/>
          <w:i/>
          <w:iCs/>
          <w:color w:val="000000" w:themeColor="text1"/>
        </w:rPr>
        <w:t xml:space="preserve"> Methylomirabilota</w:t>
      </w:r>
      <w:r w:rsidRPr="00A84639">
        <w:rPr>
          <w:rFonts w:asciiTheme="majorBidi" w:hAnsiTheme="majorBidi" w:cstheme="majorBidi"/>
          <w:color w:val="000000" w:themeColor="text1"/>
        </w:rPr>
        <w:t xml:space="preserve"> (3%–11%), and </w:t>
      </w:r>
      <w:r w:rsidRPr="00A84639">
        <w:rPr>
          <w:rFonts w:asciiTheme="majorBidi" w:hAnsiTheme="majorBidi" w:cstheme="majorBidi"/>
          <w:i/>
          <w:iCs/>
          <w:color w:val="000000" w:themeColor="text1"/>
        </w:rPr>
        <w:t>Gemmatimonadota</w:t>
      </w:r>
      <w:r w:rsidRPr="00A84639">
        <w:rPr>
          <w:rFonts w:asciiTheme="majorBidi" w:hAnsiTheme="majorBidi" w:cstheme="majorBidi"/>
          <w:color w:val="000000" w:themeColor="text1"/>
        </w:rPr>
        <w:t xml:space="preserve"> (1%–6%). The dominance of </w:t>
      </w:r>
      <w:r w:rsidRPr="00A84639">
        <w:rPr>
          <w:rFonts w:asciiTheme="majorBidi" w:hAnsiTheme="majorBidi" w:cstheme="majorBidi"/>
          <w:i/>
          <w:iCs/>
          <w:color w:val="000000" w:themeColor="text1"/>
        </w:rPr>
        <w:t>Chloroflexi</w:t>
      </w:r>
      <w:r w:rsidRPr="00A84639">
        <w:rPr>
          <w:rFonts w:asciiTheme="majorBidi" w:hAnsiTheme="majorBidi" w:cstheme="majorBidi"/>
          <w:color w:val="000000" w:themeColor="text1"/>
        </w:rPr>
        <w:t xml:space="preserve"> aligns with previous findings from deep-sea sediments, such as at the Juan de Fuca Ridge, where </w:t>
      </w:r>
      <w:r w:rsidRPr="00A84639">
        <w:rPr>
          <w:rFonts w:asciiTheme="majorBidi" w:hAnsiTheme="majorBidi" w:cstheme="majorBidi"/>
          <w:i/>
          <w:iCs/>
          <w:color w:val="000000" w:themeColor="text1"/>
        </w:rPr>
        <w:t>Chloroflexi</w:t>
      </w:r>
      <w:r w:rsidRPr="00A84639">
        <w:rPr>
          <w:rFonts w:asciiTheme="majorBidi" w:hAnsiTheme="majorBidi" w:cstheme="majorBidi"/>
          <w:color w:val="000000" w:themeColor="text1"/>
        </w:rPr>
        <w:t xml:space="preserve"> are often reported as the </w:t>
      </w:r>
      <w:r w:rsidR="00AA6C28" w:rsidRPr="00A84639">
        <w:rPr>
          <w:rFonts w:asciiTheme="majorBidi" w:hAnsiTheme="majorBidi" w:cstheme="majorBidi"/>
          <w:color w:val="000000" w:themeColor="text1"/>
        </w:rPr>
        <w:t>central</w:t>
      </w:r>
      <w:r w:rsidRPr="00A84639">
        <w:rPr>
          <w:rFonts w:asciiTheme="majorBidi" w:hAnsiTheme="majorBidi" w:cstheme="majorBidi"/>
          <w:color w:val="000000" w:themeColor="text1"/>
        </w:rPr>
        <w:t xml:space="preserve"> taxon in surface sediments (111) (54). </w:t>
      </w:r>
      <w:r w:rsidRPr="00A84639">
        <w:rPr>
          <w:rFonts w:asciiTheme="majorBidi" w:hAnsiTheme="majorBidi" w:cstheme="majorBidi"/>
          <w:i/>
          <w:iCs/>
          <w:color w:val="000000" w:themeColor="text1"/>
        </w:rPr>
        <w:t>Thermoproteota</w:t>
      </w:r>
      <w:r w:rsidRPr="00A84639">
        <w:rPr>
          <w:rFonts w:asciiTheme="majorBidi" w:hAnsiTheme="majorBidi" w:cstheme="majorBidi"/>
          <w:color w:val="000000" w:themeColor="text1"/>
        </w:rPr>
        <w:t xml:space="preserve">, primarily composed of </w:t>
      </w:r>
      <w:r w:rsidRPr="00A84639">
        <w:rPr>
          <w:rFonts w:asciiTheme="majorBidi" w:hAnsiTheme="majorBidi" w:cstheme="majorBidi"/>
          <w:i/>
          <w:iCs/>
          <w:color w:val="000000" w:themeColor="text1"/>
        </w:rPr>
        <w:t>Bathyarchaeia</w:t>
      </w:r>
      <w:r w:rsidRPr="00A84639">
        <w:rPr>
          <w:rFonts w:asciiTheme="majorBidi" w:hAnsiTheme="majorBidi" w:cstheme="majorBidi"/>
          <w:color w:val="000000" w:themeColor="text1"/>
        </w:rPr>
        <w:t xml:space="preserve">, comprised 9%–19% of surface communities, with significantly higher levels (47%) in surface samples from Majarrah Mounds. </w:t>
      </w:r>
    </w:p>
    <w:p w14:paraId="5ED34A38" w14:textId="77777777" w:rsidR="00824006" w:rsidRPr="00A84639" w:rsidRDefault="00824006" w:rsidP="00AA6C28">
      <w:pPr>
        <w:jc w:val="both"/>
        <w:rPr>
          <w:rFonts w:asciiTheme="majorBidi" w:hAnsiTheme="majorBidi" w:cstheme="majorBidi"/>
          <w:i/>
          <w:iCs/>
          <w:color w:val="000000" w:themeColor="text1"/>
        </w:rPr>
      </w:pPr>
      <w:r w:rsidRPr="00A84639">
        <w:rPr>
          <w:rFonts w:asciiTheme="majorBidi" w:hAnsiTheme="majorBidi" w:cstheme="majorBidi"/>
          <w:i/>
          <w:iCs/>
          <w:color w:val="000000" w:themeColor="text1"/>
        </w:rPr>
        <w:t xml:space="preserve">Archaeal patterns </w:t>
      </w:r>
    </w:p>
    <w:p w14:paraId="6AD3305D" w14:textId="77777777" w:rsidR="00824006" w:rsidRPr="00A84639" w:rsidRDefault="00824006" w:rsidP="00AA6C28">
      <w:pPr>
        <w:jc w:val="both"/>
        <w:rPr>
          <w:rFonts w:asciiTheme="majorBidi" w:hAnsiTheme="majorBidi" w:cstheme="majorBidi"/>
          <w:color w:val="000000" w:themeColor="text1"/>
        </w:rPr>
      </w:pPr>
      <w:r w:rsidRPr="00A84639">
        <w:rPr>
          <w:rFonts w:asciiTheme="majorBidi" w:hAnsiTheme="majorBidi" w:cstheme="majorBidi"/>
          <w:i/>
          <w:iCs/>
          <w:color w:val="000000" w:themeColor="text1"/>
        </w:rPr>
        <w:t>Bathyarchaeia</w:t>
      </w:r>
      <w:r w:rsidRPr="00A84639">
        <w:rPr>
          <w:rFonts w:asciiTheme="majorBidi" w:hAnsiTheme="majorBidi" w:cstheme="majorBidi"/>
          <w:color w:val="000000" w:themeColor="text1"/>
        </w:rPr>
        <w:t xml:space="preserve"> comprised 13%–14% at the surface and 14%–44% at 1 m depth, peaking at 41% in Majarrah Mounds.</w:t>
      </w:r>
      <w:r w:rsidRPr="00A84639">
        <w:rPr>
          <w:rFonts w:asciiTheme="majorBidi" w:hAnsiTheme="majorBidi" w:cstheme="majorBidi"/>
          <w:i/>
          <w:iCs/>
          <w:color w:val="000000" w:themeColor="text1"/>
        </w:rPr>
        <w:t xml:space="preserve"> Bathyarchaeia</w:t>
      </w:r>
      <w:r w:rsidRPr="00A84639">
        <w:rPr>
          <w:rFonts w:asciiTheme="majorBidi" w:hAnsiTheme="majorBidi" w:cstheme="majorBidi"/>
          <w:color w:val="000000" w:themeColor="text1"/>
        </w:rPr>
        <w:t xml:space="preserve"> have been identified as one of the dominant archaeal groups in subseafloor sediment layers of the northern Red Sea (9), in biofilms at the Thuwal cold seep brine pool (112), and in deep-sea sediments from the Juan de Fuca Ridge (54). DNA sequences from the Nereus Deep brine pool have shown close similarity to a Candidatus </w:t>
      </w:r>
      <w:r w:rsidRPr="00A84639">
        <w:rPr>
          <w:rFonts w:asciiTheme="majorBidi" w:hAnsiTheme="majorBidi" w:cstheme="majorBidi"/>
          <w:i/>
          <w:iCs/>
          <w:color w:val="000000" w:themeColor="text1"/>
        </w:rPr>
        <w:t xml:space="preserve">Bathyarchaeia </w:t>
      </w:r>
      <w:r w:rsidRPr="00A84639">
        <w:rPr>
          <w:rFonts w:asciiTheme="majorBidi" w:hAnsiTheme="majorBidi" w:cstheme="majorBidi"/>
          <w:color w:val="000000" w:themeColor="text1"/>
        </w:rPr>
        <w:t>archaeon initially recovered from Guaymas Basin sediments (113). Building on these observations, our analysis revealed distinct trends in</w:t>
      </w:r>
      <w:r w:rsidRPr="00A84639">
        <w:rPr>
          <w:rFonts w:asciiTheme="majorBidi" w:hAnsiTheme="majorBidi" w:cstheme="majorBidi"/>
          <w:i/>
          <w:iCs/>
          <w:color w:val="000000" w:themeColor="text1"/>
        </w:rPr>
        <w:t xml:space="preserve"> Bathyarchaeia</w:t>
      </w:r>
      <w:r w:rsidRPr="00A84639">
        <w:rPr>
          <w:rFonts w:asciiTheme="majorBidi" w:hAnsiTheme="majorBidi" w:cstheme="majorBidi"/>
          <w:color w:val="000000" w:themeColor="text1"/>
        </w:rPr>
        <w:t xml:space="preserve"> abundance and community structure in relation to hydrothermal activity and depth in the Hatiba region of the Red Sea. Archaea were more abundant at 1 m depth, with </w:t>
      </w:r>
      <w:r w:rsidRPr="00A84639">
        <w:rPr>
          <w:rFonts w:asciiTheme="majorBidi" w:hAnsiTheme="majorBidi" w:cstheme="majorBidi"/>
          <w:i/>
          <w:iCs/>
          <w:color w:val="000000" w:themeColor="text1"/>
        </w:rPr>
        <w:t>Thermoproteota</w:t>
      </w:r>
      <w:r w:rsidRPr="00A84639">
        <w:rPr>
          <w:rFonts w:asciiTheme="majorBidi" w:hAnsiTheme="majorBidi" w:cstheme="majorBidi"/>
          <w:color w:val="000000" w:themeColor="text1"/>
        </w:rPr>
        <w:t xml:space="preserve"> emerging (48%) at 1 m depth in Baja’ah Mounds and Kabir Field. </w:t>
      </w:r>
    </w:p>
    <w:p w14:paraId="42F360D0" w14:textId="77777777" w:rsidR="00824006" w:rsidRPr="00A84639" w:rsidRDefault="00824006" w:rsidP="00AA6C28">
      <w:pPr>
        <w:jc w:val="both"/>
        <w:rPr>
          <w:rFonts w:asciiTheme="majorBidi" w:hAnsiTheme="majorBidi" w:cstheme="majorBidi"/>
          <w:color w:val="000000" w:themeColor="text1"/>
        </w:rPr>
      </w:pPr>
      <w:r w:rsidRPr="00A84639">
        <w:rPr>
          <w:rFonts w:asciiTheme="majorBidi" w:hAnsiTheme="majorBidi" w:cstheme="majorBidi"/>
          <w:color w:val="000000" w:themeColor="text1"/>
        </w:rPr>
        <w:t xml:space="preserve">In the microbial mats, </w:t>
      </w:r>
      <w:r w:rsidRPr="00A84639">
        <w:rPr>
          <w:rFonts w:asciiTheme="majorBidi" w:hAnsiTheme="majorBidi" w:cstheme="majorBidi"/>
          <w:i/>
          <w:iCs/>
          <w:color w:val="000000" w:themeColor="text1"/>
        </w:rPr>
        <w:t>Pseudomonadota</w:t>
      </w:r>
      <w:r w:rsidRPr="00A84639">
        <w:rPr>
          <w:rFonts w:asciiTheme="majorBidi" w:hAnsiTheme="majorBidi" w:cstheme="majorBidi"/>
          <w:color w:val="000000" w:themeColor="text1"/>
        </w:rPr>
        <w:t xml:space="preserve"> dominated, with </w:t>
      </w:r>
      <w:r w:rsidRPr="00A84639">
        <w:rPr>
          <w:rFonts w:asciiTheme="majorBidi" w:hAnsiTheme="majorBidi" w:cstheme="majorBidi"/>
          <w:i/>
          <w:iCs/>
          <w:color w:val="000000" w:themeColor="text1"/>
        </w:rPr>
        <w:t>Alphaproteobacteria</w:t>
      </w:r>
      <w:r w:rsidRPr="00A84639">
        <w:rPr>
          <w:rFonts w:asciiTheme="majorBidi" w:hAnsiTheme="majorBidi" w:cstheme="majorBidi"/>
          <w:color w:val="000000" w:themeColor="text1"/>
        </w:rPr>
        <w:t xml:space="preserve"> at 9% and </w:t>
      </w:r>
      <w:r w:rsidRPr="00A84639">
        <w:rPr>
          <w:rFonts w:asciiTheme="majorBidi" w:hAnsiTheme="majorBidi" w:cstheme="majorBidi"/>
          <w:i/>
          <w:iCs/>
          <w:color w:val="000000" w:themeColor="text1"/>
        </w:rPr>
        <w:t xml:space="preserve">Gammaproteobacteria </w:t>
      </w:r>
      <w:r w:rsidRPr="00A84639">
        <w:rPr>
          <w:rFonts w:asciiTheme="majorBidi" w:hAnsiTheme="majorBidi" w:cstheme="majorBidi"/>
          <w:color w:val="000000" w:themeColor="text1"/>
        </w:rPr>
        <w:t xml:space="preserve">at 8%. </w:t>
      </w:r>
      <w:r w:rsidRPr="00A84639">
        <w:rPr>
          <w:rFonts w:asciiTheme="majorBidi" w:hAnsiTheme="majorBidi" w:cstheme="majorBidi"/>
          <w:i/>
          <w:iCs/>
          <w:color w:val="000000" w:themeColor="text1"/>
        </w:rPr>
        <w:t>Thermoproteota</w:t>
      </w:r>
      <w:r w:rsidRPr="00A84639">
        <w:rPr>
          <w:rFonts w:asciiTheme="majorBidi" w:hAnsiTheme="majorBidi" w:cstheme="majorBidi"/>
          <w:color w:val="000000" w:themeColor="text1"/>
        </w:rPr>
        <w:t xml:space="preserve"> followed at 11%, with</w:t>
      </w:r>
      <w:r w:rsidRPr="00A84639">
        <w:rPr>
          <w:rFonts w:asciiTheme="majorBidi" w:hAnsiTheme="majorBidi" w:cstheme="majorBidi"/>
          <w:i/>
          <w:iCs/>
          <w:color w:val="000000" w:themeColor="text1"/>
        </w:rPr>
        <w:t xml:space="preserve"> Nitrososphaeria</w:t>
      </w:r>
      <w:r w:rsidRPr="00A84639">
        <w:rPr>
          <w:rFonts w:asciiTheme="majorBidi" w:hAnsiTheme="majorBidi" w:cstheme="majorBidi"/>
          <w:color w:val="000000" w:themeColor="text1"/>
        </w:rPr>
        <w:t xml:space="preserve"> at 8% as the dominant class. </w:t>
      </w:r>
    </w:p>
    <w:p w14:paraId="0DD5DD50" w14:textId="77777777" w:rsidR="00824006" w:rsidRPr="00A84639" w:rsidRDefault="00824006" w:rsidP="00AA6C28">
      <w:pPr>
        <w:jc w:val="both"/>
        <w:rPr>
          <w:rFonts w:asciiTheme="majorBidi" w:hAnsiTheme="majorBidi" w:cstheme="majorBidi"/>
          <w:i/>
          <w:iCs/>
          <w:color w:val="000000" w:themeColor="text1"/>
        </w:rPr>
      </w:pPr>
      <w:r w:rsidRPr="00A84639">
        <w:rPr>
          <w:rFonts w:asciiTheme="majorBidi" w:hAnsiTheme="majorBidi" w:cstheme="majorBidi"/>
          <w:i/>
          <w:iCs/>
          <w:color w:val="000000" w:themeColor="text1"/>
        </w:rPr>
        <w:t>Community shifts along hydrothermal activity gradients</w:t>
      </w:r>
    </w:p>
    <w:p w14:paraId="6098000E" w14:textId="1E981EC2" w:rsidR="00824006" w:rsidRPr="00A84639" w:rsidRDefault="00824006" w:rsidP="00AA6C28">
      <w:pPr>
        <w:jc w:val="both"/>
        <w:rPr>
          <w:rFonts w:asciiTheme="majorBidi" w:hAnsiTheme="majorBidi" w:cstheme="majorBidi"/>
          <w:color w:val="000000" w:themeColor="text1"/>
        </w:rPr>
      </w:pPr>
      <w:r w:rsidRPr="00A84639">
        <w:rPr>
          <w:rFonts w:asciiTheme="majorBidi" w:hAnsiTheme="majorBidi" w:cstheme="majorBidi"/>
          <w:color w:val="000000" w:themeColor="text1"/>
        </w:rPr>
        <w:lastRenderedPageBreak/>
        <w:t xml:space="preserve">Beta diversity analysis revealed distinct groups at both depths based on hydrothermal activity levels. At the surface, Fe–rich precipitates indicating high hydrothermal activity (n = 5) were significantly different from those with high background sedimentary input (Ca-rich, n = 9, p = 0.02) and were marginally distinct from precipitates with low hydrothermal activity (Mn-rich, n = 3, p = 0.046) (Supplementary Table S3; Fig. 2B). At 1 m depth, the community composition of samples with high hydrothermal activity (n = 8) was significantly different from those with low hydrothermal activity (n = 3, p = 0.005) and from samples with high background sedimentary input (n = 3, p = 0.01). The background and low hydrothermal activity precipitates exhibited no significant difference in community composition at this depth. </w:t>
      </w:r>
      <w:r w:rsidRPr="00A84639">
        <w:rPr>
          <w:rFonts w:asciiTheme="majorBidi" w:hAnsiTheme="majorBidi" w:cstheme="majorBidi"/>
          <w:i/>
          <w:iCs/>
          <w:color w:val="000000" w:themeColor="text1"/>
        </w:rPr>
        <w:t>Bathyarchaeia</w:t>
      </w:r>
      <w:r w:rsidRPr="00A84639">
        <w:rPr>
          <w:rFonts w:asciiTheme="majorBidi" w:hAnsiTheme="majorBidi" w:cstheme="majorBidi"/>
          <w:color w:val="000000" w:themeColor="text1"/>
        </w:rPr>
        <w:t xml:space="preserve"> were more abundant in precipitates with high hydrothermal activity (p = 0.001) compared with those with high background sedimentary input. Low hydrothermal activity showed a trend of higher </w:t>
      </w:r>
      <w:r w:rsidRPr="00A84639">
        <w:rPr>
          <w:rFonts w:asciiTheme="majorBidi" w:hAnsiTheme="majorBidi" w:cstheme="majorBidi"/>
          <w:i/>
          <w:iCs/>
          <w:color w:val="000000" w:themeColor="text1"/>
        </w:rPr>
        <w:t>Bathyarchaeia</w:t>
      </w:r>
      <w:r w:rsidRPr="00A84639">
        <w:rPr>
          <w:rFonts w:asciiTheme="majorBidi" w:hAnsiTheme="majorBidi" w:cstheme="majorBidi"/>
          <w:color w:val="000000" w:themeColor="text1"/>
        </w:rPr>
        <w:t xml:space="preserve"> abundance than precipitates with high background sedimentary input (p.adj = 0.05)</w:t>
      </w:r>
      <w:r w:rsidR="00AA6C28" w:rsidRPr="00A84639">
        <w:rPr>
          <w:rFonts w:asciiTheme="majorBidi" w:hAnsiTheme="majorBidi" w:cstheme="majorBidi"/>
          <w:color w:val="000000" w:themeColor="text1"/>
        </w:rPr>
        <w:t>.</w:t>
      </w:r>
      <w:r w:rsidRPr="00A84639">
        <w:rPr>
          <w:rFonts w:asciiTheme="majorBidi" w:hAnsiTheme="majorBidi" w:cstheme="majorBidi"/>
          <w:color w:val="000000" w:themeColor="text1"/>
        </w:rPr>
        <w:t xml:space="preserve"> </w:t>
      </w:r>
      <w:r w:rsidR="00AA6C28" w:rsidRPr="00A84639">
        <w:rPr>
          <w:rFonts w:asciiTheme="majorBidi" w:hAnsiTheme="majorBidi" w:cstheme="majorBidi"/>
          <w:color w:val="000000" w:themeColor="text1"/>
        </w:rPr>
        <w:t>However,</w:t>
      </w:r>
      <w:r w:rsidRPr="00A84639">
        <w:rPr>
          <w:rFonts w:asciiTheme="majorBidi" w:hAnsiTheme="majorBidi" w:cstheme="majorBidi"/>
          <w:color w:val="000000" w:themeColor="text1"/>
        </w:rPr>
        <w:t xml:space="preserve"> the difference in</w:t>
      </w:r>
      <w:r w:rsidRPr="00A84639">
        <w:rPr>
          <w:rFonts w:asciiTheme="majorBidi" w:hAnsiTheme="majorBidi" w:cstheme="majorBidi"/>
          <w:i/>
          <w:iCs/>
          <w:color w:val="000000" w:themeColor="text1"/>
        </w:rPr>
        <w:t xml:space="preserve"> Bathyarchaeia</w:t>
      </w:r>
      <w:r w:rsidRPr="00A84639">
        <w:rPr>
          <w:rFonts w:asciiTheme="majorBidi" w:hAnsiTheme="majorBidi" w:cstheme="majorBidi"/>
          <w:color w:val="000000" w:themeColor="text1"/>
        </w:rPr>
        <w:t xml:space="preserve"> abundance between low and high hydrothermal activity was not significant (p &gt; 0.05). </w:t>
      </w:r>
    </w:p>
    <w:p w14:paraId="4247098E" w14:textId="77777777" w:rsidR="00824006" w:rsidRPr="00A84639" w:rsidRDefault="00824006" w:rsidP="00AA6C28">
      <w:pPr>
        <w:jc w:val="both"/>
        <w:rPr>
          <w:rFonts w:asciiTheme="majorBidi" w:hAnsiTheme="majorBidi" w:cstheme="majorBidi"/>
          <w:i/>
          <w:iCs/>
          <w:color w:val="000000" w:themeColor="text1"/>
        </w:rPr>
      </w:pPr>
      <w:r w:rsidRPr="00A84639">
        <w:rPr>
          <w:rFonts w:asciiTheme="majorBidi" w:hAnsiTheme="majorBidi" w:cstheme="majorBidi"/>
          <w:i/>
          <w:iCs/>
          <w:color w:val="000000" w:themeColor="text1"/>
        </w:rPr>
        <w:t>Species diversity patterns and elemental influences</w:t>
      </w:r>
    </w:p>
    <w:p w14:paraId="3A4658B7" w14:textId="77777777" w:rsidR="00824006" w:rsidRPr="00A84639" w:rsidRDefault="00824006" w:rsidP="00AA6C28">
      <w:pPr>
        <w:jc w:val="both"/>
        <w:rPr>
          <w:rFonts w:asciiTheme="majorBidi" w:hAnsiTheme="majorBidi" w:cstheme="majorBidi"/>
          <w:color w:val="000000" w:themeColor="text1"/>
        </w:rPr>
      </w:pPr>
      <w:r w:rsidRPr="00A84639">
        <w:rPr>
          <w:rFonts w:asciiTheme="majorBidi" w:hAnsiTheme="majorBidi" w:cstheme="majorBidi"/>
          <w:color w:val="000000" w:themeColor="text1"/>
        </w:rPr>
        <w:t xml:space="preserve">Alpha diversity at the ASV level provided comparable diversity across the samples (Fig. 2C, Supplementary Table S4). Some surface samples from Majarrah Mounds had lower diversity than other surface samples, while other samples from Majarrah Mounds showed high diversity at both depths (Fig. 2C). This local variation in Majarrah Mounds surface precipitates was evident: TH9/22_GC1-4, which had abundant </w:t>
      </w:r>
      <w:r w:rsidRPr="00A84639">
        <w:rPr>
          <w:rFonts w:asciiTheme="majorBidi" w:hAnsiTheme="majorBidi" w:cstheme="majorBidi"/>
          <w:i/>
          <w:iCs/>
          <w:color w:val="000000" w:themeColor="text1"/>
        </w:rPr>
        <w:t>Thermoproteota</w:t>
      </w:r>
      <w:r w:rsidRPr="00A84639">
        <w:rPr>
          <w:rFonts w:asciiTheme="majorBidi" w:hAnsiTheme="majorBidi" w:cstheme="majorBidi"/>
          <w:color w:val="000000" w:themeColor="text1"/>
        </w:rPr>
        <w:t xml:space="preserve">, exhibited lower diversity, while TH9/22_GC1-1 showed higher bacterial diversity. Both sites have high hydrothermal activity, but the lower diversity and high archaeal abundance in TH9/22_GC1-4 are likely due to higher temperatures inferred from elevated trace elements and S, although the temperature was not directly measured. No significant differences in diversity were observed within surface or 1 m depth samples based on hydrothermal activity levels. The Shannon diversity index showed a negative correlation with S concentrations and a positive correlation with Mn concentrations (Supplementary Table S5). No correlation was found between Shannon diversity and iron (Fe) content in the precipitate samples. However, none of these correlations met the Spearman critical value of ±0.56 for statistical significance, indicating the need for further investigation with larger sample sizes. Shannon diversity indices at the ASV level in our samples ranged from 6.07 at 1 m depth to 7.57 at the seafloor surface, indicating higher diversity in surface precipitates. </w:t>
      </w:r>
    </w:p>
    <w:p w14:paraId="37C62CF0" w14:textId="77777777" w:rsidR="00824006" w:rsidRPr="00A84639" w:rsidRDefault="00824006" w:rsidP="00AA6C28">
      <w:pPr>
        <w:jc w:val="both"/>
        <w:rPr>
          <w:rFonts w:asciiTheme="majorBidi" w:hAnsiTheme="majorBidi" w:cstheme="majorBidi"/>
          <w:b/>
          <w:bCs/>
          <w:color w:val="000000" w:themeColor="text1"/>
        </w:rPr>
      </w:pPr>
      <w:r w:rsidRPr="00A84639">
        <w:rPr>
          <w:rFonts w:asciiTheme="majorBidi" w:hAnsiTheme="majorBidi" w:cstheme="majorBidi"/>
          <w:b/>
          <w:bCs/>
          <w:color w:val="000000" w:themeColor="text1"/>
        </w:rPr>
        <w:t>Supplementary Text 2. Hydrogen metabolism potential</w:t>
      </w:r>
    </w:p>
    <w:p w14:paraId="48B6BF77" w14:textId="77777777" w:rsidR="00824006" w:rsidRPr="00A84639" w:rsidRDefault="00824006" w:rsidP="00AA6C28">
      <w:pPr>
        <w:jc w:val="both"/>
        <w:rPr>
          <w:rFonts w:asciiTheme="majorBidi" w:hAnsiTheme="majorBidi" w:cstheme="majorBidi"/>
          <w:color w:val="000000" w:themeColor="text1"/>
        </w:rPr>
      </w:pPr>
      <w:r w:rsidRPr="00A84639">
        <w:rPr>
          <w:rFonts w:asciiTheme="majorBidi" w:hAnsiTheme="majorBidi" w:cstheme="majorBidi"/>
          <w:color w:val="000000" w:themeColor="text1"/>
        </w:rPr>
        <w:t xml:space="preserve">Hydrogen oxidation genes assigned to NiFe hydrogenase group 1 were detected in 26 bacterial MAGs (10%). Genes affiliated with NiFe hydrogenase groups 3c–a and 3abd, which indicate potential for bidirectional H₂ oxidation and production, were detected in 24 bacterial MAGs (10%). Genes assigned to FeFe hydrogenase Group C1, associated with potential H₂ production, were identified in six MAGs (2%) (Supplementary Fig. S7). NiFe hydrogenase group 4ag genes were present in seven bacterial MAGs (3%). In archaea, NiFe hydrogenase genes (groups 4ag, 3c, and </w:t>
      </w:r>
      <w:r w:rsidRPr="00A84639">
        <w:rPr>
          <w:rFonts w:asciiTheme="majorBidi" w:hAnsiTheme="majorBidi" w:cstheme="majorBidi"/>
          <w:color w:val="000000" w:themeColor="text1"/>
        </w:rPr>
        <w:lastRenderedPageBreak/>
        <w:t xml:space="preserve">1) were detected in 15 MAGs (23%). Three MAGs showed distinct repertoires compared to their closest relatives (Supplementary Table S7). A </w:t>
      </w:r>
      <w:r w:rsidRPr="00A84639">
        <w:rPr>
          <w:rFonts w:asciiTheme="majorBidi" w:hAnsiTheme="majorBidi" w:cstheme="majorBidi"/>
          <w:i/>
          <w:iCs/>
          <w:color w:val="000000" w:themeColor="text1"/>
        </w:rPr>
        <w:t>Thiogranum</w:t>
      </w:r>
      <w:r w:rsidRPr="00A84639">
        <w:rPr>
          <w:rFonts w:asciiTheme="majorBidi" w:hAnsiTheme="majorBidi" w:cstheme="majorBidi"/>
          <w:color w:val="000000" w:themeColor="text1"/>
        </w:rPr>
        <w:t xml:space="preserve"> MAG (ANI = 83.8% to a Tonga vent rock genome) and a</w:t>
      </w:r>
      <w:r w:rsidRPr="00A84639">
        <w:rPr>
          <w:rFonts w:asciiTheme="majorBidi" w:hAnsiTheme="majorBidi" w:cstheme="majorBidi"/>
          <w:i/>
          <w:iCs/>
          <w:color w:val="000000" w:themeColor="text1"/>
        </w:rPr>
        <w:t xml:space="preserve"> Poribacteria </w:t>
      </w:r>
      <w:r w:rsidRPr="00A84639">
        <w:rPr>
          <w:rFonts w:asciiTheme="majorBidi" w:hAnsiTheme="majorBidi" w:cstheme="majorBidi"/>
          <w:color w:val="000000" w:themeColor="text1"/>
        </w:rPr>
        <w:t xml:space="preserve">MAG (ANI = 87.3% to a Mid-Cayman vent fluid genome) both encoded NiFe hydrogenase group 1, while a Scalindua MAG (ANI = 92.6% to an Atlantic pelagic genome) carried NiFe hydrogenase groups 3c and group 4ag. </w:t>
      </w:r>
    </w:p>
    <w:p w14:paraId="25DC0EA0" w14:textId="77777777" w:rsidR="00824006" w:rsidRPr="00A84639" w:rsidRDefault="00824006" w:rsidP="00AA6C28">
      <w:pPr>
        <w:jc w:val="both"/>
        <w:rPr>
          <w:rFonts w:asciiTheme="majorBidi" w:hAnsiTheme="majorBidi" w:cstheme="majorBidi"/>
          <w:b/>
          <w:bCs/>
          <w:color w:val="000000" w:themeColor="text1"/>
        </w:rPr>
      </w:pPr>
      <w:r w:rsidRPr="00A84639">
        <w:rPr>
          <w:rFonts w:asciiTheme="majorBidi" w:hAnsiTheme="majorBidi" w:cstheme="majorBidi"/>
          <w:b/>
          <w:bCs/>
          <w:color w:val="000000" w:themeColor="text1"/>
        </w:rPr>
        <w:t>Supplementary Text 3. Carbon metabolism potential (detailed data)</w:t>
      </w:r>
    </w:p>
    <w:p w14:paraId="0629D42A" w14:textId="60F0237C" w:rsidR="00824006" w:rsidRPr="00A84639" w:rsidRDefault="00824006" w:rsidP="00AA6C28">
      <w:pPr>
        <w:jc w:val="both"/>
        <w:rPr>
          <w:rFonts w:asciiTheme="majorBidi" w:hAnsiTheme="majorBidi" w:cstheme="majorBidi"/>
          <w:i/>
          <w:iCs/>
          <w:color w:val="000000" w:themeColor="text1"/>
        </w:rPr>
      </w:pPr>
      <w:r w:rsidRPr="00A84639">
        <w:rPr>
          <w:rFonts w:asciiTheme="majorBidi" w:hAnsiTheme="majorBidi" w:cstheme="majorBidi"/>
          <w:i/>
          <w:iCs/>
          <w:color w:val="000000" w:themeColor="text1"/>
        </w:rPr>
        <w:t>Fermentation and acetogenesis</w:t>
      </w:r>
    </w:p>
    <w:p w14:paraId="0DBD000A" w14:textId="77777777" w:rsidR="00824006" w:rsidRPr="00A84639" w:rsidRDefault="00824006" w:rsidP="00AA6C28">
      <w:pPr>
        <w:jc w:val="both"/>
        <w:rPr>
          <w:rFonts w:asciiTheme="majorBidi" w:hAnsiTheme="majorBidi" w:cstheme="majorBidi"/>
          <w:color w:val="000000" w:themeColor="text1"/>
        </w:rPr>
      </w:pPr>
      <w:r w:rsidRPr="00A84639">
        <w:rPr>
          <w:rFonts w:asciiTheme="majorBidi" w:hAnsiTheme="majorBidi" w:cstheme="majorBidi"/>
          <w:color w:val="000000" w:themeColor="text1"/>
        </w:rPr>
        <w:t xml:space="preserve">Fermentation genes were found in 220 bacterial (88%) and 55 archaeal MAGs (86%). In archaeal genomes, pyruvate oxidation was detected in 39 MAGs (61%), the acetogenesis gene </w:t>
      </w:r>
      <w:r w:rsidRPr="00A84639">
        <w:rPr>
          <w:rFonts w:asciiTheme="majorBidi" w:hAnsiTheme="majorBidi" w:cstheme="majorBidi"/>
          <w:i/>
          <w:iCs/>
          <w:color w:val="000000" w:themeColor="text1"/>
        </w:rPr>
        <w:t xml:space="preserve">acdA </w:t>
      </w:r>
      <w:r w:rsidRPr="00A84639">
        <w:rPr>
          <w:rFonts w:asciiTheme="majorBidi" w:hAnsiTheme="majorBidi" w:cstheme="majorBidi"/>
          <w:color w:val="000000" w:themeColor="text1"/>
        </w:rPr>
        <w:t>in 45 MAGs (70%), and acetate-to-acetyl-CoA conversion (</w:t>
      </w:r>
      <w:r w:rsidRPr="00A84639">
        <w:rPr>
          <w:rFonts w:asciiTheme="majorBidi" w:hAnsiTheme="majorBidi" w:cstheme="majorBidi"/>
          <w:i/>
          <w:iCs/>
          <w:color w:val="000000" w:themeColor="text1"/>
        </w:rPr>
        <w:t>acs</w:t>
      </w:r>
      <w:r w:rsidRPr="00A84639">
        <w:rPr>
          <w:rFonts w:asciiTheme="majorBidi" w:hAnsiTheme="majorBidi" w:cstheme="majorBidi"/>
          <w:color w:val="000000" w:themeColor="text1"/>
        </w:rPr>
        <w:t>) in 26 MAGs (41%), indicating diverse pathways for anaerobic energy conservation.</w:t>
      </w:r>
    </w:p>
    <w:p w14:paraId="26B73CA0" w14:textId="4D80CAC7" w:rsidR="00824006" w:rsidRPr="00A84639" w:rsidRDefault="00824006" w:rsidP="00AA6C28">
      <w:pPr>
        <w:jc w:val="both"/>
        <w:rPr>
          <w:rFonts w:asciiTheme="majorBidi" w:hAnsiTheme="majorBidi" w:cstheme="majorBidi"/>
          <w:i/>
          <w:iCs/>
          <w:color w:val="000000" w:themeColor="text1"/>
        </w:rPr>
      </w:pPr>
      <w:r w:rsidRPr="00A84639">
        <w:rPr>
          <w:rFonts w:asciiTheme="majorBidi" w:hAnsiTheme="majorBidi" w:cstheme="majorBidi"/>
          <w:i/>
          <w:iCs/>
          <w:color w:val="000000" w:themeColor="text1"/>
        </w:rPr>
        <w:t>Aromatic compound degradation</w:t>
      </w:r>
    </w:p>
    <w:p w14:paraId="5E9D9A6B" w14:textId="77777777" w:rsidR="00824006" w:rsidRPr="00A84639" w:rsidRDefault="00824006" w:rsidP="00AA6C28">
      <w:pPr>
        <w:jc w:val="both"/>
        <w:rPr>
          <w:rFonts w:asciiTheme="majorBidi" w:hAnsiTheme="majorBidi" w:cstheme="majorBidi"/>
          <w:color w:val="000000" w:themeColor="text1"/>
        </w:rPr>
      </w:pPr>
      <w:r w:rsidRPr="00A84639">
        <w:rPr>
          <w:rFonts w:asciiTheme="majorBidi" w:hAnsiTheme="majorBidi" w:cstheme="majorBidi"/>
          <w:color w:val="000000" w:themeColor="text1"/>
        </w:rPr>
        <w:t>Aromatic compound degradation capacity was highly prevalent. Flavin prenyltransferase (</w:t>
      </w:r>
      <w:r w:rsidRPr="00A84639">
        <w:rPr>
          <w:rFonts w:asciiTheme="majorBidi" w:hAnsiTheme="majorBidi" w:cstheme="majorBidi"/>
          <w:i/>
          <w:iCs/>
          <w:color w:val="000000" w:themeColor="text1"/>
        </w:rPr>
        <w:t>ubiX</w:t>
      </w:r>
      <w:r w:rsidRPr="00A84639">
        <w:rPr>
          <w:rFonts w:asciiTheme="majorBidi" w:hAnsiTheme="majorBidi" w:cstheme="majorBidi"/>
          <w:color w:val="000000" w:themeColor="text1"/>
        </w:rPr>
        <w:t>) was found in 125 bacterial (50%) and 43 archaeal MAGs (67%). Additionally, genes encoding benzoyl-CoA reductase subunits A, B, C, and D (</w:t>
      </w:r>
      <w:r w:rsidRPr="00A84639">
        <w:rPr>
          <w:rFonts w:asciiTheme="majorBidi" w:hAnsiTheme="majorBidi" w:cstheme="majorBidi"/>
          <w:i/>
          <w:iCs/>
          <w:color w:val="000000" w:themeColor="text1"/>
        </w:rPr>
        <w:t>bcrABCD</w:t>
      </w:r>
      <w:r w:rsidRPr="00A84639">
        <w:rPr>
          <w:rFonts w:asciiTheme="majorBidi" w:hAnsiTheme="majorBidi" w:cstheme="majorBidi"/>
          <w:color w:val="000000" w:themeColor="text1"/>
        </w:rPr>
        <w:t xml:space="preserve">), essential for the anaerobic degradation of aromatic compounds, were present in 109 bacterial (44%) and 44 archaeal MAGs (69%). </w:t>
      </w:r>
    </w:p>
    <w:p w14:paraId="5F39E1F9" w14:textId="1171957E" w:rsidR="00824006" w:rsidRPr="00A84639" w:rsidRDefault="00824006" w:rsidP="00AA6C28">
      <w:pPr>
        <w:jc w:val="both"/>
        <w:rPr>
          <w:rFonts w:asciiTheme="majorBidi" w:hAnsiTheme="majorBidi" w:cstheme="majorBidi"/>
          <w:i/>
          <w:iCs/>
          <w:color w:val="000000" w:themeColor="text1"/>
        </w:rPr>
      </w:pPr>
      <w:r w:rsidRPr="00A84639">
        <w:rPr>
          <w:rFonts w:asciiTheme="majorBidi" w:hAnsiTheme="majorBidi" w:cstheme="majorBidi"/>
          <w:i/>
          <w:iCs/>
          <w:color w:val="000000" w:themeColor="text1"/>
        </w:rPr>
        <w:t>Ethanol fermentation</w:t>
      </w:r>
    </w:p>
    <w:p w14:paraId="4A9EE4E6" w14:textId="77777777" w:rsidR="00824006" w:rsidRPr="00A84639" w:rsidRDefault="00824006" w:rsidP="00AA6C28">
      <w:pPr>
        <w:jc w:val="both"/>
        <w:rPr>
          <w:rFonts w:asciiTheme="majorBidi" w:hAnsiTheme="majorBidi" w:cstheme="majorBidi"/>
          <w:color w:val="000000" w:themeColor="text1"/>
        </w:rPr>
      </w:pPr>
      <w:r w:rsidRPr="00A84639">
        <w:rPr>
          <w:rFonts w:asciiTheme="majorBidi" w:hAnsiTheme="majorBidi" w:cstheme="majorBidi"/>
          <w:color w:val="000000" w:themeColor="text1"/>
        </w:rPr>
        <w:t xml:space="preserve">Ethanol fermentation was identified in six bacterial MAGs (2%) as indicated by a gene that catalyzes the conversion of acetaldehyde to ethanol. </w:t>
      </w:r>
    </w:p>
    <w:p w14:paraId="4CC0246B" w14:textId="7BE16877" w:rsidR="00824006" w:rsidRPr="00A84639" w:rsidRDefault="00824006" w:rsidP="00AA6C28">
      <w:pPr>
        <w:jc w:val="both"/>
        <w:rPr>
          <w:rFonts w:asciiTheme="majorBidi" w:hAnsiTheme="majorBidi" w:cstheme="majorBidi"/>
          <w:i/>
          <w:iCs/>
          <w:color w:val="000000" w:themeColor="text1"/>
        </w:rPr>
      </w:pPr>
      <w:r w:rsidRPr="00A84639">
        <w:rPr>
          <w:rFonts w:asciiTheme="majorBidi" w:hAnsiTheme="majorBidi" w:cstheme="majorBidi"/>
          <w:i/>
          <w:iCs/>
          <w:color w:val="000000" w:themeColor="text1"/>
        </w:rPr>
        <w:t>Methane metabolism</w:t>
      </w:r>
    </w:p>
    <w:p w14:paraId="0242070C" w14:textId="77777777" w:rsidR="00824006" w:rsidRPr="00A84639" w:rsidRDefault="00824006" w:rsidP="00AA6C28">
      <w:pPr>
        <w:jc w:val="both"/>
        <w:rPr>
          <w:rFonts w:asciiTheme="majorBidi" w:hAnsiTheme="majorBidi" w:cstheme="majorBidi"/>
          <w:color w:val="000000" w:themeColor="text1"/>
        </w:rPr>
      </w:pPr>
      <w:r w:rsidRPr="00A84639">
        <w:rPr>
          <w:rFonts w:asciiTheme="majorBidi" w:hAnsiTheme="majorBidi" w:cstheme="majorBidi"/>
          <w:color w:val="000000" w:themeColor="text1"/>
        </w:rPr>
        <w:t>Methane oxidation, mediated by the soluble methane monooxygenase (</w:t>
      </w:r>
      <w:r w:rsidRPr="00A84639">
        <w:rPr>
          <w:rFonts w:asciiTheme="majorBidi" w:hAnsiTheme="majorBidi" w:cstheme="majorBidi"/>
          <w:i/>
          <w:iCs/>
          <w:color w:val="000000" w:themeColor="text1"/>
        </w:rPr>
        <w:t>mmoB</w:t>
      </w:r>
      <w:r w:rsidRPr="00A84639">
        <w:rPr>
          <w:rFonts w:asciiTheme="majorBidi" w:hAnsiTheme="majorBidi" w:cstheme="majorBidi"/>
          <w:color w:val="000000" w:themeColor="text1"/>
        </w:rPr>
        <w:t>) gene, was detected in 16 bacterial genomes (6%) across several phyla. In archaea, the methane-producing genes (</w:t>
      </w:r>
      <w:r w:rsidRPr="00A84639">
        <w:rPr>
          <w:rFonts w:asciiTheme="majorBidi" w:hAnsiTheme="majorBidi" w:cstheme="majorBidi"/>
          <w:i/>
          <w:iCs/>
          <w:color w:val="000000" w:themeColor="text1"/>
        </w:rPr>
        <w:t>mcrA</w:t>
      </w:r>
      <w:r w:rsidRPr="00A84639">
        <w:rPr>
          <w:rFonts w:asciiTheme="majorBidi" w:hAnsiTheme="majorBidi" w:cstheme="majorBidi"/>
          <w:color w:val="000000" w:themeColor="text1"/>
        </w:rPr>
        <w:t xml:space="preserve">, </w:t>
      </w:r>
      <w:r w:rsidRPr="00A84639">
        <w:rPr>
          <w:rFonts w:asciiTheme="majorBidi" w:hAnsiTheme="majorBidi" w:cstheme="majorBidi"/>
          <w:i/>
          <w:iCs/>
          <w:color w:val="000000" w:themeColor="text1"/>
        </w:rPr>
        <w:t>mcrB</w:t>
      </w:r>
      <w:r w:rsidRPr="00A84639">
        <w:rPr>
          <w:rFonts w:asciiTheme="majorBidi" w:hAnsiTheme="majorBidi" w:cstheme="majorBidi"/>
          <w:color w:val="000000" w:themeColor="text1"/>
        </w:rPr>
        <w:t xml:space="preserve">, </w:t>
      </w:r>
      <w:r w:rsidRPr="00A84639">
        <w:rPr>
          <w:rFonts w:asciiTheme="majorBidi" w:hAnsiTheme="majorBidi" w:cstheme="majorBidi"/>
          <w:i/>
          <w:iCs/>
          <w:color w:val="000000" w:themeColor="text1"/>
        </w:rPr>
        <w:t>mcrC</w:t>
      </w:r>
      <w:r w:rsidRPr="00A84639">
        <w:rPr>
          <w:rFonts w:asciiTheme="majorBidi" w:hAnsiTheme="majorBidi" w:cstheme="majorBidi"/>
          <w:color w:val="000000" w:themeColor="text1"/>
        </w:rPr>
        <w:t xml:space="preserve">) were present in three </w:t>
      </w:r>
      <w:r w:rsidRPr="00A84639">
        <w:rPr>
          <w:rFonts w:asciiTheme="majorBidi" w:hAnsiTheme="majorBidi" w:cstheme="majorBidi"/>
          <w:i/>
          <w:iCs/>
          <w:color w:val="000000" w:themeColor="text1"/>
        </w:rPr>
        <w:t>Halobacteriota</w:t>
      </w:r>
      <w:r w:rsidRPr="00A84639">
        <w:rPr>
          <w:rFonts w:asciiTheme="majorBidi" w:hAnsiTheme="majorBidi" w:cstheme="majorBidi"/>
          <w:color w:val="000000" w:themeColor="text1"/>
        </w:rPr>
        <w:t xml:space="preserve"> MAGs (5%) (class </w:t>
      </w:r>
      <w:r w:rsidRPr="00A84639">
        <w:rPr>
          <w:rFonts w:asciiTheme="majorBidi" w:hAnsiTheme="majorBidi" w:cstheme="majorBidi"/>
          <w:i/>
          <w:iCs/>
          <w:color w:val="000000" w:themeColor="text1"/>
        </w:rPr>
        <w:t>Methanosarcinia</w:t>
      </w:r>
      <w:r w:rsidRPr="00A84639">
        <w:rPr>
          <w:rFonts w:asciiTheme="majorBidi" w:hAnsiTheme="majorBidi" w:cstheme="majorBidi"/>
          <w:color w:val="000000" w:themeColor="text1"/>
        </w:rPr>
        <w:t xml:space="preserve">) from precipitates with high hydrothermal activity in the Farwah Safraa ridges. </w:t>
      </w:r>
    </w:p>
    <w:p w14:paraId="20AB1F2A" w14:textId="77777777" w:rsidR="00436AC9" w:rsidRPr="00A84639" w:rsidRDefault="00436AC9" w:rsidP="00AA6C28">
      <w:pPr>
        <w:jc w:val="both"/>
        <w:rPr>
          <w:rFonts w:asciiTheme="majorBidi" w:hAnsiTheme="majorBidi" w:cstheme="majorBidi"/>
          <w:b/>
          <w:bCs/>
          <w:color w:val="000000" w:themeColor="text1"/>
        </w:rPr>
      </w:pPr>
    </w:p>
    <w:p w14:paraId="64CD03BF" w14:textId="77777777" w:rsidR="00436AC9" w:rsidRPr="00A84639" w:rsidRDefault="00436AC9" w:rsidP="00AA6C28">
      <w:pPr>
        <w:jc w:val="both"/>
        <w:rPr>
          <w:rFonts w:asciiTheme="majorBidi" w:hAnsiTheme="majorBidi" w:cstheme="majorBidi"/>
          <w:b/>
          <w:bCs/>
          <w:color w:val="000000" w:themeColor="text1"/>
        </w:rPr>
      </w:pPr>
    </w:p>
    <w:p w14:paraId="5EFA2ADA" w14:textId="77777777" w:rsidR="00436AC9" w:rsidRPr="00A84639" w:rsidRDefault="00436AC9" w:rsidP="00AA6C28">
      <w:pPr>
        <w:jc w:val="both"/>
        <w:rPr>
          <w:rFonts w:asciiTheme="majorBidi" w:hAnsiTheme="majorBidi" w:cstheme="majorBidi"/>
          <w:b/>
          <w:bCs/>
          <w:color w:val="000000" w:themeColor="text1"/>
        </w:rPr>
      </w:pPr>
    </w:p>
    <w:p w14:paraId="5843791A" w14:textId="77777777" w:rsidR="00436AC9" w:rsidRPr="00A84639" w:rsidRDefault="00436AC9" w:rsidP="00AA6C28">
      <w:pPr>
        <w:jc w:val="both"/>
        <w:rPr>
          <w:rFonts w:asciiTheme="majorBidi" w:hAnsiTheme="majorBidi" w:cstheme="majorBidi"/>
          <w:b/>
          <w:bCs/>
          <w:color w:val="000000" w:themeColor="text1"/>
        </w:rPr>
      </w:pPr>
    </w:p>
    <w:p w14:paraId="510703FE" w14:textId="77777777" w:rsidR="00436AC9" w:rsidRPr="00A84639" w:rsidRDefault="00436AC9" w:rsidP="00AA6C28">
      <w:pPr>
        <w:jc w:val="both"/>
        <w:rPr>
          <w:rFonts w:asciiTheme="majorBidi" w:hAnsiTheme="majorBidi" w:cstheme="majorBidi"/>
          <w:b/>
          <w:bCs/>
          <w:color w:val="000000" w:themeColor="text1"/>
        </w:rPr>
      </w:pPr>
    </w:p>
    <w:p w14:paraId="14F31C7A" w14:textId="77777777" w:rsidR="00436AC9" w:rsidRPr="00A84639" w:rsidRDefault="00436AC9" w:rsidP="00AA6C28">
      <w:pPr>
        <w:jc w:val="both"/>
        <w:rPr>
          <w:rFonts w:asciiTheme="majorBidi" w:hAnsiTheme="majorBidi" w:cstheme="majorBidi"/>
          <w:b/>
          <w:bCs/>
          <w:color w:val="000000" w:themeColor="text1"/>
        </w:rPr>
      </w:pPr>
    </w:p>
    <w:p w14:paraId="61A5E9FF" w14:textId="77777777" w:rsidR="00436AC9" w:rsidRPr="00A84639" w:rsidRDefault="00436AC9" w:rsidP="00AA6C28">
      <w:pPr>
        <w:jc w:val="both"/>
        <w:rPr>
          <w:rFonts w:asciiTheme="majorBidi" w:hAnsiTheme="majorBidi" w:cstheme="majorBidi"/>
          <w:b/>
          <w:bCs/>
          <w:color w:val="000000" w:themeColor="text1"/>
        </w:rPr>
      </w:pPr>
    </w:p>
    <w:p w14:paraId="795B5797" w14:textId="4D982A91" w:rsidR="00436AC9" w:rsidRPr="00A84639" w:rsidRDefault="00436AC9" w:rsidP="00AA6C28">
      <w:pPr>
        <w:jc w:val="both"/>
        <w:rPr>
          <w:rFonts w:asciiTheme="majorBidi" w:hAnsiTheme="majorBidi" w:cstheme="majorBidi"/>
          <w:b/>
          <w:bCs/>
          <w:color w:val="000000" w:themeColor="text1"/>
        </w:rPr>
      </w:pPr>
      <w:r w:rsidRPr="00A84639">
        <w:rPr>
          <w:rFonts w:asciiTheme="majorBidi" w:hAnsiTheme="majorBidi" w:cstheme="majorBidi"/>
          <w:b/>
          <w:bCs/>
          <w:color w:val="000000" w:themeColor="text1"/>
        </w:rPr>
        <w:lastRenderedPageBreak/>
        <w:t>Supplementary References</w:t>
      </w:r>
    </w:p>
    <w:p w14:paraId="099BBDBD" w14:textId="07C7BBB8" w:rsidR="00436AC9" w:rsidRPr="004954FC" w:rsidRDefault="00436AC9" w:rsidP="004954FC">
      <w:pPr>
        <w:rPr>
          <w:color w:val="000000" w:themeColor="text1"/>
          <w:lang w:val="en-US"/>
        </w:rPr>
      </w:pPr>
      <w:r w:rsidRPr="00A84639">
        <w:rPr>
          <w:rFonts w:ascii="Times New Roman" w:eastAsia="Times New Roman" w:hAnsi="Times New Roman" w:cs="Times New Roman"/>
          <w:color w:val="000000" w:themeColor="text1"/>
          <w:kern w:val="0"/>
          <w14:ligatures w14:val="none"/>
        </w:rPr>
        <w:t>111.</w:t>
      </w:r>
      <w:r w:rsidRPr="00A84639">
        <w:rPr>
          <w:rFonts w:ascii="Times New Roman" w:eastAsia="Times New Roman" w:hAnsi="Times New Roman" w:cs="Times New Roman"/>
          <w:color w:val="000000" w:themeColor="text1"/>
          <w:kern w:val="0"/>
          <w14:ligatures w14:val="none"/>
        </w:rPr>
        <w:tab/>
      </w:r>
      <w:proofErr w:type="spellStart"/>
      <w:r w:rsidR="004954FC" w:rsidRPr="004954FC">
        <w:rPr>
          <w:color w:val="000000" w:themeColor="text1"/>
          <w:lang w:val="en-US"/>
        </w:rPr>
        <w:t>Labonté</w:t>
      </w:r>
      <w:proofErr w:type="spellEnd"/>
      <w:r w:rsidR="004954FC" w:rsidRPr="004954FC">
        <w:rPr>
          <w:color w:val="000000" w:themeColor="text1"/>
          <w:lang w:val="en-US"/>
        </w:rPr>
        <w:t xml:space="preserve"> JM, Lever MA, Edwards KJ and Orcutt BN (2017) Influence of Igneous Basement on Deep Sediment Microbial Diversity on the Eastern Juan de Fuca Ridge Flank.</w:t>
      </w:r>
      <w:r w:rsidR="004954FC" w:rsidRPr="004954FC">
        <w:rPr>
          <w:rFonts w:eastAsia="Times New Roman"/>
          <w:color w:val="000000" w:themeColor="text1"/>
          <w:lang w:val="en-US"/>
        </w:rPr>
        <w:t> </w:t>
      </w:r>
      <w:r w:rsidR="004954FC" w:rsidRPr="004954FC">
        <w:rPr>
          <w:i/>
          <w:iCs/>
          <w:color w:val="000000" w:themeColor="text1"/>
          <w:lang w:val="en-US"/>
        </w:rPr>
        <w:t xml:space="preserve">Front. </w:t>
      </w:r>
      <w:proofErr w:type="spellStart"/>
      <w:r w:rsidR="004954FC" w:rsidRPr="004954FC">
        <w:rPr>
          <w:i/>
          <w:iCs/>
          <w:color w:val="000000" w:themeColor="text1"/>
          <w:lang w:val="en-US"/>
        </w:rPr>
        <w:t>Microbiol</w:t>
      </w:r>
      <w:proofErr w:type="spellEnd"/>
      <w:r w:rsidR="004954FC" w:rsidRPr="004954FC">
        <w:rPr>
          <w:i/>
          <w:iCs/>
          <w:color w:val="000000" w:themeColor="text1"/>
          <w:lang w:val="en-US"/>
        </w:rPr>
        <w:t>.</w:t>
      </w:r>
      <w:r w:rsidR="004954FC" w:rsidRPr="004954FC">
        <w:rPr>
          <w:rFonts w:eastAsia="Times New Roman"/>
          <w:color w:val="000000" w:themeColor="text1"/>
          <w:lang w:val="en-US"/>
        </w:rPr>
        <w:t> </w:t>
      </w:r>
      <w:r w:rsidR="004954FC" w:rsidRPr="004954FC">
        <w:rPr>
          <w:color w:val="000000" w:themeColor="text1"/>
          <w:lang w:val="en-US"/>
        </w:rPr>
        <w:t xml:space="preserve">8:1434. </w:t>
      </w:r>
      <w:proofErr w:type="spellStart"/>
      <w:r w:rsidR="004954FC" w:rsidRPr="004954FC">
        <w:rPr>
          <w:color w:val="000000" w:themeColor="text1"/>
          <w:lang w:val="en-US"/>
        </w:rPr>
        <w:t>doi</w:t>
      </w:r>
      <w:proofErr w:type="spellEnd"/>
      <w:r w:rsidR="004954FC" w:rsidRPr="004954FC">
        <w:rPr>
          <w:color w:val="000000" w:themeColor="text1"/>
          <w:lang w:val="en-US"/>
        </w:rPr>
        <w:t>: 10.3389/fmicb.2017.01434</w:t>
      </w:r>
      <w:r w:rsidRPr="00A84639">
        <w:rPr>
          <w:rFonts w:ascii="Times New Roman" w:eastAsia="Times New Roman" w:hAnsi="Times New Roman" w:cs="Times New Roman"/>
          <w:color w:val="000000" w:themeColor="text1"/>
          <w:kern w:val="0"/>
          <w14:ligatures w14:val="none"/>
        </w:rPr>
        <w:t> </w:t>
      </w:r>
    </w:p>
    <w:p w14:paraId="36CAB6C8" w14:textId="2114E23B" w:rsidR="00436AC9" w:rsidRPr="00A84639" w:rsidRDefault="00436AC9" w:rsidP="004954FC">
      <w:pPr>
        <w:spacing w:after="240" w:line="240" w:lineRule="auto"/>
        <w:rPr>
          <w:rFonts w:ascii="Times New Roman" w:eastAsia="Times New Roman" w:hAnsi="Times New Roman" w:cs="Times New Roman"/>
          <w:color w:val="000000" w:themeColor="text1"/>
          <w:kern w:val="0"/>
          <w14:ligatures w14:val="none"/>
        </w:rPr>
      </w:pPr>
      <w:r w:rsidRPr="00A84639">
        <w:rPr>
          <w:rFonts w:ascii="Times New Roman" w:eastAsia="Times New Roman" w:hAnsi="Times New Roman" w:cs="Times New Roman"/>
          <w:color w:val="000000" w:themeColor="text1"/>
          <w:kern w:val="0"/>
          <w14:ligatures w14:val="none"/>
        </w:rPr>
        <w:t>112.</w:t>
      </w:r>
      <w:r w:rsidRPr="00A84639">
        <w:rPr>
          <w:rFonts w:ascii="Times New Roman" w:eastAsia="Times New Roman" w:hAnsi="Times New Roman" w:cs="Times New Roman"/>
          <w:color w:val="000000" w:themeColor="text1"/>
          <w:kern w:val="0"/>
          <w14:ligatures w14:val="none"/>
        </w:rPr>
        <w:tab/>
      </w:r>
      <w:r w:rsidR="004954FC" w:rsidRPr="004954FC">
        <w:rPr>
          <w:rFonts w:ascii="Times New Roman" w:eastAsia="Times New Roman" w:hAnsi="Times New Roman" w:cs="Times New Roman"/>
          <w:color w:val="000000" w:themeColor="text1"/>
          <w:kern w:val="0"/>
          <w14:ligatures w14:val="none"/>
        </w:rPr>
        <w:t>Zhang W, Ding W, Yang B, Tian R, Gu S, Luo H and Qian P-Y (2016) Genomic and Transcriptomic Evidence for Carbohydrate Consumption among Microorganisms in a Cold Seep Brine Pool. </w:t>
      </w:r>
      <w:r w:rsidR="004954FC" w:rsidRPr="004954FC">
        <w:rPr>
          <w:rFonts w:ascii="Times New Roman" w:eastAsia="Times New Roman" w:hAnsi="Times New Roman" w:cs="Times New Roman"/>
          <w:i/>
          <w:iCs/>
          <w:color w:val="000000" w:themeColor="text1"/>
          <w:kern w:val="0"/>
          <w14:ligatures w14:val="none"/>
        </w:rPr>
        <w:t>Front. Microbiol</w:t>
      </w:r>
      <w:r w:rsidR="004954FC" w:rsidRPr="004954FC">
        <w:rPr>
          <w:rFonts w:ascii="Times New Roman" w:eastAsia="Times New Roman" w:hAnsi="Times New Roman" w:cs="Times New Roman"/>
          <w:color w:val="000000" w:themeColor="text1"/>
          <w:kern w:val="0"/>
          <w14:ligatures w14:val="none"/>
        </w:rPr>
        <w:t>. 7:1825. doi: 10.3389/fmicb.2016.01825</w:t>
      </w:r>
    </w:p>
    <w:p w14:paraId="3A151999" w14:textId="4CC3D0DD" w:rsidR="00824006" w:rsidRPr="00A84639" w:rsidRDefault="00436AC9" w:rsidP="00AA6C28">
      <w:pPr>
        <w:jc w:val="both"/>
        <w:rPr>
          <w:rFonts w:asciiTheme="majorBidi" w:hAnsiTheme="majorBidi" w:cstheme="majorBidi"/>
          <w:color w:val="000000" w:themeColor="text1"/>
        </w:rPr>
      </w:pPr>
      <w:r w:rsidRPr="00A84639">
        <w:rPr>
          <w:rFonts w:ascii="Times New Roman" w:eastAsia="Times New Roman" w:hAnsi="Times New Roman" w:cs="Times New Roman"/>
          <w:color w:val="000000" w:themeColor="text1"/>
          <w:kern w:val="0"/>
          <w14:ligatures w14:val="none"/>
        </w:rPr>
        <w:t>113.</w:t>
      </w:r>
      <w:r w:rsidRPr="00A84639">
        <w:rPr>
          <w:rFonts w:ascii="Times New Roman" w:eastAsia="Times New Roman" w:hAnsi="Times New Roman" w:cs="Times New Roman"/>
          <w:color w:val="000000" w:themeColor="text1"/>
          <w:kern w:val="0"/>
          <w14:ligatures w14:val="none"/>
        </w:rPr>
        <w:tab/>
      </w:r>
      <w:r w:rsidR="004954FC" w:rsidRPr="004954FC">
        <w:rPr>
          <w:rFonts w:ascii="Times New Roman" w:eastAsia="Times New Roman" w:hAnsi="Times New Roman" w:cs="Times New Roman"/>
          <w:color w:val="000000" w:themeColor="text1"/>
          <w:kern w:val="0"/>
          <w14:ligatures w14:val="none"/>
        </w:rPr>
        <w:t>Ziko, L., AbdelRaheem, O., Nabil, M. </w:t>
      </w:r>
      <w:r w:rsidR="004954FC" w:rsidRPr="004954FC">
        <w:rPr>
          <w:rFonts w:ascii="Times New Roman" w:eastAsia="Times New Roman" w:hAnsi="Times New Roman" w:cs="Times New Roman"/>
          <w:i/>
          <w:iCs/>
          <w:color w:val="000000" w:themeColor="text1"/>
          <w:kern w:val="0"/>
          <w14:ligatures w14:val="none"/>
        </w:rPr>
        <w:t>et al.</w:t>
      </w:r>
      <w:r w:rsidR="004954FC" w:rsidRPr="004954FC">
        <w:rPr>
          <w:rFonts w:ascii="Times New Roman" w:eastAsia="Times New Roman" w:hAnsi="Times New Roman" w:cs="Times New Roman"/>
          <w:color w:val="000000" w:themeColor="text1"/>
          <w:kern w:val="0"/>
          <w14:ligatures w14:val="none"/>
        </w:rPr>
        <w:t> Bioprospecting the microbiome of Red Sea Atlantis II brine pool for peptidases and biosynthetic genes with promising antibacterial activity. </w:t>
      </w:r>
      <w:r w:rsidR="004954FC" w:rsidRPr="004954FC">
        <w:rPr>
          <w:rFonts w:ascii="Times New Roman" w:eastAsia="Times New Roman" w:hAnsi="Times New Roman" w:cs="Times New Roman"/>
          <w:i/>
          <w:iCs/>
          <w:color w:val="000000" w:themeColor="text1"/>
          <w:kern w:val="0"/>
          <w14:ligatures w14:val="none"/>
        </w:rPr>
        <w:t>Microb Cell Fact</w:t>
      </w:r>
      <w:r w:rsidR="004954FC" w:rsidRPr="004954FC">
        <w:rPr>
          <w:rFonts w:ascii="Times New Roman" w:eastAsia="Times New Roman" w:hAnsi="Times New Roman" w:cs="Times New Roman"/>
          <w:color w:val="000000" w:themeColor="text1"/>
          <w:kern w:val="0"/>
          <w14:ligatures w14:val="none"/>
        </w:rPr>
        <w:t> </w:t>
      </w:r>
      <w:r w:rsidR="004954FC" w:rsidRPr="004954FC">
        <w:rPr>
          <w:rFonts w:ascii="Times New Roman" w:eastAsia="Times New Roman" w:hAnsi="Times New Roman" w:cs="Times New Roman"/>
          <w:b/>
          <w:bCs/>
          <w:color w:val="000000" w:themeColor="text1"/>
          <w:kern w:val="0"/>
          <w14:ligatures w14:val="none"/>
        </w:rPr>
        <w:t>21</w:t>
      </w:r>
      <w:r w:rsidR="004954FC" w:rsidRPr="004954FC">
        <w:rPr>
          <w:rFonts w:ascii="Times New Roman" w:eastAsia="Times New Roman" w:hAnsi="Times New Roman" w:cs="Times New Roman"/>
          <w:color w:val="000000" w:themeColor="text1"/>
          <w:kern w:val="0"/>
          <w14:ligatures w14:val="none"/>
        </w:rPr>
        <w:t>, 109 (2022). https://doi.org/10.1186/s12934-022-01835-z</w:t>
      </w:r>
    </w:p>
    <w:p w14:paraId="5683CBF0" w14:textId="77777777" w:rsidR="00824006" w:rsidRPr="00A84639" w:rsidRDefault="00824006" w:rsidP="00AA6C28">
      <w:pPr>
        <w:jc w:val="both"/>
        <w:rPr>
          <w:rFonts w:asciiTheme="majorBidi" w:hAnsiTheme="majorBidi" w:cstheme="majorBidi"/>
          <w:color w:val="000000" w:themeColor="text1"/>
        </w:rPr>
      </w:pPr>
    </w:p>
    <w:p w14:paraId="1933A05D" w14:textId="77777777" w:rsidR="00824006" w:rsidRPr="00A84639" w:rsidRDefault="00824006" w:rsidP="00AA6C28">
      <w:pPr>
        <w:jc w:val="both"/>
        <w:rPr>
          <w:rFonts w:asciiTheme="majorBidi" w:hAnsiTheme="majorBidi" w:cstheme="majorBidi"/>
          <w:color w:val="000000" w:themeColor="text1"/>
        </w:rPr>
      </w:pPr>
    </w:p>
    <w:p w14:paraId="6C9BD205" w14:textId="77777777" w:rsidR="00824006" w:rsidRPr="00A84639" w:rsidRDefault="00824006" w:rsidP="00AA6C28">
      <w:pPr>
        <w:jc w:val="both"/>
        <w:rPr>
          <w:rFonts w:asciiTheme="majorBidi" w:hAnsiTheme="majorBidi" w:cstheme="majorBidi"/>
          <w:color w:val="000000" w:themeColor="text1"/>
        </w:rPr>
      </w:pPr>
    </w:p>
    <w:p w14:paraId="30D4F989" w14:textId="77777777" w:rsidR="00824006" w:rsidRPr="00A84639" w:rsidRDefault="00824006" w:rsidP="00AA6C28">
      <w:pPr>
        <w:jc w:val="both"/>
        <w:rPr>
          <w:rFonts w:asciiTheme="majorBidi" w:hAnsiTheme="majorBidi" w:cstheme="majorBidi"/>
          <w:color w:val="000000" w:themeColor="text1"/>
        </w:rPr>
      </w:pPr>
    </w:p>
    <w:p w14:paraId="6DD5EEFF" w14:textId="77777777" w:rsidR="00467825" w:rsidRPr="00A84639" w:rsidRDefault="00467825" w:rsidP="00AA6C28">
      <w:pPr>
        <w:jc w:val="both"/>
        <w:rPr>
          <w:rFonts w:asciiTheme="majorBidi" w:hAnsiTheme="majorBidi" w:cstheme="majorBidi"/>
          <w:color w:val="000000" w:themeColor="text1"/>
        </w:rPr>
      </w:pPr>
    </w:p>
    <w:sectPr w:rsidR="00467825" w:rsidRPr="00A8463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006"/>
    <w:rsid w:val="001F5396"/>
    <w:rsid w:val="00391DC4"/>
    <w:rsid w:val="003933EB"/>
    <w:rsid w:val="003A27D4"/>
    <w:rsid w:val="00436AC9"/>
    <w:rsid w:val="00467825"/>
    <w:rsid w:val="004954FC"/>
    <w:rsid w:val="00521A63"/>
    <w:rsid w:val="006468C4"/>
    <w:rsid w:val="006A03D9"/>
    <w:rsid w:val="007C4CA6"/>
    <w:rsid w:val="00824006"/>
    <w:rsid w:val="00A84639"/>
    <w:rsid w:val="00AA6C28"/>
    <w:rsid w:val="00B25F59"/>
    <w:rsid w:val="00CC38CD"/>
    <w:rsid w:val="00E1282D"/>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decimalSymbol w:val="."/>
  <w:listSeparator w:val=","/>
  <w14:docId w14:val="7031F6EF"/>
  <w15:chartTrackingRefBased/>
  <w15:docId w15:val="{C7842495-11DA-D241-B377-6E7505F80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40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40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40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40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40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40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40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40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40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40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40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40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40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40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40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40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40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4006"/>
    <w:rPr>
      <w:rFonts w:eastAsiaTheme="majorEastAsia" w:cstheme="majorBidi"/>
      <w:color w:val="272727" w:themeColor="text1" w:themeTint="D8"/>
    </w:rPr>
  </w:style>
  <w:style w:type="paragraph" w:styleId="Title">
    <w:name w:val="Title"/>
    <w:basedOn w:val="Normal"/>
    <w:next w:val="Normal"/>
    <w:link w:val="TitleChar"/>
    <w:uiPriority w:val="10"/>
    <w:qFormat/>
    <w:rsid w:val="008240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40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40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40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4006"/>
    <w:pPr>
      <w:spacing w:before="160"/>
      <w:jc w:val="center"/>
    </w:pPr>
    <w:rPr>
      <w:i/>
      <w:iCs/>
      <w:color w:val="404040" w:themeColor="text1" w:themeTint="BF"/>
    </w:rPr>
  </w:style>
  <w:style w:type="character" w:customStyle="1" w:styleId="QuoteChar">
    <w:name w:val="Quote Char"/>
    <w:basedOn w:val="DefaultParagraphFont"/>
    <w:link w:val="Quote"/>
    <w:uiPriority w:val="29"/>
    <w:rsid w:val="00824006"/>
    <w:rPr>
      <w:i/>
      <w:iCs/>
      <w:color w:val="404040" w:themeColor="text1" w:themeTint="BF"/>
    </w:rPr>
  </w:style>
  <w:style w:type="paragraph" w:styleId="ListParagraph">
    <w:name w:val="List Paragraph"/>
    <w:basedOn w:val="Normal"/>
    <w:uiPriority w:val="34"/>
    <w:qFormat/>
    <w:rsid w:val="00824006"/>
    <w:pPr>
      <w:ind w:left="720"/>
      <w:contextualSpacing/>
    </w:pPr>
  </w:style>
  <w:style w:type="character" w:styleId="IntenseEmphasis">
    <w:name w:val="Intense Emphasis"/>
    <w:basedOn w:val="DefaultParagraphFont"/>
    <w:uiPriority w:val="21"/>
    <w:qFormat/>
    <w:rsid w:val="00824006"/>
    <w:rPr>
      <w:i/>
      <w:iCs/>
      <w:color w:val="0F4761" w:themeColor="accent1" w:themeShade="BF"/>
    </w:rPr>
  </w:style>
  <w:style w:type="paragraph" w:styleId="IntenseQuote">
    <w:name w:val="Intense Quote"/>
    <w:basedOn w:val="Normal"/>
    <w:next w:val="Normal"/>
    <w:link w:val="IntenseQuoteChar"/>
    <w:uiPriority w:val="30"/>
    <w:qFormat/>
    <w:rsid w:val="008240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4006"/>
    <w:rPr>
      <w:i/>
      <w:iCs/>
      <w:color w:val="0F4761" w:themeColor="accent1" w:themeShade="BF"/>
    </w:rPr>
  </w:style>
  <w:style w:type="character" w:styleId="IntenseReference">
    <w:name w:val="Intense Reference"/>
    <w:basedOn w:val="DefaultParagraphFont"/>
    <w:uiPriority w:val="32"/>
    <w:qFormat/>
    <w:rsid w:val="00824006"/>
    <w:rPr>
      <w:b/>
      <w:bCs/>
      <w:smallCaps/>
      <w:color w:val="0F4761" w:themeColor="accent1" w:themeShade="BF"/>
      <w:spacing w:val="5"/>
    </w:rPr>
  </w:style>
  <w:style w:type="paragraph" w:styleId="NormalWeb">
    <w:name w:val="Normal (Web)"/>
    <w:basedOn w:val="Normal"/>
    <w:uiPriority w:val="99"/>
    <w:semiHidden/>
    <w:unhideWhenUsed/>
    <w:rsid w:val="00436AC9"/>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tab-span">
    <w:name w:val="apple-tab-span"/>
    <w:basedOn w:val="DefaultParagraphFont"/>
    <w:rsid w:val="00436A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1296</Words>
  <Characters>7392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Sharifah M. Altalhi</dc:creator>
  <cp:keywords/>
  <dc:description/>
  <cp:lastModifiedBy>Alexandre Rosado</cp:lastModifiedBy>
  <cp:revision>2</cp:revision>
  <dcterms:created xsi:type="dcterms:W3CDTF">2025-09-11T07:27:00Z</dcterms:created>
  <dcterms:modified xsi:type="dcterms:W3CDTF">2025-09-11T07:27:00Z</dcterms:modified>
</cp:coreProperties>
</file>