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ED2" w:rsidRDefault="008C715A">
      <w:r>
        <w:rPr>
          <w:rFonts w:hint="eastAsia"/>
          <w:noProof/>
        </w:rPr>
        <w:drawing>
          <wp:inline distT="0" distB="0" distL="114300" distR="114300">
            <wp:extent cx="5485130" cy="3773170"/>
            <wp:effectExtent l="0" t="0" r="1270" b="17780"/>
            <wp:docPr id="1" name="图片 1" descr="Figure S1R1 fl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R1 flat"/>
                    <pic:cNvPicPr>
                      <a:picLocks noChangeAspect="1"/>
                    </pic:cNvPicPr>
                  </pic:nvPicPr>
                  <pic:blipFill>
                    <a:blip r:embed="rId6"/>
                    <a:srcRect b="2702"/>
                    <a:stretch>
                      <a:fillRect/>
                    </a:stretch>
                  </pic:blipFill>
                  <pic:spPr>
                    <a:xfrm>
                      <a:off x="0" y="0"/>
                      <a:ext cx="5485130" cy="377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ED2" w:rsidRDefault="008C71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Sample collection, work flow, and relative abundance of the top 10 most abundant genera in stem samples from CO39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and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Y33R. </w:t>
      </w:r>
      <w:r>
        <w:rPr>
          <w:rFonts w:ascii="Times New Roman" w:hAnsi="Times New Roman" w:cs="Times New Roman"/>
          <w:sz w:val="24"/>
          <w:szCs w:val="24"/>
        </w:rPr>
        <w:t xml:space="preserve">(A) Rice blast disease on CO39 (susceptible) or Y33R (resistant) cultivar in the field trial. The rice seeds was </w:t>
      </w:r>
      <w:r>
        <w:rPr>
          <w:rFonts w:ascii="Times New Roman" w:hAnsi="Times New Roman" w:cs="Times New Roman"/>
          <w:sz w:val="24"/>
          <w:szCs w:val="24"/>
        </w:rPr>
        <w:t>planted in a blast disease nursery garden in Yangjiang Institute of Agricultural Sciences (Baisha) Experimental Base (</w:t>
      </w:r>
      <w:r>
        <w:rPr>
          <w:rStyle w:val="a8"/>
          <w:rFonts w:ascii="Times New Roman" w:eastAsia="宋体" w:hAnsi="Times New Roman" w:cs="Times New Roman"/>
          <w:i w:val="0"/>
          <w:sz w:val="24"/>
          <w:szCs w:val="24"/>
          <w:shd w:val="clear" w:color="auto" w:fill="FFFFFF"/>
        </w:rPr>
        <w:t>11</w:t>
      </w:r>
      <w:r>
        <w:rPr>
          <w:rStyle w:val="a8"/>
          <w:rFonts w:ascii="Times New Roman" w:eastAsia="宋体" w:hAnsi="Times New Roman" w:cs="Times New Roman" w:hint="eastAsia"/>
          <w:i w:val="0"/>
          <w:sz w:val="24"/>
          <w:szCs w:val="24"/>
          <w:shd w:val="clear" w:color="auto" w:fill="FFFFFF"/>
        </w:rPr>
        <w:t>1</w:t>
      </w:r>
      <w:r>
        <w:rPr>
          <w:rStyle w:val="a8"/>
          <w:rFonts w:ascii="Times New Roman" w:eastAsia="宋体" w:hAnsi="Times New Roman" w:cs="Times New Roman"/>
          <w:i w:val="0"/>
          <w:sz w:val="24"/>
          <w:szCs w:val="24"/>
          <w:shd w:val="clear" w:color="auto" w:fill="FFFFFF"/>
        </w:rPr>
        <w:t>°</w:t>
      </w:r>
      <w:r>
        <w:rPr>
          <w:rFonts w:ascii="Times New Roman" w:eastAsia="宋体" w:hAnsi="Times New Roman" w:cs="Times New Roman"/>
          <w:sz w:val="24"/>
          <w:szCs w:val="24"/>
          <w:shd w:val="clear" w:color="auto" w:fill="FFFFFF"/>
        </w:rPr>
        <w:t>50′</w:t>
      </w:r>
      <w:r>
        <w:rPr>
          <w:rStyle w:val="a8"/>
          <w:rFonts w:ascii="Times New Roman" w:eastAsia="宋体" w:hAnsi="Times New Roman" w:cs="Times New Roman"/>
          <w:i w:val="0"/>
          <w:sz w:val="24"/>
          <w:szCs w:val="24"/>
          <w:shd w:val="clear" w:color="auto" w:fill="FFFFFF"/>
        </w:rPr>
        <w:t>E, 21°52</w:t>
      </w:r>
      <w:r>
        <w:rPr>
          <w:rFonts w:ascii="Times New Roman" w:eastAsia="宋体" w:hAnsi="Times New Roman" w:cs="Times New Roman"/>
          <w:sz w:val="24"/>
          <w:szCs w:val="24"/>
          <w:shd w:val="clear" w:color="auto" w:fill="FFFFFF"/>
        </w:rPr>
        <w:t>′</w:t>
      </w:r>
      <w:r>
        <w:rPr>
          <w:rStyle w:val="a8"/>
          <w:rFonts w:ascii="Times New Roman" w:eastAsia="宋体" w:hAnsi="Times New Roman" w:cs="Times New Roman"/>
          <w:i w:val="0"/>
          <w:sz w:val="24"/>
          <w:szCs w:val="24"/>
          <w:shd w:val="clear" w:color="auto" w:fill="FFFFFF"/>
        </w:rPr>
        <w:t>N</w:t>
      </w:r>
      <w:r>
        <w:rPr>
          <w:rFonts w:ascii="Times New Roman" w:hAnsi="Times New Roman" w:cs="Times New Roman"/>
          <w:sz w:val="24"/>
          <w:szCs w:val="24"/>
        </w:rPr>
        <w:t>). Rice seedlings of each cultivar were planted in three randomized plots (approximately 20 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each, accommodating around</w:t>
      </w:r>
      <w:r>
        <w:rPr>
          <w:rFonts w:ascii="Times New Roman" w:hAnsi="Times New Roman" w:cs="Times New Roman"/>
          <w:sz w:val="24"/>
          <w:szCs w:val="24"/>
        </w:rPr>
        <w:t xml:space="preserve"> 50 seedlings). (B) Experimental procedure for bacterial microbiota identification, isolation, and application for enhancing rice resistance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 xml:space="preserve">visualized </w:t>
      </w:r>
      <w:r>
        <w:rPr>
          <w:rFonts w:ascii="Times New Roman" w:hAnsi="Times New Roman" w:cs="Times New Roman" w:hint="eastAsia"/>
          <w:color w:val="404040"/>
          <w:sz w:val="24"/>
          <w:szCs w:val="24"/>
          <w:shd w:val="clear" w:color="auto" w:fill="FFFFFF"/>
        </w:rPr>
        <w:t xml:space="preserve">by </w:t>
      </w:r>
      <w:r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>using BioRender</w:t>
      </w:r>
      <w:r>
        <w:rPr>
          <w:rFonts w:ascii="Times New Roman" w:hAnsi="Times New Roman" w:cs="Times New Roman"/>
          <w:sz w:val="24"/>
          <w:szCs w:val="24"/>
        </w:rPr>
        <w:t xml:space="preserve">. (C) Relative abundance of the top 10 most abundant genera in stem samples from CO39 </w:t>
      </w:r>
      <w:r>
        <w:rPr>
          <w:rFonts w:ascii="Times New Roman" w:hAnsi="Times New Roman" w:cs="Times New Roman" w:hint="eastAsia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Y33R.</w:t>
      </w:r>
    </w:p>
    <w:p w:rsidR="000B2ED2" w:rsidRDefault="000B2ED2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0B2ED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0B2ED2" w:rsidRDefault="000B2E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B2ED2" w:rsidRDefault="008C71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>
            <wp:extent cx="5480050" cy="7251065"/>
            <wp:effectExtent l="0" t="0" r="6350" b="3175"/>
            <wp:docPr id="7" name="图片 7" descr="Figure S2R2 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 S2R2 New"/>
                    <pic:cNvPicPr>
                      <a:picLocks noChangeAspect="1"/>
                    </pic:cNvPicPr>
                  </pic:nvPicPr>
                  <pic:blipFill>
                    <a:blip r:embed="rId7"/>
                    <a:srcRect b="6448"/>
                    <a:stretch>
                      <a:fillRect/>
                    </a:stretch>
                  </pic:blipFill>
                  <pic:spPr>
                    <a:xfrm>
                      <a:off x="0" y="0"/>
                      <a:ext cx="5480050" cy="725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ED2" w:rsidRDefault="008C715A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S2 Characterization of the isolated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Pantoea</w:t>
      </w:r>
      <w:r>
        <w:rPr>
          <w:rFonts w:ascii="Times New Roman" w:hAnsi="Times New Roman" w:cs="Times New Roman"/>
          <w:b/>
          <w:sz w:val="24"/>
          <w:szCs w:val="24"/>
        </w:rPr>
        <w:t xml:space="preserve"> strains. </w:t>
      </w:r>
      <w:r>
        <w:rPr>
          <w:rFonts w:ascii="Times New Roman" w:hAnsi="Times New Roman" w:cs="Times New Roman"/>
          <w:bCs/>
          <w:sz w:val="24"/>
          <w:szCs w:val="24"/>
        </w:rPr>
        <w:t xml:space="preserve">(A) Phylogenetic analysis based on 16S rRNA,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gyrB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leuS</w:t>
      </w:r>
      <w:r>
        <w:rPr>
          <w:rFonts w:ascii="Times New Roman" w:hAnsi="Times New Roman" w:cs="Times New Roman"/>
          <w:bCs/>
          <w:i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rpoB</w:t>
      </w:r>
      <w:r>
        <w:rPr>
          <w:rFonts w:ascii="Times New Roman" w:hAnsi="Times New Roman" w:cs="Times New Roman"/>
          <w:bCs/>
          <w:sz w:val="24"/>
          <w:szCs w:val="24"/>
        </w:rPr>
        <w:t xml:space="preserve"> gene sequences. </w:t>
      </w:r>
      <w:r>
        <w:rPr>
          <w:rFonts w:ascii="Times New Roman" w:hAnsi="Times New Roman" w:cs="Times New Roman" w:hint="eastAsia"/>
          <w:bCs/>
          <w:sz w:val="24"/>
          <w:szCs w:val="24"/>
        </w:rPr>
        <w:t>Scale bar rep</w:t>
      </w:r>
      <w:r>
        <w:rPr>
          <w:rFonts w:ascii="Times New Roman" w:hAnsi="Times New Roman" w:cs="Times New Roman" w:hint="eastAsia"/>
          <w:bCs/>
          <w:sz w:val="24"/>
          <w:szCs w:val="24"/>
        </w:rPr>
        <w:t>resents evolutionary distance</w:t>
      </w:r>
      <w:r>
        <w:rPr>
          <w:rFonts w:ascii="Times New Roman" w:hAnsi="Times New Roman" w:cs="Times New Roman"/>
          <w:bCs/>
          <w:sz w:val="24"/>
          <w:szCs w:val="24"/>
        </w:rPr>
        <w:t xml:space="preserve">. (B) Colony morphology of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Pantoea</w:t>
      </w:r>
      <w:r>
        <w:rPr>
          <w:rFonts w:ascii="Times New Roman" w:hAnsi="Times New Roman" w:cs="Times New Roman"/>
          <w:bCs/>
          <w:sz w:val="24"/>
          <w:szCs w:val="24"/>
        </w:rPr>
        <w:t xml:space="preserve"> strains.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(C) </w:t>
      </w:r>
      <w:r>
        <w:rPr>
          <w:rFonts w:ascii="Times New Roman" w:hAnsi="Times New Roman" w:cs="Times New Roman" w:hint="eastAsia"/>
          <w:sz w:val="24"/>
        </w:rPr>
        <w:t>Pathogenicity assay for A25-11 and B10-A1 using the leaf clipping inoculation m</w:t>
      </w:r>
      <w:r>
        <w:rPr>
          <w:rFonts w:ascii="Times New Roman" w:hAnsi="Times New Roman" w:cs="Times New Roman" w:hint="eastAsia"/>
          <w:sz w:val="24"/>
        </w:rPr>
        <w:t xml:space="preserve">ethod </w:t>
      </w:r>
      <w:r>
        <w:rPr>
          <w:rFonts w:ascii="Times New Roman" w:hAnsi="Times New Roman" w:cs="Times New Roman" w:hint="eastAsia"/>
          <w:sz w:val="24"/>
        </w:rPr>
        <w:t>[1]</w:t>
      </w:r>
      <w:r>
        <w:rPr>
          <w:rFonts w:ascii="Times New Roman" w:hAnsi="Times New Roman" w:cs="Times New Roman" w:hint="eastAsia"/>
          <w:sz w:val="24"/>
        </w:rPr>
        <w:t xml:space="preserve">. </w:t>
      </w:r>
      <w:r>
        <w:rPr>
          <w:rFonts w:ascii="Times New Roman" w:hAnsi="Times New Roman" w:cs="Times New Roman" w:hint="eastAsia"/>
          <w:sz w:val="24"/>
        </w:rPr>
        <w:t>Pxo99A</w:t>
      </w:r>
      <w:r>
        <w:rPr>
          <w:rFonts w:ascii="Times New Roman" w:hAnsi="Times New Roman" w:cs="Times New Roman" w:hint="eastAsia"/>
          <w:sz w:val="24"/>
        </w:rPr>
        <w:t xml:space="preserve"> and </w:t>
      </w:r>
      <w:r>
        <w:rPr>
          <w:rFonts w:ascii="Times New Roman" w:hAnsi="Times New Roman" w:cs="Times New Roman" w:hint="eastAsia"/>
          <w:sz w:val="24"/>
        </w:rPr>
        <w:t>SC7</w:t>
      </w:r>
      <w:r>
        <w:rPr>
          <w:rFonts w:ascii="Times New Roman" w:hAnsi="Times New Roman" w:cs="Times New Roman" w:hint="eastAsia"/>
          <w:i/>
          <w:iCs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served as positive contro</w:t>
      </w:r>
      <w:bookmarkStart w:id="0" w:name="_GoBack"/>
      <w:bookmarkEnd w:id="0"/>
      <w:r>
        <w:rPr>
          <w:rFonts w:ascii="Times New Roman" w:hAnsi="Times New Roman" w:cs="Times New Roman" w:hint="eastAsia"/>
          <w:sz w:val="24"/>
        </w:rPr>
        <w:t xml:space="preserve">ls and </w:t>
      </w:r>
      <w:r>
        <w:rPr>
          <w:rFonts w:ascii="Times New Roman" w:hAnsi="Times New Roman" w:cs="Times New Roman"/>
          <w:sz w:val="24"/>
        </w:rPr>
        <w:t>LB as a blank control.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Th</w:t>
      </w:r>
      <w:r>
        <w:rPr>
          <w:rFonts w:ascii="Times New Roman" w:hAnsi="Times New Roman" w:cs="Times New Roman" w:hint="eastAsia"/>
          <w:sz w:val="24"/>
        </w:rPr>
        <w:t>e inoculated seedlings grew under 22</w:t>
      </w:r>
      <w:r>
        <w:rPr>
          <w:rFonts w:ascii="Times New Roman" w:hAnsi="Times New Roman" w:cs="Times New Roman"/>
          <w:sz w:val="24"/>
        </w:rPr>
        <w:t>°</w:t>
      </w:r>
      <w:r>
        <w:rPr>
          <w:rFonts w:ascii="Times New Roman" w:hAnsi="Times New Roman" w:cs="Times New Roman" w:hint="eastAsia"/>
          <w:sz w:val="24"/>
        </w:rPr>
        <w:t xml:space="preserve">C and moisture </w:t>
      </w:r>
      <w:r w:rsidRPr="008C3FE2">
        <w:rPr>
          <w:rFonts w:ascii="Times New Roman" w:hAnsi="Times New Roman" w:cs="Times New Roman"/>
          <w:sz w:val="24"/>
        </w:rPr>
        <w:t>≥</w:t>
      </w:r>
      <w:r>
        <w:rPr>
          <w:rFonts w:ascii="Times New Roman" w:hAnsi="Times New Roman" w:cs="Times New Roman" w:hint="eastAsia"/>
          <w:sz w:val="24"/>
        </w:rPr>
        <w:t xml:space="preserve"> 90% for </w:t>
      </w:r>
      <w:r>
        <w:rPr>
          <w:rFonts w:ascii="Times New Roman" w:hAnsi="Times New Roman" w:cs="Times New Roman"/>
          <w:sz w:val="24"/>
        </w:rPr>
        <w:t xml:space="preserve">14 d </w:t>
      </w:r>
      <w:r>
        <w:rPr>
          <w:rFonts w:ascii="Times New Roman" w:hAnsi="Times New Roman" w:cs="Times New Roman" w:hint="eastAsia"/>
          <w:sz w:val="24"/>
        </w:rPr>
        <w:t xml:space="preserve">and then the inoculated leaves were cut and photographed, for documenting </w:t>
      </w:r>
      <w:r>
        <w:rPr>
          <w:rFonts w:ascii="Times New Roman" w:hAnsi="Times New Roman" w:cs="Times New Roman"/>
          <w:sz w:val="24"/>
        </w:rPr>
        <w:t>blight symptoms.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>Scale bar, 1 cm.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 w:hint="eastAsia"/>
          <w:bCs/>
          <w:sz w:val="24"/>
          <w:szCs w:val="24"/>
        </w:rPr>
        <w:t>D</w:t>
      </w:r>
      <w:r>
        <w:rPr>
          <w:rFonts w:ascii="Times New Roman" w:hAnsi="Times New Roman" w:cs="Times New Roman"/>
          <w:bCs/>
          <w:sz w:val="24"/>
          <w:szCs w:val="24"/>
        </w:rPr>
        <w:t xml:space="preserve">) Confrontation culture of A25-11 or B10-A1 with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M. oryzae</w:t>
      </w:r>
      <w:r>
        <w:rPr>
          <w:rFonts w:ascii="Times New Roman" w:hAnsi="Times New Roman" w:cs="Times New Roman"/>
          <w:bCs/>
          <w:sz w:val="24"/>
          <w:szCs w:val="24"/>
        </w:rPr>
        <w:t xml:space="preserve"> strain Guy11 or Zhong1. Photographs were taken at 7 d</w:t>
      </w:r>
      <w:r>
        <w:rPr>
          <w:rFonts w:ascii="Times New Roman" w:hAnsi="Times New Roman" w:cs="Times New Roman" w:hint="eastAsia"/>
          <w:bCs/>
          <w:sz w:val="24"/>
          <w:szCs w:val="24"/>
        </w:rPr>
        <w:t>pi</w:t>
      </w:r>
      <w:r>
        <w:rPr>
          <w:rFonts w:ascii="Times New Roman" w:hAnsi="Times New Roman" w:cs="Times New Roman"/>
          <w:bCs/>
          <w:sz w:val="24"/>
          <w:szCs w:val="24"/>
        </w:rPr>
        <w:t>. (</w:t>
      </w:r>
      <w:r>
        <w:rPr>
          <w:rFonts w:ascii="Times New Roman" w:hAnsi="Times New Roman" w:cs="Times New Roman" w:hint="eastAsia"/>
          <w:bCs/>
          <w:sz w:val="24"/>
          <w:szCs w:val="24"/>
        </w:rPr>
        <w:t>E</w:t>
      </w:r>
      <w:r>
        <w:rPr>
          <w:rFonts w:ascii="Times New Roman" w:hAnsi="Times New Roman" w:cs="Times New Roman"/>
          <w:bCs/>
          <w:sz w:val="24"/>
          <w:szCs w:val="24"/>
        </w:rPr>
        <w:t>) Confrontation culture of A</w:t>
      </w:r>
      <w:r>
        <w:rPr>
          <w:rFonts w:ascii="Times New Roman" w:hAnsi="Times New Roman" w:cs="Times New Roman"/>
          <w:bCs/>
          <w:sz w:val="24"/>
          <w:szCs w:val="24"/>
        </w:rPr>
        <w:t>25-11 or B10-A1 with bacterial pathogen SC7 or Pxo99A. (</w:t>
      </w:r>
      <w:r>
        <w:rPr>
          <w:rFonts w:ascii="Times New Roman" w:hAnsi="Times New Roman" w:cs="Times New Roman" w:hint="eastAsia"/>
          <w:bCs/>
          <w:sz w:val="24"/>
          <w:szCs w:val="24"/>
        </w:rPr>
        <w:t>F</w:t>
      </w:r>
      <w:r>
        <w:rPr>
          <w:rFonts w:ascii="Times New Roman" w:hAnsi="Times New Roman" w:cs="Times New Roman"/>
          <w:bCs/>
          <w:sz w:val="24"/>
          <w:szCs w:val="24"/>
        </w:rPr>
        <w:t xml:space="preserve">) </w:t>
      </w:r>
      <w:r>
        <w:rPr>
          <w:rFonts w:ascii="Times New Roman" w:hAnsi="Times New Roman" w:cs="Times New Roman" w:hint="eastAsia"/>
          <w:sz w:val="24"/>
        </w:rPr>
        <w:t>Lesion mimic caused by</w:t>
      </w:r>
      <w:r>
        <w:rPr>
          <w:rFonts w:ascii="Times New Roman" w:hAnsi="Times New Roman" w:cs="Times New Roman"/>
          <w:sz w:val="24"/>
        </w:rPr>
        <w:t xml:space="preserve"> A25-11</w:t>
      </w:r>
      <w:r>
        <w:rPr>
          <w:rFonts w:ascii="Times New Roman" w:hAnsi="Times New Roman" w:cs="Times New Roman" w:hint="eastAsia"/>
          <w:sz w:val="24"/>
        </w:rPr>
        <w:t xml:space="preserve"> or</w:t>
      </w:r>
      <w:r>
        <w:rPr>
          <w:rFonts w:ascii="Times New Roman" w:hAnsi="Times New Roman" w:cs="Times New Roman"/>
          <w:sz w:val="24"/>
        </w:rPr>
        <w:t xml:space="preserve"> B10-A1</w:t>
      </w:r>
      <w:r>
        <w:rPr>
          <w:rFonts w:ascii="Times New Roman" w:hAnsi="Times New Roman" w:cs="Times New Roman" w:hint="eastAsia"/>
          <w:sz w:val="24"/>
        </w:rPr>
        <w:t xml:space="preserve"> on the detached leaves of rice cultivar Nipponbare (NPB) or Zhonghua11 (ZH11).</w:t>
      </w:r>
      <w:r>
        <w:rPr>
          <w:rFonts w:ascii="Times New Roman" w:hAnsi="Times New Roman" w:cs="Times New Roman"/>
          <w:sz w:val="24"/>
        </w:rPr>
        <w:t xml:space="preserve"> Photographs were taken at 5 d</w:t>
      </w:r>
      <w:r>
        <w:rPr>
          <w:rFonts w:ascii="Times New Roman" w:hAnsi="Times New Roman" w:cs="Times New Roman" w:hint="eastAsia"/>
          <w:sz w:val="24"/>
        </w:rPr>
        <w:t>pi</w:t>
      </w:r>
      <w:r>
        <w:rPr>
          <w:rFonts w:ascii="Times New Roman" w:hAnsi="Times New Roman" w:cs="Times New Roman"/>
          <w:sz w:val="24"/>
        </w:rPr>
        <w:t xml:space="preserve">. </w:t>
      </w:r>
    </w:p>
    <w:p w:rsidR="000B2ED2" w:rsidRDefault="000B2ED2">
      <w:pPr>
        <w:rPr>
          <w:rFonts w:ascii="Times New Roman" w:hAnsi="Times New Roman" w:cs="Times New Roman"/>
          <w:sz w:val="24"/>
        </w:rPr>
        <w:sectPr w:rsidR="000B2ED2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:rsidR="000B2ED2" w:rsidRDefault="008C715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lastRenderedPageBreak/>
        <w:drawing>
          <wp:inline distT="0" distB="0" distL="114300" distR="114300">
            <wp:extent cx="5480050" cy="7752080"/>
            <wp:effectExtent l="0" t="0" r="6350" b="1270"/>
            <wp:docPr id="4" name="图片 4" descr="Figure S3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3NEW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0050" cy="775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ED2" w:rsidRDefault="000B2ED2">
      <w:pPr>
        <w:rPr>
          <w:rFonts w:ascii="Times New Roman" w:hAnsi="Times New Roman" w:cs="Times New Roman"/>
          <w:sz w:val="24"/>
        </w:rPr>
      </w:pPr>
    </w:p>
    <w:p w:rsidR="000B2ED2" w:rsidRDefault="008C715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Figure S</w:t>
      </w:r>
      <w:r>
        <w:rPr>
          <w:rFonts w:ascii="Times New Roman" w:hAnsi="Times New Roman" w:cs="Times New Roman" w:hint="eastAsia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Growth promotion </w:t>
      </w:r>
      <w:r>
        <w:rPr>
          <w:rFonts w:ascii="Times New Roman" w:hAnsi="Times New Roman" w:cs="Times New Roman" w:hint="eastAsia"/>
          <w:bCs/>
          <w:sz w:val="24"/>
          <w:szCs w:val="24"/>
        </w:rPr>
        <w:t>capacity of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A25-H1 and B10-A1.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(A) </w:t>
      </w:r>
      <w:r>
        <w:rPr>
          <w:rFonts w:ascii="Times New Roman" w:hAnsi="Times New Roman" w:cs="Times New Roman" w:hint="eastAsia"/>
          <w:sz w:val="24"/>
        </w:rPr>
        <w:t>A25-H1 and B10-A1 strains were inoculated on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Pikovskaya (PVK)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  <w:t>Nitrogen-Free Bromothymol Blue (NFB)</w:t>
      </w:r>
      <w:r>
        <w:rPr>
          <w:rFonts w:ascii="Times New Roman" w:hAnsi="Times New Roman" w:cs="Times New Roman" w:hint="eastAsia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blue agar medium containing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Chrome Azurol S (CA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 w:hint="eastAsia"/>
          <w:sz w:val="24"/>
          <w:szCs w:val="24"/>
        </w:rPr>
        <w:t>; 60.5 mg/L</w:t>
      </w:r>
      <w:r>
        <w:rPr>
          <w:rFonts w:ascii="Times New Roman" w:hAnsi="Times New Roman" w:cs="Times New Roman"/>
          <w:sz w:val="24"/>
          <w:szCs w:val="24"/>
        </w:rPr>
        <w:t>), respectively. </w:t>
      </w:r>
      <w:r>
        <w:rPr>
          <w:rFonts w:ascii="Times New Roman" w:hAnsi="Times New Roman" w:cs="Times New Roman" w:hint="eastAsia"/>
          <w:sz w:val="24"/>
          <w:szCs w:val="24"/>
        </w:rPr>
        <w:t>Appearance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 w:hint="eastAsia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transparent halo zones, blue color, and red/orange coloration </w:t>
      </w:r>
      <w:r>
        <w:rPr>
          <w:rFonts w:ascii="Times New Roman" w:hAnsi="Times New Roman" w:cs="Times New Roman" w:hint="eastAsia"/>
          <w:sz w:val="24"/>
          <w:szCs w:val="24"/>
        </w:rPr>
        <w:t xml:space="preserve">respectively </w:t>
      </w:r>
      <w:r>
        <w:rPr>
          <w:rFonts w:ascii="Times New Roman" w:hAnsi="Times New Roman" w:cs="Times New Roman"/>
          <w:sz w:val="24"/>
          <w:szCs w:val="24"/>
        </w:rPr>
        <w:t>indicate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phosphate-solubilizing, nitrogen-fixing, and siderophore-producing capabilities.</w:t>
      </w:r>
      <w:r>
        <w:rPr>
          <w:rFonts w:ascii="Times New Roman" w:hAnsi="Times New Roman" w:cs="Times New Roman" w:hint="eastAsia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>B</w:t>
      </w:r>
      <w:r>
        <w:rPr>
          <w:rFonts w:ascii="Times New Roman" w:hAnsi="Times New Roman" w:cs="Times New Roman" w:hint="eastAsia"/>
          <w:sz w:val="24"/>
        </w:rPr>
        <w:t xml:space="preserve">) </w:t>
      </w:r>
      <w:r>
        <w:rPr>
          <w:rFonts w:ascii="Times New Roman" w:hAnsi="Times New Roman" w:cs="Times New Roman"/>
          <w:sz w:val="24"/>
        </w:rPr>
        <w:t xml:space="preserve">Visualization of IAA by using the Salkowski reagent. </w:t>
      </w:r>
      <w:r>
        <w:rPr>
          <w:rFonts w:ascii="Times New Roman" w:hAnsi="Times New Roman" w:cs="Times New Roman" w:hint="eastAsia"/>
          <w:sz w:val="24"/>
        </w:rPr>
        <w:t>Top panel: s</w:t>
      </w:r>
      <w:r>
        <w:rPr>
          <w:rFonts w:ascii="Times New Roman" w:hAnsi="Times New Roman" w:cs="Times New Roman"/>
          <w:sz w:val="24"/>
        </w:rPr>
        <w:t>erially diluted IAA s</w:t>
      </w:r>
      <w:r>
        <w:rPr>
          <w:rFonts w:ascii="Times New Roman" w:hAnsi="Times New Roman" w:cs="Times New Roman"/>
          <w:sz w:val="24"/>
        </w:rPr>
        <w:t xml:space="preserve">olution </w:t>
      </w:r>
      <w:r>
        <w:rPr>
          <w:rFonts w:ascii="Times New Roman" w:hAnsi="Times New Roman" w:cs="Times New Roman" w:hint="eastAsia"/>
          <w:sz w:val="24"/>
        </w:rPr>
        <w:t xml:space="preserve">(50, 5, 0.5 </w:t>
      </w:r>
      <w:r>
        <w:rPr>
          <w:rFonts w:ascii="Symbol" w:hAnsi="Symbol" w:cs="Symbol"/>
          <w:sz w:val="24"/>
        </w:rPr>
        <w:t></w:t>
      </w:r>
      <w:r>
        <w:rPr>
          <w:rFonts w:ascii="Times New Roman" w:hAnsi="Times New Roman" w:cs="Times New Roman" w:hint="eastAsia"/>
          <w:sz w:val="24"/>
        </w:rPr>
        <w:t xml:space="preserve">g/ml). </w:t>
      </w:r>
      <w:r>
        <w:rPr>
          <w:rFonts w:ascii="Times New Roman" w:hAnsi="Times New Roman" w:cs="Times New Roman"/>
          <w:sz w:val="24"/>
        </w:rPr>
        <w:t xml:space="preserve">TSB </w:t>
      </w:r>
      <w:r>
        <w:rPr>
          <w:rFonts w:ascii="Times New Roman" w:hAnsi="Times New Roman" w:cs="Times New Roman" w:hint="eastAsia"/>
          <w:sz w:val="24"/>
        </w:rPr>
        <w:t xml:space="preserve">served </w:t>
      </w:r>
      <w:r>
        <w:rPr>
          <w:rFonts w:ascii="Times New Roman" w:hAnsi="Times New Roman" w:cs="Times New Roman"/>
          <w:sz w:val="24"/>
        </w:rPr>
        <w:t xml:space="preserve">as </w:t>
      </w:r>
      <w:r>
        <w:rPr>
          <w:rFonts w:ascii="Times New Roman" w:hAnsi="Times New Roman" w:cs="Times New Roman" w:hint="eastAsia"/>
          <w:sz w:val="24"/>
        </w:rPr>
        <w:t xml:space="preserve">a </w:t>
      </w:r>
      <w:r>
        <w:rPr>
          <w:rFonts w:ascii="Times New Roman" w:hAnsi="Times New Roman" w:cs="Times New Roman"/>
          <w:sz w:val="24"/>
        </w:rPr>
        <w:t xml:space="preserve">negative control. </w:t>
      </w:r>
      <w:r>
        <w:rPr>
          <w:rFonts w:ascii="Times New Roman" w:hAnsi="Times New Roman" w:cs="Times New Roman" w:hint="eastAsia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C</w:t>
      </w:r>
      <w:r>
        <w:rPr>
          <w:rFonts w:ascii="Times New Roman" w:hAnsi="Times New Roman" w:cs="Times New Roman" w:hint="eastAsia"/>
          <w:sz w:val="24"/>
        </w:rPr>
        <w:t xml:space="preserve">) </w:t>
      </w:r>
      <w:r>
        <w:rPr>
          <w:rFonts w:ascii="Times New Roman" w:hAnsi="Times New Roman" w:cs="Times New Roman"/>
          <w:sz w:val="24"/>
        </w:rPr>
        <w:t xml:space="preserve">Mass spectrometry </w:t>
      </w:r>
      <w:r>
        <w:rPr>
          <w:rFonts w:ascii="Times New Roman" w:hAnsi="Times New Roman" w:cs="Times New Roman" w:hint="eastAsia"/>
          <w:sz w:val="24"/>
        </w:rPr>
        <w:t>peaks corresponding to</w:t>
      </w:r>
      <w:r>
        <w:rPr>
          <w:rFonts w:ascii="Times New Roman" w:hAnsi="Times New Roman" w:cs="Times New Roman"/>
          <w:sz w:val="24"/>
        </w:rPr>
        <w:t xml:space="preserve"> IAA detect</w:t>
      </w:r>
      <w:r>
        <w:rPr>
          <w:rFonts w:ascii="Times New Roman" w:hAnsi="Times New Roman" w:cs="Times New Roman" w:hint="eastAsia"/>
          <w:sz w:val="24"/>
        </w:rPr>
        <w:t>ed</w:t>
      </w:r>
      <w:r>
        <w:rPr>
          <w:rFonts w:ascii="Times New Roman" w:hAnsi="Times New Roman" w:cs="Times New Roman"/>
          <w:sz w:val="24"/>
        </w:rPr>
        <w:t xml:space="preserve"> in </w:t>
      </w:r>
      <w:r>
        <w:rPr>
          <w:rFonts w:ascii="Times New Roman" w:hAnsi="Times New Roman" w:cs="Times New Roman" w:hint="eastAsia"/>
          <w:sz w:val="24"/>
        </w:rPr>
        <w:t xml:space="preserve">IAA standard (0.1 pmol), extracellular and </w:t>
      </w:r>
      <w:r>
        <w:rPr>
          <w:rFonts w:ascii="Times New Roman" w:hAnsi="Times New Roman" w:cs="Times New Roman"/>
          <w:sz w:val="24"/>
        </w:rPr>
        <w:t>intracellular</w:t>
      </w:r>
      <w:r>
        <w:rPr>
          <w:rFonts w:ascii="Times New Roman" w:hAnsi="Times New Roman" w:cs="Times New Roman" w:hint="eastAsia"/>
          <w:sz w:val="24"/>
        </w:rPr>
        <w:t xml:space="preserve"> extracts </w:t>
      </w:r>
      <w:r>
        <w:rPr>
          <w:rFonts w:ascii="Times New Roman" w:hAnsi="Times New Roman" w:cs="Times New Roman"/>
          <w:sz w:val="24"/>
        </w:rPr>
        <w:t>of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 w:hint="eastAsia"/>
          <w:sz w:val="24"/>
        </w:rPr>
        <w:t>25-H1</w:t>
      </w:r>
      <w:r>
        <w:rPr>
          <w:rFonts w:ascii="Times New Roman" w:hAnsi="Times New Roman" w:cs="Times New Roman"/>
          <w:sz w:val="24"/>
        </w:rPr>
        <w:t xml:space="preserve"> and B</w:t>
      </w:r>
      <w:r>
        <w:rPr>
          <w:rFonts w:ascii="Times New Roman" w:hAnsi="Times New Roman" w:cs="Times New Roman" w:hint="eastAsia"/>
          <w:sz w:val="24"/>
        </w:rPr>
        <w:t>10-A1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grown in TSB supplemented with</w:t>
      </w:r>
      <w:r>
        <w:rPr>
          <w:rFonts w:ascii="Times New Roman" w:hAnsi="Times New Roman" w:cs="Times New Roman"/>
          <w:sz w:val="24"/>
        </w:rPr>
        <w:t xml:space="preserve"> tryptophan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(1 mg/mL). </w:t>
      </w:r>
      <w:r>
        <w:rPr>
          <w:rFonts w:ascii="Times New Roman" w:hAnsi="Times New Roman" w:cs="Times New Roman" w:hint="eastAsia"/>
          <w:sz w:val="24"/>
        </w:rPr>
        <w:t>TSB served as a mock control (no IAA production).</w:t>
      </w:r>
      <w:r>
        <w:rPr>
          <w:rFonts w:ascii="Times New Roman" w:hAnsi="Times New Roman" w:cs="Times New Roman" w:hint="eastAsia"/>
          <w:sz w:val="24"/>
        </w:rPr>
        <w:t xml:space="preserve"> (D) E</w:t>
      </w:r>
      <w:r>
        <w:rPr>
          <w:rFonts w:ascii="Times New Roman" w:hAnsi="Times New Roman" w:cs="Times New Roman"/>
          <w:sz w:val="24"/>
        </w:rPr>
        <w:t xml:space="preserve">xpression profiling of </w:t>
      </w:r>
      <w:r>
        <w:rPr>
          <w:rFonts w:ascii="Times New Roman" w:hAnsi="Times New Roman" w:cs="Times New Roman"/>
          <w:i/>
          <w:iCs/>
          <w:sz w:val="24"/>
        </w:rPr>
        <w:t>Os</w:t>
      </w:r>
      <w:r>
        <w:rPr>
          <w:rFonts w:ascii="Times New Roman" w:hAnsi="Times New Roman" w:cs="Times New Roman" w:hint="eastAsia"/>
          <w:i/>
          <w:iCs/>
          <w:sz w:val="24"/>
        </w:rPr>
        <w:t>EXPA7</w:t>
      </w:r>
      <w:r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>Os</w:t>
      </w:r>
      <w:r>
        <w:rPr>
          <w:rFonts w:ascii="Times New Roman" w:hAnsi="Times New Roman" w:cs="Times New Roman" w:hint="eastAsia"/>
          <w:i/>
          <w:iCs/>
          <w:sz w:val="24"/>
        </w:rPr>
        <w:t xml:space="preserve">EXPB3 </w:t>
      </w:r>
      <w:r>
        <w:rPr>
          <w:rFonts w:ascii="Times New Roman" w:hAnsi="Times New Roman" w:cs="Times New Roman"/>
          <w:sz w:val="24"/>
        </w:rPr>
        <w:t xml:space="preserve">and </w:t>
      </w:r>
      <w:r>
        <w:rPr>
          <w:rFonts w:ascii="Times New Roman" w:hAnsi="Times New Roman" w:cs="Times New Roman"/>
          <w:i/>
          <w:iCs/>
          <w:sz w:val="24"/>
        </w:rPr>
        <w:t>Os</w:t>
      </w:r>
      <w:r>
        <w:rPr>
          <w:rFonts w:ascii="Times New Roman" w:hAnsi="Times New Roman" w:cs="Times New Roman" w:hint="eastAsia"/>
          <w:i/>
          <w:iCs/>
          <w:sz w:val="24"/>
        </w:rPr>
        <w:t>EXPB7</w:t>
      </w:r>
      <w:r>
        <w:rPr>
          <w:rFonts w:ascii="Times New Roman" w:hAnsi="Times New Roman" w:cs="Times New Roman"/>
          <w:sz w:val="24"/>
        </w:rPr>
        <w:t xml:space="preserve"> in the </w:t>
      </w:r>
      <w:r>
        <w:rPr>
          <w:rFonts w:ascii="Times New Roman" w:hAnsi="Times New Roman" w:cs="Times New Roman"/>
          <w:sz w:val="24"/>
        </w:rPr>
        <w:t>detached</w:t>
      </w:r>
      <w:r>
        <w:rPr>
          <w:rFonts w:ascii="Times New Roman" w:hAnsi="Times New Roman" w:cs="Times New Roman"/>
          <w:sz w:val="24"/>
        </w:rPr>
        <w:t xml:space="preserve"> rice </w:t>
      </w:r>
      <w:r>
        <w:rPr>
          <w:rFonts w:ascii="Times New Roman" w:hAnsi="Times New Roman" w:cs="Times New Roman"/>
          <w:sz w:val="24"/>
        </w:rPr>
        <w:t xml:space="preserve">leaves </w:t>
      </w:r>
      <w:r>
        <w:rPr>
          <w:rFonts w:ascii="Times New Roman" w:hAnsi="Times New Roman" w:cs="Times New Roman" w:hint="eastAsia"/>
          <w:sz w:val="24"/>
        </w:rPr>
        <w:t xml:space="preserve">without treatment (mock) or treated </w:t>
      </w:r>
      <w:r>
        <w:rPr>
          <w:rFonts w:ascii="Times New Roman" w:hAnsi="Times New Roman" w:cs="Times New Roman"/>
          <w:sz w:val="24"/>
        </w:rPr>
        <w:t xml:space="preserve">with </w:t>
      </w:r>
      <w:r>
        <w:rPr>
          <w:rFonts w:ascii="Times New Roman" w:hAnsi="Times New Roman" w:cs="Times New Roman" w:hint="eastAsia"/>
          <w:sz w:val="24"/>
        </w:rPr>
        <w:t xml:space="preserve">LB (blank control), </w:t>
      </w:r>
      <w:r>
        <w:rPr>
          <w:rFonts w:ascii="Times New Roman" w:hAnsi="Times New Roman" w:cs="Times New Roman"/>
          <w:sz w:val="24"/>
        </w:rPr>
        <w:t>A25-11</w:t>
      </w:r>
      <w:r>
        <w:rPr>
          <w:rFonts w:ascii="Times New Roman" w:hAnsi="Times New Roman" w:cs="Times New Roman" w:hint="eastAsia"/>
          <w:sz w:val="24"/>
        </w:rPr>
        <w:t xml:space="preserve"> (</w:t>
      </w:r>
      <w:r>
        <w:rPr>
          <w:rFonts w:ascii="Times New Roman" w:eastAsia="仿宋_GB2312" w:hAnsi="Times New Roman" w:cs="Times New Roman"/>
          <w:sz w:val="24"/>
        </w:rPr>
        <w:t>O.D.</w:t>
      </w:r>
      <w:r>
        <w:rPr>
          <w:rFonts w:ascii="Times New Roman" w:eastAsia="仿宋_GB2312" w:hAnsi="Times New Roman" w:cs="Times New Roman"/>
          <w:sz w:val="24"/>
          <w:vertAlign w:val="subscript"/>
        </w:rPr>
        <w:t>600</w:t>
      </w:r>
      <w:r>
        <w:rPr>
          <w:rFonts w:ascii="Times New Roman" w:hAnsi="Times New Roman" w:cs="Times New Roman" w:hint="eastAsia"/>
          <w:sz w:val="24"/>
        </w:rPr>
        <w:t xml:space="preserve"> = 0.5), </w:t>
      </w:r>
      <w:r>
        <w:rPr>
          <w:rFonts w:ascii="Times New Roman" w:hAnsi="Times New Roman" w:cs="Times New Roman"/>
          <w:sz w:val="24"/>
        </w:rPr>
        <w:t>B10-A1</w:t>
      </w:r>
      <w:r>
        <w:rPr>
          <w:rFonts w:ascii="Times New Roman" w:hAnsi="Times New Roman" w:cs="Times New Roman" w:hint="eastAsia"/>
          <w:sz w:val="24"/>
        </w:rPr>
        <w:t xml:space="preserve"> (</w:t>
      </w:r>
      <w:r>
        <w:rPr>
          <w:rFonts w:ascii="Times New Roman" w:eastAsia="仿宋_GB2312" w:hAnsi="Times New Roman" w:cs="Times New Roman"/>
          <w:sz w:val="24"/>
        </w:rPr>
        <w:t>O.D.</w:t>
      </w:r>
      <w:r>
        <w:rPr>
          <w:rFonts w:ascii="Times New Roman" w:eastAsia="仿宋_GB2312" w:hAnsi="Times New Roman" w:cs="Times New Roman"/>
          <w:sz w:val="24"/>
          <w:vertAlign w:val="subscript"/>
        </w:rPr>
        <w:t>600</w:t>
      </w:r>
      <w:r>
        <w:rPr>
          <w:rFonts w:ascii="Times New Roman" w:hAnsi="Times New Roman" w:cs="Times New Roman" w:hint="eastAsia"/>
          <w:sz w:val="24"/>
        </w:rPr>
        <w:t xml:space="preserve"> = 0.5</w:t>
      </w:r>
      <w:r>
        <w:rPr>
          <w:rFonts w:ascii="Times New Roman" w:hAnsi="Times New Roman" w:cs="Times New Roman" w:hint="eastAsia"/>
          <w:sz w:val="24"/>
        </w:rPr>
        <w:t xml:space="preserve">) </w:t>
      </w:r>
      <w:r>
        <w:rPr>
          <w:rFonts w:ascii="Times New Roman" w:hAnsi="Times New Roman" w:cs="Times New Roman"/>
          <w:sz w:val="24"/>
        </w:rPr>
        <w:t xml:space="preserve">or </w:t>
      </w:r>
      <w:r>
        <w:rPr>
          <w:rFonts w:ascii="Times New Roman" w:hAnsi="Times New Roman" w:cs="Times New Roman" w:hint="eastAsia"/>
          <w:sz w:val="24"/>
        </w:rPr>
        <w:t xml:space="preserve">IAA (100 </w:t>
      </w:r>
      <w:r>
        <w:rPr>
          <w:rFonts w:ascii="Symbol" w:hAnsi="Symbol" w:cs="Symbol"/>
          <w:sz w:val="24"/>
        </w:rPr>
        <w:t></w:t>
      </w:r>
      <w:r>
        <w:rPr>
          <w:rFonts w:ascii="Times New Roman" w:hAnsi="Times New Roman" w:cs="Times New Roman" w:hint="eastAsia"/>
          <w:sz w:val="24"/>
        </w:rPr>
        <w:t>M, positive control), for 2 h</w:t>
      </w:r>
      <w:r>
        <w:rPr>
          <w:rFonts w:ascii="Times New Roman" w:hAnsi="Times New Roman" w:cs="Times New Roman"/>
          <w:sz w:val="24"/>
        </w:rPr>
        <w:t xml:space="preserve">. Relative </w:t>
      </w:r>
      <w:r>
        <w:rPr>
          <w:rFonts w:ascii="Times New Roman" w:hAnsi="Times New Roman" w:cs="Times New Roman" w:hint="eastAsia"/>
          <w:sz w:val="24"/>
        </w:rPr>
        <w:t>fol</w:t>
      </w:r>
      <w:r>
        <w:rPr>
          <w:rFonts w:ascii="Times New Roman" w:hAnsi="Times New Roman" w:cs="Times New Roman" w:hint="eastAsia"/>
          <w:sz w:val="24"/>
          <w:szCs w:val="24"/>
        </w:rPr>
        <w:t>ds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 w:hint="eastAsia"/>
          <w:sz w:val="24"/>
          <w:szCs w:val="24"/>
        </w:rPr>
        <w:t>ere</w:t>
      </w:r>
      <w:r>
        <w:rPr>
          <w:rFonts w:ascii="Times New Roman" w:hAnsi="Times New Roman" w:cs="Times New Roman"/>
          <w:sz w:val="24"/>
          <w:szCs w:val="24"/>
        </w:rPr>
        <w:t xml:space="preserve"> calculated </w:t>
      </w:r>
      <w:r>
        <w:rPr>
          <w:rFonts w:ascii="Times New Roman" w:hAnsi="Times New Roman" w:cs="Times New Roman" w:hint="eastAsia"/>
          <w:sz w:val="24"/>
          <w:szCs w:val="24"/>
        </w:rPr>
        <w:t xml:space="preserve">by </w:t>
      </w:r>
      <w:r>
        <w:rPr>
          <w:rFonts w:ascii="Times New Roman" w:hAnsi="Times New Roman" w:cs="Times New Roman"/>
          <w:sz w:val="24"/>
          <w:szCs w:val="24"/>
        </w:rPr>
        <w:t>using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−</w:t>
      </w:r>
      <w:r>
        <w:rPr>
          <w:rFonts w:ascii="Times New Roman" w:hAnsi="Times New Roman" w:cs="Times New Roman"/>
          <w:sz w:val="24"/>
          <w:szCs w:val="24"/>
          <w:vertAlign w:val="superscript"/>
        </w:rPr>
        <w:sym w:font="Symbol" w:char="F044"/>
      </w:r>
      <w:r>
        <w:rPr>
          <w:rFonts w:ascii="Times New Roman" w:hAnsi="Times New Roman" w:cs="Times New Roman"/>
          <w:sz w:val="24"/>
          <w:szCs w:val="24"/>
          <w:vertAlign w:val="superscript"/>
        </w:rPr>
        <w:sym w:font="Symbol" w:char="F044"/>
      </w:r>
      <w:r>
        <w:rPr>
          <w:rFonts w:ascii="Times New Roman" w:hAnsi="Times New Roman" w:cs="Times New Roman"/>
          <w:sz w:val="24"/>
          <w:szCs w:val="24"/>
          <w:vertAlign w:val="superscript"/>
        </w:rPr>
        <w:t>CT</w:t>
      </w:r>
      <w:r>
        <w:rPr>
          <w:rFonts w:ascii="Times New Roman" w:hAnsi="Times New Roman" w:cs="Times New Roman"/>
          <w:sz w:val="24"/>
          <w:szCs w:val="24"/>
        </w:rPr>
        <w:t xml:space="preserve"> met</w:t>
      </w:r>
      <w:r>
        <w:rPr>
          <w:rFonts w:ascii="Times New Roman" w:hAnsi="Times New Roman" w:cs="Times New Roman"/>
          <w:sz w:val="24"/>
          <w:szCs w:val="24"/>
        </w:rPr>
        <w:t>hod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[2]</w:t>
      </w:r>
      <w:r>
        <w:rPr>
          <w:rFonts w:ascii="Times New Roman" w:hAnsi="Times New Roman" w:cs="Times New Roman"/>
          <w:sz w:val="24"/>
          <w:szCs w:val="24"/>
        </w:rPr>
        <w:t xml:space="preserve">, with 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OsUBQ</w:t>
      </w:r>
      <w:r>
        <w:rPr>
          <w:rFonts w:ascii="Times New Roman" w:hAnsi="Times New Roman" w:cs="Times New Roman"/>
          <w:sz w:val="24"/>
          <w:szCs w:val="24"/>
        </w:rPr>
        <w:t xml:space="preserve"> as an internal control. Gene expression level in </w:t>
      </w:r>
      <w:r>
        <w:rPr>
          <w:rFonts w:ascii="Times New Roman" w:hAnsi="Times New Roman" w:cs="Times New Roman" w:hint="eastAsia"/>
          <w:sz w:val="24"/>
          <w:szCs w:val="24"/>
        </w:rPr>
        <w:t>u</w:t>
      </w:r>
      <w:r>
        <w:rPr>
          <w:rFonts w:ascii="Times New Roman" w:hAnsi="Times New Roman" w:cs="Times New Roman" w:hint="eastAsia"/>
          <w:sz w:val="24"/>
          <w:szCs w:val="24"/>
        </w:rPr>
        <w:t>ntreated leaves (mock)</w:t>
      </w:r>
      <w:r>
        <w:rPr>
          <w:rFonts w:ascii="Times New Roman" w:hAnsi="Times New Roman" w:cs="Times New Roman"/>
          <w:sz w:val="24"/>
          <w:szCs w:val="24"/>
        </w:rPr>
        <w:t xml:space="preserve"> was set as “1”. Mean ± </w:t>
      </w:r>
      <w:r>
        <w:rPr>
          <w:rFonts w:ascii="Times New Roman" w:hAnsi="Times New Roman" w:cs="Times New Roman"/>
          <w:i/>
          <w:iCs/>
          <w:sz w:val="24"/>
          <w:szCs w:val="24"/>
        </w:rPr>
        <w:t>S.D.</w:t>
      </w:r>
      <w:r>
        <w:rPr>
          <w:rFonts w:ascii="Times New Roman" w:hAnsi="Times New Roman" w:cs="Times New Roman"/>
          <w:sz w:val="24"/>
          <w:szCs w:val="24"/>
        </w:rPr>
        <w:t xml:space="preserve"> was 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>
        <w:rPr>
          <w:rFonts w:ascii="Times New Roman" w:hAnsi="Times New Roman" w:cs="Times New Roman" w:hint="eastAsia"/>
          <w:sz w:val="24"/>
          <w:szCs w:val="24"/>
        </w:rPr>
        <w:t>erived from</w:t>
      </w:r>
      <w:r>
        <w:rPr>
          <w:rFonts w:ascii="Times New Roman" w:hAnsi="Times New Roman" w:cs="Times New Roman"/>
          <w:sz w:val="24"/>
          <w:szCs w:val="24"/>
        </w:rPr>
        <w:t xml:space="preserve"> three independent biological repeats. **, ***: 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0.001 </w:t>
      </w:r>
      <w:r>
        <w:rPr>
          <w:rFonts w:ascii="Times New Roman" w:hAnsi="Times New Roman" w:cs="Times New Roman" w:hint="eastAsia"/>
          <w:sz w:val="24"/>
          <w:szCs w:val="24"/>
        </w:rPr>
        <w:t xml:space="preserve">vs mock </w:t>
      </w:r>
      <w:r>
        <w:rPr>
          <w:rFonts w:ascii="Times New Roman" w:hAnsi="Times New Roman" w:cs="Times New Roman"/>
          <w:sz w:val="24"/>
          <w:szCs w:val="24"/>
        </w:rPr>
        <w:t xml:space="preserve">respectively (Student's </w:t>
      </w:r>
      <w:r>
        <w:rPr>
          <w:rFonts w:ascii="Times New Roman" w:hAnsi="Times New Roman" w:cs="Times New Roman"/>
          <w:i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test).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0B2ED2" w:rsidRDefault="008C715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lastRenderedPageBreak/>
        <w:drawing>
          <wp:inline distT="0" distB="0" distL="114300" distR="114300">
            <wp:extent cx="5480050" cy="7752080"/>
            <wp:effectExtent l="0" t="0" r="6350" b="1270"/>
            <wp:docPr id="3" name="图片 3" descr="Figure S4NE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4NEW 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0050" cy="775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ED2" w:rsidRDefault="000B2ED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:rsidR="000B2ED2" w:rsidRDefault="008C715A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lastRenderedPageBreak/>
        <w:t>Figure S</w:t>
      </w:r>
      <w:r>
        <w:rPr>
          <w:rFonts w:ascii="Times New Roman" w:hAnsi="Times New Roman" w:cs="Times New Roman" w:hint="eastAsia"/>
          <w:b/>
          <w:bCs/>
          <w:sz w:val="24"/>
        </w:rPr>
        <w:t xml:space="preserve">4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Comparative genome analysis with A25-H1 and selected 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>P. ananatis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strains. </w:t>
      </w:r>
      <w:r>
        <w:rPr>
          <w:rFonts w:ascii="Times New Roman" w:hAnsi="Times New Roman" w:cs="Times New Roman"/>
          <w:bCs/>
          <w:sz w:val="24"/>
          <w:szCs w:val="24"/>
        </w:rPr>
        <w:t xml:space="preserve">(A) </w:t>
      </w:r>
      <w:r>
        <w:rPr>
          <w:rFonts w:ascii="Times New Roman" w:hAnsi="Times New Roman" w:cs="Times New Roman" w:hint="eastAsia"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hylogenetic analysis </w:t>
      </w:r>
      <w:r>
        <w:rPr>
          <w:rFonts w:ascii="Times New Roman" w:hAnsi="Times New Roman" w:cs="Times New Roman" w:hint="eastAsia"/>
          <w:sz w:val="24"/>
        </w:rPr>
        <w:t xml:space="preserve">at genome level </w:t>
      </w:r>
      <w:r>
        <w:rPr>
          <w:rFonts w:ascii="Times New Roman" w:hAnsi="Times New Roman" w:cs="Times New Roman"/>
          <w:sz w:val="24"/>
        </w:rPr>
        <w:t xml:space="preserve">was performed </w:t>
      </w:r>
      <w:r>
        <w:rPr>
          <w:rFonts w:ascii="Times New Roman" w:hAnsi="Times New Roman" w:cs="Times New Roman"/>
          <w:sz w:val="24"/>
        </w:rPr>
        <w:t>using OrthoFinder (v3.0.1)</w:t>
      </w:r>
      <w:r>
        <w:rPr>
          <w:rFonts w:ascii="Times New Roman" w:hAnsi="Times New Roman" w:cs="Times New Roman" w:hint="eastAsia"/>
          <w:sz w:val="24"/>
        </w:rPr>
        <w:t>. The</w:t>
      </w:r>
      <w:r>
        <w:rPr>
          <w:rFonts w:ascii="Times New Roman" w:hAnsi="Times New Roman" w:cs="Times New Roman"/>
          <w:sz w:val="24"/>
        </w:rPr>
        <w:t xml:space="preserve"> 18</w:t>
      </w:r>
      <w:r>
        <w:rPr>
          <w:rFonts w:ascii="Times New Roman" w:eastAsia="仿宋_GB2312" w:hAnsi="Times New Roman" w:cs="Times New Roman"/>
          <w:kern w:val="2"/>
          <w:sz w:val="24"/>
          <w:szCs w:val="24"/>
          <w:lang w:bidi="ar"/>
        </w:rPr>
        <w:t xml:space="preserve"> </w:t>
      </w:r>
      <w:r>
        <w:rPr>
          <w:rFonts w:ascii="Times New Roman" w:hAnsi="Times New Roman" w:cs="Times New Roman" w:hint="eastAsia"/>
          <w:i/>
          <w:iCs/>
          <w:sz w:val="24"/>
        </w:rPr>
        <w:t>P. ananatis</w:t>
      </w:r>
      <w:r>
        <w:rPr>
          <w:rFonts w:ascii="Times New Roman" w:eastAsia="仿宋_GB2312" w:hAnsi="Times New Roman" w:cs="Times New Roman"/>
          <w:kern w:val="2"/>
          <w:sz w:val="24"/>
          <w:szCs w:val="24"/>
          <w:lang w:bidi="ar"/>
        </w:rPr>
        <w:t xml:space="preserve"> </w:t>
      </w:r>
      <w:r>
        <w:rPr>
          <w:rFonts w:ascii="Times New Roman" w:eastAsia="仿宋_GB2312" w:hAnsi="Times New Roman" w:cs="Times New Roman" w:hint="eastAsia"/>
          <w:kern w:val="2"/>
          <w:sz w:val="24"/>
          <w:szCs w:val="24"/>
          <w:lang w:bidi="ar"/>
        </w:rPr>
        <w:t>0</w:t>
      </w:r>
      <w:r>
        <w:rPr>
          <w:rFonts w:ascii="Times New Roman" w:hAnsi="Times New Roman" w:cs="Times New Roman"/>
          <w:sz w:val="24"/>
        </w:rPr>
        <w:t xml:space="preserve">genomes </w:t>
      </w:r>
      <w:r>
        <w:rPr>
          <w:rFonts w:ascii="Times New Roman" w:hAnsi="Times New Roman" w:cs="Times New Roman" w:hint="eastAsia"/>
          <w:sz w:val="24"/>
        </w:rPr>
        <w:t xml:space="preserve">were </w:t>
      </w:r>
      <w:r>
        <w:rPr>
          <w:rFonts w:ascii="Times New Roman" w:hAnsi="Times New Roman" w:cs="Times New Roman"/>
          <w:sz w:val="24"/>
        </w:rPr>
        <w:t xml:space="preserve">retrieved from the NCBI genome database. </w:t>
      </w:r>
      <w:r>
        <w:rPr>
          <w:rFonts w:ascii="Times New Roman" w:hAnsi="Times New Roman" w:cs="Times New Roman" w:hint="eastAsia"/>
          <w:sz w:val="24"/>
        </w:rPr>
        <w:t>Red fonts represent p</w:t>
      </w:r>
      <w:r>
        <w:rPr>
          <w:rFonts w:ascii="Times New Roman" w:hAnsi="Times New Roman" w:cs="Times New Roman"/>
          <w:sz w:val="24"/>
        </w:rPr>
        <w:t xml:space="preserve">athogenic strains, </w:t>
      </w:r>
      <w:r>
        <w:rPr>
          <w:rFonts w:ascii="Times New Roman" w:hAnsi="Times New Roman" w:cs="Times New Roman" w:hint="eastAsia"/>
          <w:sz w:val="24"/>
        </w:rPr>
        <w:t>green for p</w:t>
      </w:r>
      <w:r>
        <w:rPr>
          <w:rFonts w:ascii="Times New Roman" w:hAnsi="Times New Roman" w:cs="Times New Roman"/>
          <w:sz w:val="24"/>
        </w:rPr>
        <w:t xml:space="preserve">lant </w:t>
      </w:r>
      <w:r>
        <w:rPr>
          <w:rFonts w:ascii="Times New Roman" w:hAnsi="Times New Roman" w:cs="Times New Roman" w:hint="eastAsia"/>
          <w:sz w:val="24"/>
        </w:rPr>
        <w:t>g</w:t>
      </w:r>
      <w:r>
        <w:rPr>
          <w:rFonts w:ascii="Times New Roman" w:hAnsi="Times New Roman" w:cs="Times New Roman"/>
          <w:sz w:val="24"/>
        </w:rPr>
        <w:t>rowth-</w:t>
      </w:r>
      <w:r>
        <w:rPr>
          <w:rFonts w:ascii="Times New Roman" w:hAnsi="Times New Roman" w:cs="Times New Roman" w:hint="eastAsia"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romoting (PGP) strains, and </w:t>
      </w:r>
      <w:r>
        <w:rPr>
          <w:rFonts w:ascii="Times New Roman" w:hAnsi="Times New Roman" w:cs="Times New Roman" w:hint="eastAsia"/>
          <w:sz w:val="24"/>
        </w:rPr>
        <w:t xml:space="preserve">black for </w:t>
      </w:r>
      <w:r>
        <w:rPr>
          <w:rFonts w:ascii="Times New Roman" w:hAnsi="Times New Roman" w:cs="Times New Roman"/>
          <w:sz w:val="24"/>
        </w:rPr>
        <w:t>strains of unknown function.</w:t>
      </w:r>
      <w:r>
        <w:rPr>
          <w:rFonts w:ascii="Times New Roman" w:hAnsi="Times New Roman" w:cs="Times New Roman" w:hint="eastAsia"/>
          <w:sz w:val="24"/>
        </w:rPr>
        <w:t xml:space="preserve"> *** denotes to A25-H1 strain. </w:t>
      </w:r>
      <w:r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 w:hint="eastAsia"/>
          <w:bCs/>
          <w:sz w:val="24"/>
          <w:szCs w:val="24"/>
        </w:rPr>
        <w:t>B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Detection of </w:t>
      </w:r>
      <w:r>
        <w:rPr>
          <w:rFonts w:ascii="Times New Roman" w:hAnsi="Times New Roman" w:cs="Times New Roman"/>
          <w:i/>
          <w:iCs/>
          <w:sz w:val="24"/>
        </w:rPr>
        <w:t>MCP II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gene in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i/>
          <w:iCs/>
          <w:sz w:val="24"/>
        </w:rPr>
        <w:t>P. ananatis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strains SC7, </w:t>
      </w:r>
      <w:r>
        <w:rPr>
          <w:rFonts w:ascii="Times New Roman" w:hAnsi="Times New Roman" w:cs="Times New Roman" w:hint="eastAsia"/>
          <w:sz w:val="24"/>
        </w:rPr>
        <w:t>A25-F1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 w:hint="eastAsia"/>
          <w:sz w:val="24"/>
        </w:rPr>
        <w:t>A25-G1</w:t>
      </w:r>
      <w:r>
        <w:rPr>
          <w:rFonts w:ascii="Times New Roman" w:hAnsi="Times New Roman" w:cs="Times New Roman"/>
          <w:sz w:val="24"/>
        </w:rPr>
        <w:t>, and</w:t>
      </w:r>
      <w:r>
        <w:rPr>
          <w:rFonts w:ascii="Times New Roman" w:hAnsi="Times New Roman" w:cs="Times New Roman" w:hint="eastAsia"/>
          <w:sz w:val="24"/>
        </w:rPr>
        <w:t xml:space="preserve"> A25-H1</w:t>
      </w:r>
      <w:r>
        <w:rPr>
          <w:rFonts w:ascii="Times New Roman" w:hAnsi="Times New Roman" w:cs="Times New Roman"/>
          <w:sz w:val="24"/>
        </w:rPr>
        <w:t>.</w:t>
      </w:r>
    </w:p>
    <w:p w:rsidR="000B2ED2" w:rsidRDefault="000B2ED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:rsidR="000B2ED2" w:rsidRDefault="008C715A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 xml:space="preserve">1 </w:t>
      </w:r>
      <w:r>
        <w:rPr>
          <w:rFonts w:ascii="Times New Roman" w:hAnsi="Times New Roman" w:cs="Times New Roman" w:hint="eastAsia"/>
          <w:b/>
          <w:bCs/>
          <w:sz w:val="24"/>
        </w:rPr>
        <w:t>Presence of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>M</w:t>
      </w:r>
      <w:r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CP</w:t>
      </w:r>
      <w:r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II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in 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>P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>.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>ananatis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strains</w:t>
      </w:r>
      <w:r>
        <w:rPr>
          <w:rFonts w:ascii="Times New Roman" w:hAnsi="Times New Roman" w:cs="Times New Roman"/>
          <w:b/>
          <w:bCs/>
          <w:sz w:val="24"/>
        </w:rPr>
        <w:t xml:space="preserve">. </w:t>
      </w:r>
    </w:p>
    <w:tbl>
      <w:tblPr>
        <w:tblW w:w="8539" w:type="dxa"/>
        <w:jc w:val="center"/>
        <w:tblBorders>
          <w:top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2"/>
        <w:gridCol w:w="2775"/>
        <w:gridCol w:w="1942"/>
        <w:gridCol w:w="2070"/>
      </w:tblGrid>
      <w:tr w:rsidR="000B2ED2">
        <w:trPr>
          <w:trHeight w:val="510"/>
          <w:jc w:val="center"/>
        </w:trPr>
        <w:tc>
          <w:tcPr>
            <w:tcW w:w="1752" w:type="dxa"/>
            <w:tcBorders>
              <w:top w:val="single" w:sz="12" w:space="0" w:color="auto"/>
              <w:bottom w:val="single" w:sz="4" w:space="0" w:color="auto"/>
            </w:tcBorders>
          </w:tcPr>
          <w:p w:rsidR="000B2ED2" w:rsidRDefault="008C715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train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 xml:space="preserve"> name</w:t>
            </w:r>
          </w:p>
        </w:tc>
        <w:tc>
          <w:tcPr>
            <w:tcW w:w="2775" w:type="dxa"/>
            <w:tcBorders>
              <w:top w:val="single" w:sz="12" w:space="0" w:color="auto"/>
              <w:bottom w:val="single" w:sz="4" w:space="0" w:color="auto"/>
            </w:tcBorders>
          </w:tcPr>
          <w:p w:rsidR="000B2ED2" w:rsidRDefault="008C715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 xml:space="preserve">Genome 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ID</w:t>
            </w:r>
          </w:p>
        </w:tc>
        <w:tc>
          <w:tcPr>
            <w:tcW w:w="1942" w:type="dxa"/>
            <w:tcBorders>
              <w:top w:val="single" w:sz="12" w:space="0" w:color="auto"/>
              <w:bottom w:val="single" w:sz="4" w:space="0" w:color="auto"/>
            </w:tcBorders>
          </w:tcPr>
          <w:p w:rsidR="000B2ED2" w:rsidRDefault="008C715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unctions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4" w:space="0" w:color="auto"/>
            </w:tcBorders>
          </w:tcPr>
          <w:p w:rsidR="000B2ED2" w:rsidRDefault="008C715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  <w:szCs w:val="24"/>
              </w:rPr>
              <w:t>MCP</w:t>
            </w:r>
            <w:r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 xml:space="preserve"> presence</w:t>
            </w:r>
          </w:p>
        </w:tc>
      </w:tr>
      <w:tr w:rsidR="000B2ED2">
        <w:trPr>
          <w:trHeight w:val="510"/>
          <w:jc w:val="center"/>
        </w:trPr>
        <w:tc>
          <w:tcPr>
            <w:tcW w:w="1752" w:type="dxa"/>
            <w:tcBorders>
              <w:top w:val="single" w:sz="4" w:space="0" w:color="auto"/>
            </w:tcBorders>
            <w:vAlign w:val="center"/>
          </w:tcPr>
          <w:p w:rsidR="000B2ED2" w:rsidRDefault="008C715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1.38</w:t>
            </w:r>
          </w:p>
        </w:tc>
        <w:tc>
          <w:tcPr>
            <w:tcW w:w="2775" w:type="dxa"/>
            <w:tcBorders>
              <w:top w:val="single" w:sz="4" w:space="0" w:color="auto"/>
            </w:tcBorders>
            <w:vAlign w:val="center"/>
          </w:tcPr>
          <w:p w:rsidR="000B2ED2" w:rsidRDefault="008C715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GCA_002224035.1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vAlign w:val="center"/>
          </w:tcPr>
          <w:p w:rsidR="000B2ED2" w:rsidRDefault="008C715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PGP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:rsidR="000B2ED2" w:rsidRDefault="008C715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Yes</w:t>
            </w:r>
          </w:p>
        </w:tc>
      </w:tr>
      <w:tr w:rsidR="000B2ED2">
        <w:trPr>
          <w:trHeight w:val="510"/>
          <w:jc w:val="center"/>
        </w:trPr>
        <w:tc>
          <w:tcPr>
            <w:tcW w:w="1752" w:type="dxa"/>
            <w:vAlign w:val="center"/>
          </w:tcPr>
          <w:p w:rsidR="000B2ED2" w:rsidRDefault="008C71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AMG501</w:t>
            </w:r>
          </w:p>
        </w:tc>
        <w:tc>
          <w:tcPr>
            <w:tcW w:w="2775" w:type="dxa"/>
            <w:vAlign w:val="center"/>
          </w:tcPr>
          <w:p w:rsidR="000B2ED2" w:rsidRDefault="008C71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GCA_002215245.1</w:t>
            </w:r>
          </w:p>
        </w:tc>
        <w:tc>
          <w:tcPr>
            <w:tcW w:w="1942" w:type="dxa"/>
            <w:vAlign w:val="center"/>
          </w:tcPr>
          <w:p w:rsidR="000B2ED2" w:rsidRDefault="008C71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PGP</w:t>
            </w:r>
          </w:p>
        </w:tc>
        <w:tc>
          <w:tcPr>
            <w:tcW w:w="2070" w:type="dxa"/>
            <w:vAlign w:val="center"/>
          </w:tcPr>
          <w:p w:rsidR="000B2ED2" w:rsidRDefault="008C715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Yes</w:t>
            </w:r>
          </w:p>
        </w:tc>
      </w:tr>
      <w:tr w:rsidR="000B2ED2">
        <w:trPr>
          <w:trHeight w:val="510"/>
          <w:jc w:val="center"/>
        </w:trPr>
        <w:tc>
          <w:tcPr>
            <w:tcW w:w="1752" w:type="dxa"/>
            <w:shd w:val="clear" w:color="auto" w:fill="auto"/>
            <w:vAlign w:val="center"/>
          </w:tcPr>
          <w:p w:rsidR="000B2ED2" w:rsidRDefault="008C71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YJ76</w:t>
            </w:r>
          </w:p>
        </w:tc>
        <w:tc>
          <w:tcPr>
            <w:tcW w:w="2775" w:type="dxa"/>
            <w:vAlign w:val="center"/>
          </w:tcPr>
          <w:p w:rsidR="000B2ED2" w:rsidRDefault="008C71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GCA_002224585.2</w:t>
            </w:r>
          </w:p>
        </w:tc>
        <w:tc>
          <w:tcPr>
            <w:tcW w:w="1942" w:type="dxa"/>
            <w:vAlign w:val="center"/>
          </w:tcPr>
          <w:p w:rsidR="000B2ED2" w:rsidRDefault="008C71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PGP</w:t>
            </w:r>
          </w:p>
        </w:tc>
        <w:tc>
          <w:tcPr>
            <w:tcW w:w="2070" w:type="dxa"/>
            <w:vAlign w:val="center"/>
          </w:tcPr>
          <w:p w:rsidR="000B2ED2" w:rsidRDefault="008C715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Yes</w:t>
            </w:r>
          </w:p>
        </w:tc>
      </w:tr>
      <w:tr w:rsidR="000B2ED2">
        <w:trPr>
          <w:trHeight w:val="510"/>
          <w:jc w:val="center"/>
        </w:trPr>
        <w:tc>
          <w:tcPr>
            <w:tcW w:w="1752" w:type="dxa"/>
            <w:shd w:val="clear" w:color="auto" w:fill="auto"/>
            <w:vAlign w:val="center"/>
          </w:tcPr>
          <w:p w:rsidR="000B2ED2" w:rsidRDefault="008C71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R100</w:t>
            </w:r>
          </w:p>
        </w:tc>
        <w:tc>
          <w:tcPr>
            <w:tcW w:w="2775" w:type="dxa"/>
            <w:vAlign w:val="center"/>
          </w:tcPr>
          <w:p w:rsidR="000B2ED2" w:rsidRDefault="008C71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GCA_001543055.1</w:t>
            </w:r>
          </w:p>
        </w:tc>
        <w:tc>
          <w:tcPr>
            <w:tcW w:w="1942" w:type="dxa"/>
            <w:vAlign w:val="center"/>
          </w:tcPr>
          <w:p w:rsidR="000B2ED2" w:rsidRDefault="008C71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PGP</w:t>
            </w:r>
          </w:p>
        </w:tc>
        <w:tc>
          <w:tcPr>
            <w:tcW w:w="2070" w:type="dxa"/>
            <w:vAlign w:val="center"/>
          </w:tcPr>
          <w:p w:rsidR="000B2ED2" w:rsidRDefault="008C715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Yes</w:t>
            </w:r>
          </w:p>
        </w:tc>
      </w:tr>
      <w:tr w:rsidR="000B2ED2">
        <w:trPr>
          <w:trHeight w:val="510"/>
          <w:jc w:val="center"/>
        </w:trPr>
        <w:tc>
          <w:tcPr>
            <w:tcW w:w="1752" w:type="dxa"/>
            <w:shd w:val="clear" w:color="auto" w:fill="auto"/>
            <w:vAlign w:val="center"/>
          </w:tcPr>
          <w:p w:rsidR="000B2ED2" w:rsidRDefault="008C71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ARC272</w:t>
            </w:r>
          </w:p>
        </w:tc>
        <w:tc>
          <w:tcPr>
            <w:tcW w:w="2775" w:type="dxa"/>
            <w:vAlign w:val="center"/>
          </w:tcPr>
          <w:p w:rsidR="000B2ED2" w:rsidRDefault="008C71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GCA_003231545.1</w:t>
            </w:r>
          </w:p>
        </w:tc>
        <w:tc>
          <w:tcPr>
            <w:tcW w:w="1942" w:type="dxa"/>
            <w:vAlign w:val="center"/>
          </w:tcPr>
          <w:p w:rsidR="000B2ED2" w:rsidRDefault="008C71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Pathog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</w:p>
        </w:tc>
        <w:tc>
          <w:tcPr>
            <w:tcW w:w="2070" w:type="dxa"/>
            <w:vAlign w:val="center"/>
          </w:tcPr>
          <w:p w:rsidR="000B2ED2" w:rsidRDefault="008C715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No</w:t>
            </w:r>
          </w:p>
        </w:tc>
      </w:tr>
      <w:tr w:rsidR="000B2ED2">
        <w:trPr>
          <w:trHeight w:val="510"/>
          <w:jc w:val="center"/>
        </w:trPr>
        <w:tc>
          <w:tcPr>
            <w:tcW w:w="1752" w:type="dxa"/>
            <w:shd w:val="clear" w:color="auto" w:fill="auto"/>
            <w:vAlign w:val="center"/>
          </w:tcPr>
          <w:p w:rsidR="000B2ED2" w:rsidRDefault="008C71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NS311</w:t>
            </w:r>
          </w:p>
        </w:tc>
        <w:tc>
          <w:tcPr>
            <w:tcW w:w="2775" w:type="dxa"/>
            <w:vAlign w:val="center"/>
          </w:tcPr>
          <w:p w:rsidR="000B2ED2" w:rsidRDefault="008C71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GCA_001475725.1</w:t>
            </w:r>
          </w:p>
        </w:tc>
        <w:tc>
          <w:tcPr>
            <w:tcW w:w="1942" w:type="dxa"/>
            <w:vAlign w:val="center"/>
          </w:tcPr>
          <w:p w:rsidR="000B2ED2" w:rsidRDefault="008C71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Pathog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</w:p>
        </w:tc>
        <w:tc>
          <w:tcPr>
            <w:tcW w:w="2070" w:type="dxa"/>
            <w:vAlign w:val="center"/>
          </w:tcPr>
          <w:p w:rsidR="000B2ED2" w:rsidRDefault="008C715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No</w:t>
            </w:r>
          </w:p>
        </w:tc>
      </w:tr>
      <w:tr w:rsidR="000B2ED2">
        <w:trPr>
          <w:trHeight w:val="510"/>
          <w:jc w:val="center"/>
        </w:trPr>
        <w:tc>
          <w:tcPr>
            <w:tcW w:w="1752" w:type="dxa"/>
            <w:shd w:val="clear" w:color="auto" w:fill="auto"/>
            <w:vAlign w:val="center"/>
          </w:tcPr>
          <w:p w:rsidR="000B2ED2" w:rsidRDefault="008C71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PA13</w:t>
            </w:r>
          </w:p>
        </w:tc>
        <w:tc>
          <w:tcPr>
            <w:tcW w:w="2775" w:type="dxa"/>
            <w:vAlign w:val="center"/>
          </w:tcPr>
          <w:p w:rsidR="000B2ED2" w:rsidRDefault="008C71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GCA_000233595.1</w:t>
            </w:r>
          </w:p>
        </w:tc>
        <w:tc>
          <w:tcPr>
            <w:tcW w:w="1942" w:type="dxa"/>
            <w:vAlign w:val="center"/>
          </w:tcPr>
          <w:p w:rsidR="000B2ED2" w:rsidRDefault="008C71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Pathog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</w:p>
        </w:tc>
        <w:tc>
          <w:tcPr>
            <w:tcW w:w="2070" w:type="dxa"/>
            <w:vAlign w:val="center"/>
          </w:tcPr>
          <w:p w:rsidR="000B2ED2" w:rsidRDefault="008C715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No</w:t>
            </w:r>
          </w:p>
        </w:tc>
      </w:tr>
      <w:tr w:rsidR="000B2ED2">
        <w:trPr>
          <w:trHeight w:val="510"/>
          <w:jc w:val="center"/>
        </w:trPr>
        <w:tc>
          <w:tcPr>
            <w:tcW w:w="175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0B2ED2" w:rsidRDefault="008C71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TZ39</w:t>
            </w:r>
          </w:p>
        </w:tc>
        <w:tc>
          <w:tcPr>
            <w:tcW w:w="2775" w:type="dxa"/>
            <w:tcBorders>
              <w:bottom w:val="single" w:sz="12" w:space="0" w:color="auto"/>
            </w:tcBorders>
            <w:vAlign w:val="center"/>
          </w:tcPr>
          <w:p w:rsidR="000B2ED2" w:rsidRDefault="008C71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GCA_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019720835.1</w:t>
            </w:r>
          </w:p>
        </w:tc>
        <w:tc>
          <w:tcPr>
            <w:tcW w:w="1942" w:type="dxa"/>
            <w:tcBorders>
              <w:bottom w:val="single" w:sz="12" w:space="0" w:color="auto"/>
            </w:tcBorders>
            <w:vAlign w:val="center"/>
          </w:tcPr>
          <w:p w:rsidR="000B2ED2" w:rsidRDefault="008C71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Pathog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</w:p>
        </w:tc>
        <w:tc>
          <w:tcPr>
            <w:tcW w:w="2070" w:type="dxa"/>
            <w:tcBorders>
              <w:bottom w:val="single" w:sz="12" w:space="0" w:color="auto"/>
            </w:tcBorders>
            <w:vAlign w:val="center"/>
          </w:tcPr>
          <w:p w:rsidR="000B2ED2" w:rsidRDefault="008C715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No</w:t>
            </w:r>
          </w:p>
        </w:tc>
      </w:tr>
    </w:tbl>
    <w:p w:rsidR="000B2ED2" w:rsidRDefault="000B2ED2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vertAlign w:val="superscript"/>
        </w:rPr>
      </w:pPr>
    </w:p>
    <w:p w:rsidR="000B2ED2" w:rsidRDefault="000B2ED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:rsidR="000B2ED2" w:rsidRDefault="008C715A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References</w:t>
      </w:r>
    </w:p>
    <w:p w:rsidR="000B2ED2" w:rsidRDefault="008C715A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[1]</w:t>
      </w:r>
      <w:r>
        <w:rPr>
          <w:rFonts w:ascii="Times New Roman" w:hAnsi="Times New Roman" w:cs="Times New Roman"/>
          <w:kern w:val="2"/>
          <w:sz w:val="24"/>
          <w:szCs w:val="24"/>
        </w:rPr>
        <w:tab/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Ke Y, Hui S, Yuan M. </w:t>
      </w:r>
      <w:r>
        <w:rPr>
          <w:rFonts w:ascii="Times New Roman" w:hAnsi="Times New Roman" w:cs="Times New Roman"/>
          <w:i/>
          <w:iCs/>
          <w:kern w:val="2"/>
          <w:sz w:val="24"/>
          <w:szCs w:val="24"/>
        </w:rPr>
        <w:t>Xanthomonas oryzae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pv. </w:t>
      </w:r>
      <w:r>
        <w:rPr>
          <w:rFonts w:ascii="Times New Roman" w:hAnsi="Times New Roman" w:cs="Times New Roman" w:hint="eastAsia"/>
          <w:i/>
          <w:iCs/>
          <w:kern w:val="2"/>
          <w:sz w:val="24"/>
          <w:szCs w:val="24"/>
        </w:rPr>
        <w:t>o</w:t>
      </w:r>
      <w:r>
        <w:rPr>
          <w:rFonts w:ascii="Times New Roman" w:hAnsi="Times New Roman" w:cs="Times New Roman"/>
          <w:i/>
          <w:iCs/>
          <w:kern w:val="2"/>
          <w:sz w:val="24"/>
          <w:szCs w:val="24"/>
        </w:rPr>
        <w:t>ryzae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inoculation and growth rate on rice by leaf clipping method. Bio Protoc. 2017;7(19):e2568.</w:t>
      </w:r>
    </w:p>
    <w:p w:rsidR="000B2ED2" w:rsidRDefault="008C715A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[2]</w:t>
      </w:r>
      <w:r>
        <w:rPr>
          <w:rFonts w:ascii="Times New Roman" w:hAnsi="Times New Roman" w:cs="Times New Roman"/>
          <w:kern w:val="2"/>
          <w:sz w:val="24"/>
          <w:szCs w:val="24"/>
        </w:rPr>
        <w:tab/>
        <w:t xml:space="preserve">Livak KJ, Schmittgen TD. Analysis of relative gene expression data using real-time quantitative </w:t>
      </w:r>
      <w:r>
        <w:rPr>
          <w:rFonts w:ascii="Times New Roman" w:hAnsi="Times New Roman" w:cs="Times New Roman" w:hint="eastAsia"/>
          <w:kern w:val="2"/>
          <w:sz w:val="24"/>
          <w:szCs w:val="24"/>
        </w:rPr>
        <w:t>PCR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and the 2(-</w:t>
      </w:r>
      <w:r>
        <w:rPr>
          <w:rFonts w:ascii="Times New Roman" w:hAnsi="Times New Roman" w:cs="Times New Roman" w:hint="eastAsia"/>
          <w:kern w:val="2"/>
          <w:sz w:val="24"/>
          <w:szCs w:val="24"/>
        </w:rPr>
        <w:t>D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elta </w:t>
      </w:r>
      <w:r>
        <w:rPr>
          <w:rFonts w:ascii="Times New Roman" w:hAnsi="Times New Roman" w:cs="Times New Roman" w:hint="eastAsia"/>
          <w:kern w:val="2"/>
          <w:sz w:val="24"/>
          <w:szCs w:val="24"/>
        </w:rPr>
        <w:t>D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elta </w:t>
      </w:r>
      <w:r>
        <w:rPr>
          <w:rFonts w:ascii="Times New Roman" w:hAnsi="Times New Roman" w:cs="Times New Roman" w:hint="eastAsia"/>
          <w:kern w:val="2"/>
          <w:sz w:val="24"/>
          <w:szCs w:val="24"/>
        </w:rPr>
        <w:t>C</w:t>
      </w:r>
      <w:r>
        <w:rPr>
          <w:rFonts w:ascii="Times New Roman" w:hAnsi="Times New Roman" w:cs="Times New Roman"/>
          <w:kern w:val="2"/>
          <w:sz w:val="24"/>
          <w:szCs w:val="24"/>
        </w:rPr>
        <w:t>(</w:t>
      </w:r>
      <w:r>
        <w:rPr>
          <w:rFonts w:ascii="Times New Roman" w:hAnsi="Times New Roman" w:cs="Times New Roman" w:hint="eastAsia"/>
          <w:kern w:val="2"/>
          <w:sz w:val="24"/>
          <w:szCs w:val="24"/>
        </w:rPr>
        <w:t>T</w:t>
      </w:r>
      <w:r>
        <w:rPr>
          <w:rFonts w:ascii="Times New Roman" w:hAnsi="Times New Roman" w:cs="Times New Roman"/>
          <w:kern w:val="2"/>
          <w:sz w:val="24"/>
          <w:szCs w:val="24"/>
        </w:rPr>
        <w:t>)) method. Methods. 2001;25(4):402-408.</w:t>
      </w:r>
    </w:p>
    <w:p w:rsidR="000B2ED2" w:rsidRDefault="000B2ED2"/>
    <w:sectPr w:rsidR="000B2ED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715A" w:rsidRDefault="008C715A">
      <w:pPr>
        <w:spacing w:line="240" w:lineRule="auto"/>
      </w:pPr>
      <w:r>
        <w:separator/>
      </w:r>
    </w:p>
  </w:endnote>
  <w:endnote w:type="continuationSeparator" w:id="0">
    <w:p w:rsidR="008C715A" w:rsidRDefault="008C71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715A" w:rsidRDefault="008C715A">
      <w:pPr>
        <w:spacing w:after="0"/>
      </w:pPr>
      <w:r>
        <w:separator/>
      </w:r>
    </w:p>
  </w:footnote>
  <w:footnote w:type="continuationSeparator" w:id="0">
    <w:p w:rsidR="008C715A" w:rsidRDefault="008C715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VerticalSpacing w:val="156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30657413"/>
    <w:rsid w:val="000B2ED2"/>
    <w:rsid w:val="008C3FE2"/>
    <w:rsid w:val="008C715A"/>
    <w:rsid w:val="30657413"/>
    <w:rsid w:val="65AC09F2"/>
    <w:rsid w:val="73637CA4"/>
    <w:rsid w:val="788C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E3D9BDA-FEFF-4240-9F81-892FB573B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alloon Text"/>
    <w:basedOn w:val="a"/>
    <w:link w:val="Char"/>
    <w:uiPriority w:val="99"/>
    <w:semiHidden/>
    <w:unhideWhenUsed/>
    <w:qFormat/>
    <w:pPr>
      <w:spacing w:after="0" w:line="240" w:lineRule="auto"/>
    </w:pPr>
    <w:rPr>
      <w:rFonts w:ascii="Microsoft YaHei UI" w:eastAsia="Microsoft YaHei UI"/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320"/>
        <w:tab w:val="right" w:pos="8640"/>
      </w:tabs>
      <w:spacing w:after="0" w:line="240" w:lineRule="auto"/>
    </w:pPr>
  </w:style>
  <w:style w:type="paragraph" w:styleId="a6">
    <w:name w:val="header"/>
    <w:basedOn w:val="a"/>
    <w:link w:val="Char1"/>
    <w:uiPriority w:val="99"/>
    <w:unhideWhenUsed/>
    <w:qFormat/>
    <w:pPr>
      <w:tabs>
        <w:tab w:val="center" w:pos="4320"/>
        <w:tab w:val="right" w:pos="8640"/>
      </w:tabs>
      <w:spacing w:after="0" w:line="240" w:lineRule="auto"/>
    </w:pPr>
  </w:style>
  <w:style w:type="character" w:styleId="a7">
    <w:name w:val="Strong"/>
    <w:basedOn w:val="a0"/>
    <w:uiPriority w:val="22"/>
    <w:qFormat/>
    <w:rPr>
      <w:b/>
    </w:rPr>
  </w:style>
  <w:style w:type="character" w:styleId="a8">
    <w:name w:val="Emphasis"/>
    <w:basedOn w:val="a0"/>
    <w:qFormat/>
    <w:rPr>
      <w:i/>
    </w:rPr>
  </w:style>
  <w:style w:type="character" w:styleId="a9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Char1">
    <w:name w:val="页眉 Char"/>
    <w:basedOn w:val="a0"/>
    <w:link w:val="a6"/>
    <w:uiPriority w:val="99"/>
    <w:qFormat/>
  </w:style>
  <w:style w:type="character" w:customStyle="1" w:styleId="Char0">
    <w:name w:val="页脚 Char"/>
    <w:basedOn w:val="a0"/>
    <w:link w:val="a5"/>
    <w:uiPriority w:val="99"/>
    <w:qFormat/>
  </w:style>
  <w:style w:type="character" w:customStyle="1" w:styleId="Char">
    <w:name w:val="批注框文本 Char"/>
    <w:basedOn w:val="a0"/>
    <w:link w:val="a4"/>
    <w:uiPriority w:val="99"/>
    <w:semiHidden/>
    <w:qFormat/>
    <w:rPr>
      <w:rFonts w:ascii="Microsoft YaHei UI" w:eastAsia="Microsoft YaHei UI"/>
      <w:sz w:val="18"/>
      <w:szCs w:val="18"/>
    </w:rPr>
  </w:style>
  <w:style w:type="paragraph" w:customStyle="1" w:styleId="EndNoteBibliographyTitle">
    <w:name w:val="EndNote Bibliography Title"/>
    <w:qFormat/>
    <w:pPr>
      <w:jc w:val="center"/>
    </w:pPr>
    <w:rPr>
      <w:rFonts w:eastAsiaTheme="minorEastAsia"/>
      <w:sz w:val="22"/>
      <w:szCs w:val="22"/>
    </w:rPr>
  </w:style>
  <w:style w:type="paragraph" w:customStyle="1" w:styleId="EndNoteBibliography">
    <w:name w:val="EndNote Bibliography"/>
    <w:qFormat/>
    <w:pPr>
      <w:jc w:val="both"/>
    </w:pPr>
    <w:rPr>
      <w:rFonts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634</Words>
  <Characters>3619</Characters>
  <Application>Microsoft Office Word</Application>
  <DocSecurity>0</DocSecurity>
  <Lines>30</Lines>
  <Paragraphs>8</Paragraphs>
  <ScaleCrop>false</ScaleCrop>
  <Company/>
  <LinksUpToDate>false</LinksUpToDate>
  <CharactersWithSpaces>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达达</dc:creator>
  <cp:lastModifiedBy>L</cp:lastModifiedBy>
  <cp:revision>3</cp:revision>
  <dcterms:created xsi:type="dcterms:W3CDTF">2025-10-03T12:22:00Z</dcterms:created>
  <dcterms:modified xsi:type="dcterms:W3CDTF">2025-10-05T13:44:00Z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77F70EBFAB34407CA5F2ACD7CE07A6C5_11</vt:lpwstr>
  </property>
  <property fmtid="{D5CDD505-2E9C-101B-9397-08002B2CF9AE}" pid="4" name="KSOTemplateDocerSaveRecord">
    <vt:lpwstr>eyJoZGlkIjoiZjA2Mzg3YmRlYjZmOTJjN2Y4MWY2YzNkZjdjZmZmMzQiLCJ1c2VySWQiOiIxMzMxNzY0ODA5In0=</vt:lpwstr>
  </property>
</Properties>
</file>