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A48" w:rsidRPr="00F455A4" w:rsidRDefault="00F455A4">
      <w:pPr>
        <w:rPr>
          <w:b/>
        </w:rPr>
      </w:pPr>
      <w:proofErr w:type="spellStart"/>
      <w:r w:rsidRPr="00F455A4">
        <w:rPr>
          <w:b/>
        </w:rPr>
        <w:t>Supplementry</w:t>
      </w:r>
      <w:proofErr w:type="spellEnd"/>
      <w:r w:rsidRPr="00F455A4">
        <w:rPr>
          <w:b/>
        </w:rPr>
        <w:t xml:space="preserve"> Information</w:t>
      </w:r>
    </w:p>
    <w:p w:rsidR="00F455A4" w:rsidRDefault="00F455A4">
      <w:r w:rsidRPr="00F455A4">
        <w:rPr>
          <w:noProof/>
        </w:rPr>
        <w:drawing>
          <wp:inline distT="0" distB="0" distL="0" distR="0">
            <wp:extent cx="5943600" cy="4732867"/>
            <wp:effectExtent l="0" t="0" r="0" b="0"/>
            <wp:docPr id="11" name="Picture 11" descr="H:\journals\Springer\SpACE\40793\833\Stage210\Author\Supplementary\Supplementary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journals\Springer\SpACE\40793\833\Stage210\Author\Supplementary\Supplementary Figure 1.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732867"/>
                    </a:xfrm>
                    <a:prstGeom prst="rect">
                      <a:avLst/>
                    </a:prstGeom>
                    <a:noFill/>
                    <a:ln>
                      <a:noFill/>
                    </a:ln>
                  </pic:spPr>
                </pic:pic>
              </a:graphicData>
            </a:graphic>
          </wp:inline>
        </w:drawing>
      </w:r>
    </w:p>
    <w:p w:rsidR="00F455A4" w:rsidRPr="007A6AC3" w:rsidRDefault="00F455A4" w:rsidP="00F455A4">
      <w:pPr>
        <w:jc w:val="both"/>
        <w:rPr>
          <w:color w:val="222222"/>
          <w:spacing w:val="2"/>
        </w:rPr>
      </w:pPr>
      <w:r>
        <w:rPr>
          <w:b/>
        </w:rPr>
        <w:t xml:space="preserve">Supplementary Figure 1. </w:t>
      </w:r>
      <w:r>
        <w:t xml:space="preserve">Workflow for </w:t>
      </w:r>
      <w:r w:rsidRPr="00A70ACD">
        <w:rPr>
          <w:color w:val="222222"/>
          <w:spacing w:val="2"/>
        </w:rPr>
        <w:t>the complete study design</w:t>
      </w:r>
      <w:r>
        <w:rPr>
          <w:color w:val="222222"/>
          <w:spacing w:val="2"/>
        </w:rPr>
        <w:t xml:space="preserve"> on liquid and solid fermented foods. </w:t>
      </w:r>
      <w:r>
        <w:t xml:space="preserve">A single batch (1 L) of commercial yoghurt (Plot A) was purchased from a local market by a single </w:t>
      </w:r>
      <w:proofErr w:type="spellStart"/>
      <w:r>
        <w:t>RUs.</w:t>
      </w:r>
      <w:proofErr w:type="spellEnd"/>
      <w:r>
        <w:t xml:space="preserve"> After homogenization with a sterile spoon, three aliquots of 50 g each, were taken, placed in sterile plastic containers, and shipped at 4 °C to the five collaborating </w:t>
      </w:r>
      <w:proofErr w:type="spellStart"/>
      <w:r>
        <w:t>RUs</w:t>
      </w:r>
      <w:r>
        <w:rPr>
          <w:color w:val="222222"/>
          <w:spacing w:val="2"/>
        </w:rPr>
        <w:t>.</w:t>
      </w:r>
      <w:proofErr w:type="spellEnd"/>
      <w:r>
        <w:rPr>
          <w:color w:val="222222"/>
          <w:spacing w:val="2"/>
        </w:rPr>
        <w:t xml:space="preserve"> </w:t>
      </w:r>
      <w:proofErr w:type="spellStart"/>
      <w:r>
        <w:t>Kombucha</w:t>
      </w:r>
      <w:proofErr w:type="spellEnd"/>
      <w:r>
        <w:t xml:space="preserve"> tea was prepared by a single RUs (</w:t>
      </w:r>
      <w:r>
        <w:rPr>
          <w:color w:val="222222"/>
          <w:spacing w:val="2"/>
        </w:rPr>
        <w:t xml:space="preserve">Plot B) </w:t>
      </w:r>
      <w:r>
        <w:t xml:space="preserve">and after homogenization with a sterile spoon, three aliquots of 25 ml each were taken, placed in sterile plastic tubes, and shipped at 4 °C to the other </w:t>
      </w:r>
      <w:proofErr w:type="spellStart"/>
      <w:r>
        <w:t>RUs.</w:t>
      </w:r>
      <w:proofErr w:type="spellEnd"/>
      <w:r>
        <w:t xml:space="preserve"> Regarding solid fermented foods (plot C and D) a single batch of a traditional mid- ripened sheep cheese from Sicily and an end-of-ripening Apulian fermented sausages were purchased from selected producers by a single </w:t>
      </w:r>
      <w:proofErr w:type="spellStart"/>
      <w:r>
        <w:t>RUs.</w:t>
      </w:r>
      <w:proofErr w:type="spellEnd"/>
      <w:r>
        <w:t xml:space="preserve"> After homogenization with sterile tools, three aliquots from each solid fermented product were taken, placed in sterile plastic containers, and shipped at 4 °C to the other collaborating </w:t>
      </w:r>
      <w:proofErr w:type="spellStart"/>
      <w:r>
        <w:t>RUs.</w:t>
      </w:r>
      <w:proofErr w:type="spellEnd"/>
      <w:r>
        <w:rPr>
          <w:color w:val="222222"/>
          <w:spacing w:val="2"/>
        </w:rPr>
        <w:t xml:space="preserve"> </w:t>
      </w:r>
      <w:r w:rsidRPr="00566B04">
        <w:rPr>
          <w:color w:val="222222"/>
          <w:spacing w:val="2"/>
        </w:rPr>
        <w:t xml:space="preserve">Each RU then performed </w:t>
      </w:r>
      <w:r>
        <w:rPr>
          <w:color w:val="222222"/>
          <w:spacing w:val="2"/>
        </w:rPr>
        <w:t xml:space="preserve">three independent </w:t>
      </w:r>
      <w:r w:rsidRPr="00566B04">
        <w:rPr>
          <w:color w:val="222222"/>
          <w:spacing w:val="2"/>
        </w:rPr>
        <w:t>DNA extraction</w:t>
      </w:r>
      <w:r>
        <w:t>, as biological replicates</w:t>
      </w:r>
      <w:r w:rsidRPr="00566B04">
        <w:rPr>
          <w:color w:val="222222"/>
          <w:spacing w:val="2"/>
        </w:rPr>
        <w:t>. Subsequently, three independent PCR amplifications were executed for each DNA aliquot. During the final library preparation stage, the three amplicons corresponding to the same extracted DNA were pooled together before sequencing.</w:t>
      </w:r>
      <w:r>
        <w:rPr>
          <w:color w:val="222222"/>
          <w:spacing w:val="2"/>
        </w:rPr>
        <w:t xml:space="preserve"> </w:t>
      </w:r>
      <w:r>
        <w:t>Created in https://BioRender.com</w:t>
      </w:r>
    </w:p>
    <w:p w:rsidR="00F455A4" w:rsidRDefault="00F455A4"/>
    <w:p w:rsidR="00F455A4" w:rsidRDefault="00F455A4">
      <w:r w:rsidRPr="00F455A4">
        <w:rPr>
          <w:noProof/>
        </w:rPr>
        <w:lastRenderedPageBreak/>
        <w:drawing>
          <wp:inline distT="0" distB="0" distL="0" distR="0">
            <wp:extent cx="5943600" cy="2743805"/>
            <wp:effectExtent l="0" t="0" r="0" b="0"/>
            <wp:docPr id="12" name="Picture 12" descr="H:\journals\Springer\SpACE\40793\833\Stage210\Author\Supplementary\Supplementary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journals\Springer\SpACE\40793\833\Stage210\Author\Supplementary\Supplementary Figure 2.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743805"/>
                    </a:xfrm>
                    <a:prstGeom prst="rect">
                      <a:avLst/>
                    </a:prstGeom>
                    <a:noFill/>
                    <a:ln>
                      <a:noFill/>
                    </a:ln>
                  </pic:spPr>
                </pic:pic>
              </a:graphicData>
            </a:graphic>
          </wp:inline>
        </w:drawing>
      </w:r>
    </w:p>
    <w:p w:rsidR="00F455A4" w:rsidRPr="009D4F9E" w:rsidRDefault="00F455A4" w:rsidP="00F455A4">
      <w:pPr>
        <w:jc w:val="both"/>
        <w:rPr>
          <w:color w:val="222222"/>
          <w:spacing w:val="2"/>
        </w:rPr>
      </w:pPr>
      <w:r>
        <w:rPr>
          <w:b/>
        </w:rPr>
        <w:t xml:space="preserve">Supplementary Figure 2. </w:t>
      </w:r>
      <w:r>
        <w:t xml:space="preserve">Workflow for </w:t>
      </w:r>
      <w:r w:rsidRPr="00A70ACD">
        <w:rPr>
          <w:color w:val="222222"/>
          <w:spacing w:val="2"/>
        </w:rPr>
        <w:t>the complete study design</w:t>
      </w:r>
      <w:r>
        <w:rPr>
          <w:color w:val="222222"/>
          <w:spacing w:val="2"/>
        </w:rPr>
        <w:t xml:space="preserve"> on waters and soils. </w:t>
      </w:r>
      <w:r>
        <w:rPr>
          <w:color w:val="000000"/>
        </w:rPr>
        <w:t xml:space="preserve">Wastewater or surface water were collected </w:t>
      </w:r>
      <w:r>
        <w:t>by a single RUs (Plot A) and</w:t>
      </w:r>
      <w:r>
        <w:rPr>
          <w:color w:val="000000"/>
        </w:rPr>
        <w:t xml:space="preserve"> aseptically distributed into twelve 1 L bottles (three </w:t>
      </w:r>
      <w:r>
        <w:t>bottles allocated to each RUs)</w:t>
      </w:r>
      <w:r>
        <w:rPr>
          <w:color w:val="000000"/>
        </w:rPr>
        <w:t>. Samples were stored at 4 °C and shipped with freezer packs to ensure appropriate temperature conditions during transit.</w:t>
      </w:r>
      <w:r w:rsidRPr="00D77E3D">
        <w:t xml:space="preserve"> </w:t>
      </w:r>
      <w:r>
        <w:t>For soils (Plot B) 1 kg of fresh soil was sampled passed through a fine mesh sieve to uniform the granularity, then mixed with a sterile spoon to homogenize it. From this soil, three aliquots of 50 g were collected in 50 ml sterile Falcon tubes and sent to the five collaborating RUs at -80 °C in dry ice, with an additional aliquot kept at -80 °C for house testing.</w:t>
      </w:r>
      <w:r w:rsidRPr="00D77E3D">
        <w:rPr>
          <w:color w:val="222222"/>
          <w:spacing w:val="2"/>
        </w:rPr>
        <w:t xml:space="preserve"> </w:t>
      </w:r>
      <w:r w:rsidRPr="00566B04">
        <w:rPr>
          <w:color w:val="222222"/>
          <w:spacing w:val="2"/>
        </w:rPr>
        <w:t xml:space="preserve">Each RU then performed </w:t>
      </w:r>
      <w:r>
        <w:rPr>
          <w:color w:val="222222"/>
          <w:spacing w:val="2"/>
        </w:rPr>
        <w:t xml:space="preserve">three independent </w:t>
      </w:r>
      <w:r w:rsidRPr="00566B04">
        <w:rPr>
          <w:color w:val="222222"/>
          <w:spacing w:val="2"/>
        </w:rPr>
        <w:t>DNA extraction</w:t>
      </w:r>
      <w:r>
        <w:t>, as biological replicates</w:t>
      </w:r>
      <w:r w:rsidRPr="00566B04">
        <w:rPr>
          <w:color w:val="222222"/>
          <w:spacing w:val="2"/>
        </w:rPr>
        <w:t>. Subsequently, three independent PCR amplifications were executed for each DNA aliquot. During the final library preparation stage, the three amplicons corresponding to the same extracted DNA were pooled together before sequencing.</w:t>
      </w:r>
      <w:r>
        <w:rPr>
          <w:color w:val="222222"/>
          <w:spacing w:val="2"/>
        </w:rPr>
        <w:t xml:space="preserve"> </w:t>
      </w:r>
      <w:r>
        <w:t>Created in https://BioRender.com</w:t>
      </w:r>
    </w:p>
    <w:p w:rsidR="00F455A4" w:rsidRDefault="00F455A4"/>
    <w:p w:rsidR="00F455A4" w:rsidRDefault="00F455A4">
      <w:r w:rsidRPr="00F455A4">
        <w:rPr>
          <w:noProof/>
        </w:rPr>
        <w:lastRenderedPageBreak/>
        <w:drawing>
          <wp:inline distT="0" distB="0" distL="0" distR="0">
            <wp:extent cx="5943600" cy="5895732"/>
            <wp:effectExtent l="0" t="0" r="0" b="0"/>
            <wp:docPr id="13" name="Picture 13" descr="H:\journals\Springer\SpACE\40793\833\Stage210\Author\Supplementary\Supplementary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journals\Springer\SpACE\40793\833\Stage210\Author\Supplementary\Supplementary Figure 3.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5895732"/>
                    </a:xfrm>
                    <a:prstGeom prst="rect">
                      <a:avLst/>
                    </a:prstGeom>
                    <a:noFill/>
                    <a:ln>
                      <a:noFill/>
                    </a:ln>
                  </pic:spPr>
                </pic:pic>
              </a:graphicData>
            </a:graphic>
          </wp:inline>
        </w:drawing>
      </w:r>
    </w:p>
    <w:p w:rsidR="00F455A4" w:rsidRDefault="00F455A4" w:rsidP="00F455A4">
      <w:pPr>
        <w:jc w:val="both"/>
        <w:rPr>
          <w:b/>
        </w:rPr>
      </w:pPr>
      <w:r>
        <w:rPr>
          <w:b/>
        </w:rPr>
        <w:t>Supplementary Figure 3. Alpha and beta diversity between RUs and the microbial mock community.</w:t>
      </w:r>
    </w:p>
    <w:p w:rsidR="00F455A4" w:rsidRDefault="00F455A4" w:rsidP="00F455A4">
      <w:pPr>
        <w:jc w:val="both"/>
      </w:pPr>
      <w:r>
        <w:t xml:space="preserve">Plots A, B, and C show Bland–Altman plots comparing the Shannon diversity index values obtained from the analysis of the microbial mock community by RUs working on foods (Plot A), waters (Plot B), and soils (Plot C). Each point represents the mean Shannon index, and the lines denote the confidence interval between replicates. Plots D, E, and F display the divergence in Bray–Curtis dissimilarity between each RUs working on foods (Plot D), waters (Plot E), and soils (Plot F) and the mock community DNA. Divergence values represent the distance of each RUs from the mock community DNA reference. Statistical differences among RUs were assessed using pairwise Wilcoxon tests and are indicated by different lowercase letters. Dashed blue lines represent predefined Bray–Curtis dissimilarity thresholds (upper and lower limits) used for quality assessment. </w:t>
      </w:r>
    </w:p>
    <w:p w:rsidR="00F455A4" w:rsidRDefault="00F455A4">
      <w:r w:rsidRPr="00F455A4">
        <w:rPr>
          <w:noProof/>
        </w:rPr>
        <w:lastRenderedPageBreak/>
        <w:drawing>
          <wp:inline distT="0" distB="0" distL="0" distR="0">
            <wp:extent cx="5943600" cy="3679371"/>
            <wp:effectExtent l="0" t="0" r="0" b="0"/>
            <wp:docPr id="14" name="Picture 14" descr="H:\journals\Springer\SpACE\40793\833\Stage210\Author\Supplementary\Supplementary 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journals\Springer\SpACE\40793\833\Stage210\Author\Supplementary\Supplementary Figure 4.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679371"/>
                    </a:xfrm>
                    <a:prstGeom prst="rect">
                      <a:avLst/>
                    </a:prstGeom>
                    <a:noFill/>
                    <a:ln>
                      <a:noFill/>
                    </a:ln>
                  </pic:spPr>
                </pic:pic>
              </a:graphicData>
            </a:graphic>
          </wp:inline>
        </w:drawing>
      </w:r>
    </w:p>
    <w:p w:rsidR="00F455A4" w:rsidRPr="007A6AC3" w:rsidRDefault="00F455A4" w:rsidP="00F455A4">
      <w:pPr>
        <w:pStyle w:val="u-mb-24"/>
        <w:spacing w:before="0" w:beforeAutospacing="0" w:after="360" w:afterAutospacing="0"/>
        <w:jc w:val="both"/>
        <w:rPr>
          <w:color w:val="000000" w:themeColor="text1"/>
          <w:spacing w:val="2"/>
          <w:lang w:val="en-US"/>
        </w:rPr>
      </w:pPr>
      <w:r w:rsidRPr="007A6AC3">
        <w:rPr>
          <w:b/>
          <w:lang w:val="en-US"/>
        </w:rPr>
        <w:t xml:space="preserve">Supplementary Figure 4. </w:t>
      </w:r>
      <w:r w:rsidRPr="007A6AC3">
        <w:rPr>
          <w:color w:val="000000" w:themeColor="text1"/>
          <w:spacing w:val="2"/>
          <w:lang w:val="en-US"/>
        </w:rPr>
        <w:t>Effect sizes on alpha diversity index (Shannon and Simpson) measured across different RUs compared to a standardized MOCK sample. Bars represent Hedges’ g, with error bars indicating 95% confidence intervals. Numbers above each bar show Cliff’s delta (δ), representing the non-parametric effect size, and the Wilcoxon rank-sum p-value (p), indicating the statistical significance of differences. Shannon diversity bars are shown in green and Simpson diversity bars in blue. The dashed horizontal line at zero represents the MOCK reference. Higher absolute Hedges’ g and δ values indicate larger deviations from the MOCK sample.</w:t>
      </w:r>
    </w:p>
    <w:p w:rsidR="00F455A4" w:rsidRDefault="00F455A4">
      <w:r w:rsidRPr="00F455A4">
        <w:rPr>
          <w:noProof/>
        </w:rPr>
        <w:lastRenderedPageBreak/>
        <w:drawing>
          <wp:inline distT="0" distB="0" distL="0" distR="0">
            <wp:extent cx="5943600" cy="4025295"/>
            <wp:effectExtent l="0" t="0" r="0" b="0"/>
            <wp:docPr id="15" name="Picture 15" descr="H:\journals\Springer\SpACE\40793\833\Stage210\Author\Supplementary\Supplementary 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journals\Springer\SpACE\40793\833\Stage210\Author\Supplementary\Supplementary Figure 5.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025295"/>
                    </a:xfrm>
                    <a:prstGeom prst="rect">
                      <a:avLst/>
                    </a:prstGeom>
                    <a:noFill/>
                    <a:ln>
                      <a:noFill/>
                    </a:ln>
                  </pic:spPr>
                </pic:pic>
              </a:graphicData>
            </a:graphic>
          </wp:inline>
        </w:drawing>
      </w:r>
    </w:p>
    <w:p w:rsidR="00F455A4" w:rsidRDefault="00F455A4" w:rsidP="00F455A4">
      <w:pPr>
        <w:spacing w:before="280" w:after="280"/>
        <w:jc w:val="both"/>
      </w:pPr>
      <w:r>
        <w:rPr>
          <w:b/>
        </w:rPr>
        <w:t xml:space="preserve">Supplementary Figure 5. Microbial Index Quality (MIQ) scores and ASV-level microbial composition across </w:t>
      </w:r>
      <w:proofErr w:type="spellStart"/>
      <w:r>
        <w:rPr>
          <w:b/>
        </w:rPr>
        <w:t>RUs.</w:t>
      </w:r>
      <w:r>
        <w:t>Plots</w:t>
      </w:r>
      <w:proofErr w:type="spellEnd"/>
      <w:r>
        <w:t xml:space="preserve"> A, B, and C show radar charts of the MIQ (Microbial Index Quality) scores calculated for RUs working on foods (Plot A), waters (Plot B), and soils (Plot C), based on deviations from the microbial mock DNA community. MIQ was computed using the root mean square error (RMSE) of values falling outside a ±15% tolerance range from the mock community’s mean. Each axis represents a specific microorganism, and each colored line corresponds to a different </w:t>
      </w:r>
      <w:proofErr w:type="spellStart"/>
      <w:r>
        <w:t>RUs.</w:t>
      </w:r>
      <w:proofErr w:type="spellEnd"/>
      <w:r>
        <w:t xml:space="preserve"> Plots D, E, and F display stacked bar plots showing the mean relative frequency of the most abundant </w:t>
      </w:r>
      <w:r w:rsidRPr="007A6AC3">
        <w:rPr>
          <w:color w:val="000000" w:themeColor="text1"/>
        </w:rPr>
        <w:t xml:space="preserve">ASVs </w:t>
      </w:r>
      <w:r w:rsidRPr="007A6AC3">
        <w:rPr>
          <w:bCs/>
          <w:color w:val="000000" w:themeColor="text1"/>
          <w:spacing w:val="2"/>
        </w:rPr>
        <w:t xml:space="preserve">grouped by genus level </w:t>
      </w:r>
      <w:r w:rsidRPr="007A6AC3">
        <w:rPr>
          <w:color w:val="000000" w:themeColor="text1"/>
        </w:rPr>
        <w:t xml:space="preserve">from the microbial mock DNA community (Amplicon Sequence </w:t>
      </w:r>
      <w:r>
        <w:t>Variants, &gt;0.5% in at least three samples) across RUs working on foods (Plot D), waters (Plot E), and soils (Plot F). Each bar represents a single RUs, including microbial mock DNA community and Theoretical profiles. Plots G, H, and I display the relative frequency of individual microbial taxa obtained from the analysis of the microbial mock community across RUs for food (Plot G), water (Plot H), and soil (Plot I) samples. For each ASV, bars represent relative abundance across RUs, with colored segments corresponding to microbial taxa. 95% of Confidence intervals and statistical differences (assessed using pairwise Wilcoxon tests) are also displayed.</w:t>
      </w:r>
    </w:p>
    <w:p w:rsidR="00F455A4" w:rsidRDefault="00F455A4">
      <w:r w:rsidRPr="00F455A4">
        <w:rPr>
          <w:noProof/>
        </w:rPr>
        <w:lastRenderedPageBreak/>
        <w:drawing>
          <wp:inline distT="0" distB="0" distL="0" distR="0">
            <wp:extent cx="5943600" cy="3852333"/>
            <wp:effectExtent l="0" t="0" r="0" b="0"/>
            <wp:docPr id="16" name="Picture 16" descr="H:\journals\Springer\SpACE\40793\833\Stage210\Author\Supplementary\Supplementary 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journals\Springer\SpACE\40793\833\Stage210\Author\Supplementary\Supplementary Figure 6.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852333"/>
                    </a:xfrm>
                    <a:prstGeom prst="rect">
                      <a:avLst/>
                    </a:prstGeom>
                    <a:noFill/>
                    <a:ln>
                      <a:noFill/>
                    </a:ln>
                  </pic:spPr>
                </pic:pic>
              </a:graphicData>
            </a:graphic>
          </wp:inline>
        </w:drawing>
      </w:r>
    </w:p>
    <w:p w:rsidR="00F455A4" w:rsidRDefault="00F455A4" w:rsidP="00F455A4">
      <w:pPr>
        <w:jc w:val="both"/>
        <w:rPr>
          <w:b/>
        </w:rPr>
      </w:pPr>
      <w:r>
        <w:rPr>
          <w:b/>
        </w:rPr>
        <w:t>Supplementary Figure 6. DNA concentration (ng/µL) across different Research Units (RUs).</w:t>
      </w:r>
    </w:p>
    <w:p w:rsidR="00F455A4" w:rsidRDefault="00F455A4" w:rsidP="00F455A4">
      <w:pPr>
        <w:jc w:val="both"/>
      </w:pPr>
      <w:r>
        <w:t xml:space="preserve">Boxplots represent the distribution of DNA concentrations extracted from a commercial microbial mock community across RUs working on yoghurt (Plot A), </w:t>
      </w:r>
      <w:proofErr w:type="spellStart"/>
      <w:r>
        <w:t>kombucha</w:t>
      </w:r>
      <w:proofErr w:type="spellEnd"/>
      <w:r>
        <w:t xml:space="preserve"> (Plot B), cheese (Plot C), sausages (Plot D), water L (Plot E), water R (Plot F), soil A (Plot G), soil B (Plot H). One-way ANOVA was used to assess differences in DNA concentration among RUs, followed by Tukey’s Honest Significant Difference (HSD) post-hoc test for pairwise comparisons. Statistically significant differences (p &lt; 0.05) are indicated by different lowercase letters above the boxplots.</w:t>
      </w:r>
    </w:p>
    <w:p w:rsidR="00F455A4" w:rsidRDefault="00F455A4">
      <w:r w:rsidRPr="00F455A4">
        <w:rPr>
          <w:noProof/>
        </w:rPr>
        <w:lastRenderedPageBreak/>
        <w:drawing>
          <wp:inline distT="0" distB="0" distL="0" distR="0">
            <wp:extent cx="5943600" cy="5055205"/>
            <wp:effectExtent l="0" t="0" r="0" b="0"/>
            <wp:docPr id="17" name="Picture 17" descr="H:\journals\Springer\SpACE\40793\833\Stage210\Author\Supplementary\Supplementary Figure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journals\Springer\SpACE\40793\833\Stage210\Author\Supplementary\Supplementary Figure 7.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055205"/>
                    </a:xfrm>
                    <a:prstGeom prst="rect">
                      <a:avLst/>
                    </a:prstGeom>
                    <a:noFill/>
                    <a:ln>
                      <a:noFill/>
                    </a:ln>
                  </pic:spPr>
                </pic:pic>
              </a:graphicData>
            </a:graphic>
          </wp:inline>
        </w:drawing>
      </w:r>
    </w:p>
    <w:p w:rsidR="00F455A4" w:rsidRPr="007A6AC3" w:rsidRDefault="00F455A4" w:rsidP="00F455A4">
      <w:pPr>
        <w:spacing w:before="280" w:after="280"/>
        <w:jc w:val="both"/>
        <w:rPr>
          <w:color w:val="000000" w:themeColor="text1"/>
        </w:rPr>
      </w:pPr>
      <w:r>
        <w:rPr>
          <w:b/>
        </w:rPr>
        <w:t>Supplementary Figure 7.</w:t>
      </w:r>
      <w:r>
        <w:t xml:space="preserve"> Plot </w:t>
      </w:r>
      <w:proofErr w:type="gramStart"/>
      <w:r>
        <w:t>A</w:t>
      </w:r>
      <w:proofErr w:type="gramEnd"/>
      <w:r>
        <w:t xml:space="preserve"> shows the Bland–Altman plot comparing the Shannon diversity index obtained from the analysis of water L samples. Each point represents the mean Shannon index, and the lines denote the 95% confidence interval between replicates. Plot B displays the divergence in Bray–Curtis dissimilarity between each RUs and UNIPG, which was chosen as the reference </w:t>
      </w:r>
      <w:proofErr w:type="spellStart"/>
      <w:r>
        <w:t>RUs.</w:t>
      </w:r>
      <w:proofErr w:type="spellEnd"/>
      <w:r>
        <w:t xml:space="preserve"> Statistical differences between RUs were assessed using pairwise Wilcoxon tests and are indicated by different lowercase letters. Dashed blue lines represent predefined Bray–Curtis dissimilarity thresholds (upper and lower limits) used for quality assessment. Plot C shows stacked bar plots illustrating the mean relative frequency of the most abundant ASVs (Amplicon Sequence Variants) </w:t>
      </w:r>
      <w:r w:rsidRPr="007A6AC3">
        <w:rPr>
          <w:bCs/>
          <w:color w:val="000000" w:themeColor="text1"/>
          <w:spacing w:val="2"/>
        </w:rPr>
        <w:t xml:space="preserve">grouped by genus or family level </w:t>
      </w:r>
      <w:r w:rsidRPr="007A6AC3">
        <w:rPr>
          <w:color w:val="000000" w:themeColor="text1"/>
        </w:rPr>
        <w:t xml:space="preserve">in water L samples (relative frequency &gt;0.5% in at least three samples) across </w:t>
      </w:r>
      <w:proofErr w:type="spellStart"/>
      <w:r w:rsidRPr="007A6AC3">
        <w:rPr>
          <w:color w:val="000000" w:themeColor="text1"/>
        </w:rPr>
        <w:t>RUs.</w:t>
      </w:r>
      <w:proofErr w:type="spellEnd"/>
      <w:r w:rsidRPr="007A6AC3">
        <w:rPr>
          <w:color w:val="000000" w:themeColor="text1"/>
        </w:rPr>
        <w:t xml:space="preserve"> </w:t>
      </w:r>
    </w:p>
    <w:p w:rsidR="00F455A4" w:rsidRDefault="00F455A4">
      <w:r w:rsidRPr="00F455A4">
        <w:rPr>
          <w:noProof/>
        </w:rPr>
        <w:lastRenderedPageBreak/>
        <w:drawing>
          <wp:inline distT="0" distB="0" distL="0" distR="0">
            <wp:extent cx="5943600" cy="4520595"/>
            <wp:effectExtent l="0" t="0" r="0" b="0"/>
            <wp:docPr id="18" name="Picture 18" descr="H:\journals\Springer\SpACE\40793\833\Stage210\Author\Supplementary\Supplementary Figure 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journals\Springer\SpACE\40793\833\Stage210\Author\Supplementary\Supplementary Figure 8.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520595"/>
                    </a:xfrm>
                    <a:prstGeom prst="rect">
                      <a:avLst/>
                    </a:prstGeom>
                    <a:noFill/>
                    <a:ln>
                      <a:noFill/>
                    </a:ln>
                  </pic:spPr>
                </pic:pic>
              </a:graphicData>
            </a:graphic>
          </wp:inline>
        </w:drawing>
      </w:r>
    </w:p>
    <w:p w:rsidR="00F455A4" w:rsidRPr="007A6AC3" w:rsidRDefault="00F455A4" w:rsidP="00F455A4">
      <w:pPr>
        <w:spacing w:before="280" w:after="280"/>
        <w:jc w:val="both"/>
        <w:rPr>
          <w:color w:val="000000" w:themeColor="text1"/>
        </w:rPr>
      </w:pPr>
      <w:r w:rsidRPr="007A6AC3">
        <w:rPr>
          <w:b/>
          <w:color w:val="000000" w:themeColor="text1"/>
        </w:rPr>
        <w:t>Supplementary Figure 8.</w:t>
      </w:r>
      <w:r w:rsidRPr="007A6AC3">
        <w:rPr>
          <w:color w:val="000000" w:themeColor="text1"/>
        </w:rPr>
        <w:t xml:space="preserve"> Plot </w:t>
      </w:r>
      <w:proofErr w:type="gramStart"/>
      <w:r w:rsidRPr="007A6AC3">
        <w:rPr>
          <w:color w:val="000000" w:themeColor="text1"/>
        </w:rPr>
        <w:t>A</w:t>
      </w:r>
      <w:proofErr w:type="gramEnd"/>
      <w:r w:rsidRPr="007A6AC3">
        <w:rPr>
          <w:color w:val="000000" w:themeColor="text1"/>
        </w:rPr>
        <w:t xml:space="preserve"> shows the Bland–Altman plot comparing the Shannon diversity index obtained from the analysis of water R samples. Each point represents the mean Shannon index, and the lines denote the 95% confidence interval between replicates. Plot B displays the divergence in Bray–Curtis dissimilarity between each RUs and UNIPG, which was chosen as the reference </w:t>
      </w:r>
      <w:proofErr w:type="spellStart"/>
      <w:r w:rsidRPr="007A6AC3">
        <w:rPr>
          <w:color w:val="000000" w:themeColor="text1"/>
        </w:rPr>
        <w:t>RUs.</w:t>
      </w:r>
      <w:proofErr w:type="spellEnd"/>
      <w:r w:rsidRPr="007A6AC3">
        <w:rPr>
          <w:color w:val="000000" w:themeColor="text1"/>
        </w:rPr>
        <w:t xml:space="preserve"> Statistical differences between RUs were assessed using pairwise Wilcoxon tests and are indicated by different lowercase letters. Dashed blue lines represent predefined Bray–Curtis dissimilarity thresholds (upper and lower limits) used for quality assessment. Plot C illustrating the mean relative frequency of the most abundant ASVs (Amplicon Sequence Variants) </w:t>
      </w:r>
      <w:r w:rsidRPr="007A6AC3">
        <w:rPr>
          <w:bCs/>
          <w:color w:val="000000" w:themeColor="text1"/>
          <w:spacing w:val="2"/>
        </w:rPr>
        <w:t xml:space="preserve">grouped by genus or family level </w:t>
      </w:r>
      <w:r w:rsidRPr="007A6AC3">
        <w:rPr>
          <w:color w:val="000000" w:themeColor="text1"/>
        </w:rPr>
        <w:t xml:space="preserve">in water R samples (relative frequency &gt;0.5% in at least three samples) across </w:t>
      </w:r>
      <w:proofErr w:type="spellStart"/>
      <w:r w:rsidRPr="007A6AC3">
        <w:rPr>
          <w:color w:val="000000" w:themeColor="text1"/>
        </w:rPr>
        <w:t>RUs.</w:t>
      </w:r>
      <w:proofErr w:type="spellEnd"/>
      <w:r w:rsidRPr="007A6AC3">
        <w:rPr>
          <w:color w:val="000000" w:themeColor="text1"/>
        </w:rPr>
        <w:t xml:space="preserve"> </w:t>
      </w:r>
    </w:p>
    <w:p w:rsidR="00F455A4" w:rsidRDefault="00F455A4">
      <w:r w:rsidRPr="00F455A4">
        <w:rPr>
          <w:noProof/>
        </w:rPr>
        <w:lastRenderedPageBreak/>
        <w:drawing>
          <wp:inline distT="0" distB="0" distL="0" distR="0">
            <wp:extent cx="5943600" cy="4536319"/>
            <wp:effectExtent l="0" t="0" r="0" b="0"/>
            <wp:docPr id="19" name="Picture 19" descr="H:\journals\Springer\SpACE\40793\833\Stage210\Author\Supplementary\Supplementary Figure 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journals\Springer\SpACE\40793\833\Stage210\Author\Supplementary\Supplementary Figure 9.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536319"/>
                    </a:xfrm>
                    <a:prstGeom prst="rect">
                      <a:avLst/>
                    </a:prstGeom>
                    <a:noFill/>
                    <a:ln>
                      <a:noFill/>
                    </a:ln>
                  </pic:spPr>
                </pic:pic>
              </a:graphicData>
            </a:graphic>
          </wp:inline>
        </w:drawing>
      </w:r>
    </w:p>
    <w:p w:rsidR="00F455A4" w:rsidRPr="007A6AC3" w:rsidRDefault="00F455A4" w:rsidP="00F455A4">
      <w:pPr>
        <w:spacing w:before="280" w:after="280"/>
        <w:jc w:val="both"/>
        <w:rPr>
          <w:color w:val="000000" w:themeColor="text1"/>
        </w:rPr>
      </w:pPr>
      <w:r w:rsidRPr="007A6AC3">
        <w:rPr>
          <w:b/>
          <w:color w:val="000000" w:themeColor="text1"/>
        </w:rPr>
        <w:t xml:space="preserve">Supplementary Figure 9. </w:t>
      </w:r>
      <w:r w:rsidRPr="007A6AC3">
        <w:rPr>
          <w:color w:val="000000" w:themeColor="text1"/>
        </w:rPr>
        <w:t xml:space="preserve">Plot </w:t>
      </w:r>
      <w:proofErr w:type="gramStart"/>
      <w:r w:rsidRPr="007A6AC3">
        <w:rPr>
          <w:color w:val="000000" w:themeColor="text1"/>
        </w:rPr>
        <w:t>A</w:t>
      </w:r>
      <w:proofErr w:type="gramEnd"/>
      <w:r w:rsidRPr="007A6AC3">
        <w:rPr>
          <w:color w:val="000000" w:themeColor="text1"/>
        </w:rPr>
        <w:t xml:space="preserve"> shows the Bland–Altman plot comparing the Shannon diversity index obtained from the analysis of soil A samples. Each point represents the mean Shannon index, and the lines denote the 95% confidence interval between replicates. Plot B displays the divergence in Bray–Curtis dissimilarity between each RUs and ENEA, which was chosen as the reference </w:t>
      </w:r>
      <w:proofErr w:type="spellStart"/>
      <w:r w:rsidRPr="007A6AC3">
        <w:rPr>
          <w:color w:val="000000" w:themeColor="text1"/>
        </w:rPr>
        <w:t>RUs.</w:t>
      </w:r>
      <w:proofErr w:type="spellEnd"/>
      <w:r w:rsidRPr="007A6AC3">
        <w:rPr>
          <w:color w:val="000000" w:themeColor="text1"/>
        </w:rPr>
        <w:t xml:space="preserve"> Statistical differences between RUs were assessed using pairwise Wilcoxon tests and are indicated by different lowercase letters. Dashed blue lines represent predefined Bray–Curtis dissimilarity thresholds (upper and lower limits) used for quality assessment. Plot C showed the mean relative frequency of the most abundant ASVs (Amplicon Sequence Variants) </w:t>
      </w:r>
      <w:r w:rsidRPr="007A6AC3">
        <w:rPr>
          <w:bCs/>
          <w:color w:val="000000" w:themeColor="text1"/>
          <w:spacing w:val="2"/>
        </w:rPr>
        <w:t xml:space="preserve">grouped by genus or family level </w:t>
      </w:r>
      <w:r w:rsidRPr="007A6AC3">
        <w:rPr>
          <w:color w:val="000000" w:themeColor="text1"/>
        </w:rPr>
        <w:t xml:space="preserve">in soil A samples (relative frequency &gt;0.5% in at least three samples) across </w:t>
      </w:r>
      <w:proofErr w:type="spellStart"/>
      <w:r w:rsidRPr="007A6AC3">
        <w:rPr>
          <w:color w:val="000000" w:themeColor="text1"/>
        </w:rPr>
        <w:t>RUs.</w:t>
      </w:r>
      <w:proofErr w:type="spellEnd"/>
      <w:r w:rsidRPr="007A6AC3">
        <w:rPr>
          <w:color w:val="000000" w:themeColor="text1"/>
        </w:rPr>
        <w:t xml:space="preserve"> </w:t>
      </w:r>
    </w:p>
    <w:p w:rsidR="00F455A4" w:rsidRDefault="00F455A4">
      <w:r w:rsidRPr="00F455A4">
        <w:rPr>
          <w:noProof/>
        </w:rPr>
        <w:lastRenderedPageBreak/>
        <w:drawing>
          <wp:inline distT="0" distB="0" distL="0" distR="0">
            <wp:extent cx="5943600" cy="4842933"/>
            <wp:effectExtent l="0" t="0" r="0" b="0"/>
            <wp:docPr id="20" name="Picture 20" descr="H:\journals\Springer\SpACE\40793\833\Stage210\Author\Supplementary\Supplementary Figure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journals\Springer\SpACE\40793\833\Stage210\Author\Supplementary\Supplementary Figure 10.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842933"/>
                    </a:xfrm>
                    <a:prstGeom prst="rect">
                      <a:avLst/>
                    </a:prstGeom>
                    <a:noFill/>
                    <a:ln>
                      <a:noFill/>
                    </a:ln>
                  </pic:spPr>
                </pic:pic>
              </a:graphicData>
            </a:graphic>
          </wp:inline>
        </w:drawing>
      </w:r>
    </w:p>
    <w:p w:rsidR="00F455A4" w:rsidRPr="007A6AC3" w:rsidRDefault="00F455A4" w:rsidP="00F455A4">
      <w:pPr>
        <w:spacing w:before="280" w:after="280"/>
        <w:jc w:val="both"/>
        <w:rPr>
          <w:color w:val="000000" w:themeColor="text1"/>
        </w:rPr>
      </w:pPr>
      <w:r w:rsidRPr="007A6AC3">
        <w:rPr>
          <w:b/>
          <w:color w:val="000000" w:themeColor="text1"/>
        </w:rPr>
        <w:t xml:space="preserve">Supplementary Figure 10. </w:t>
      </w:r>
      <w:r w:rsidRPr="007A6AC3">
        <w:rPr>
          <w:color w:val="000000" w:themeColor="text1"/>
        </w:rPr>
        <w:t xml:space="preserve">Plot </w:t>
      </w:r>
      <w:proofErr w:type="gramStart"/>
      <w:r w:rsidRPr="007A6AC3">
        <w:rPr>
          <w:color w:val="000000" w:themeColor="text1"/>
        </w:rPr>
        <w:t>A</w:t>
      </w:r>
      <w:proofErr w:type="gramEnd"/>
      <w:r w:rsidRPr="007A6AC3">
        <w:rPr>
          <w:color w:val="000000" w:themeColor="text1"/>
        </w:rPr>
        <w:t xml:space="preserve"> shows the Bland–Altman plot comparing the Shannon diversity index obtained from the analysis of soil B samples. Each point represents the mean Shannon index, and the lines denote the 95% confidence interval between replicates. Plot B displays the divergence in Bray–Curtis dissimilarity between each RUs and ENEA, which was chosen as the reference </w:t>
      </w:r>
      <w:proofErr w:type="spellStart"/>
      <w:r w:rsidRPr="007A6AC3">
        <w:rPr>
          <w:color w:val="000000" w:themeColor="text1"/>
        </w:rPr>
        <w:t>RUs.</w:t>
      </w:r>
      <w:proofErr w:type="spellEnd"/>
      <w:r w:rsidRPr="007A6AC3">
        <w:rPr>
          <w:color w:val="000000" w:themeColor="text1"/>
        </w:rPr>
        <w:t xml:space="preserve"> Statistical differences between RUs were assessed using pairwise Wilcoxon tests and are indicated by different lowercase letters. Dashed blue lines represent predefined Bray–Curtis dissimilarity thresholds (upper and lower limits) used for quality assessment. Plot C showed the mean relative frequency of the most abundant ASVs (Amplicon Sequence Variants) </w:t>
      </w:r>
      <w:r w:rsidRPr="007A6AC3">
        <w:rPr>
          <w:bCs/>
          <w:color w:val="000000" w:themeColor="text1"/>
          <w:spacing w:val="2"/>
        </w:rPr>
        <w:t xml:space="preserve">grouped by genus or family level </w:t>
      </w:r>
      <w:r w:rsidRPr="007A6AC3">
        <w:rPr>
          <w:color w:val="000000" w:themeColor="text1"/>
        </w:rPr>
        <w:t xml:space="preserve">in soil A samples (relative frequency &gt;0.5% in at least three samples) across </w:t>
      </w:r>
      <w:proofErr w:type="spellStart"/>
      <w:r w:rsidRPr="007A6AC3">
        <w:rPr>
          <w:color w:val="000000" w:themeColor="text1"/>
        </w:rPr>
        <w:t>RUs.</w:t>
      </w:r>
      <w:proofErr w:type="spellEnd"/>
      <w:r w:rsidRPr="007A6AC3">
        <w:rPr>
          <w:color w:val="000000" w:themeColor="text1"/>
        </w:rPr>
        <w:t xml:space="preserve"> </w:t>
      </w:r>
    </w:p>
    <w:p w:rsidR="00F455A4" w:rsidRDefault="00F455A4" w:rsidP="00F455A4">
      <w:bookmarkStart w:id="0" w:name="_GoBack"/>
      <w:bookmarkEnd w:id="0"/>
    </w:p>
    <w:sectPr w:rsidR="00F45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5A4"/>
    <w:rsid w:val="00005F49"/>
    <w:rsid w:val="00084D7A"/>
    <w:rsid w:val="00117C01"/>
    <w:rsid w:val="001414D5"/>
    <w:rsid w:val="0017247C"/>
    <w:rsid w:val="001A3ED3"/>
    <w:rsid w:val="001C2072"/>
    <w:rsid w:val="001D7AED"/>
    <w:rsid w:val="001F41FC"/>
    <w:rsid w:val="002719AC"/>
    <w:rsid w:val="00321A00"/>
    <w:rsid w:val="00323746"/>
    <w:rsid w:val="00372E8A"/>
    <w:rsid w:val="003C79A8"/>
    <w:rsid w:val="003E306A"/>
    <w:rsid w:val="004125E2"/>
    <w:rsid w:val="004559EB"/>
    <w:rsid w:val="004A2394"/>
    <w:rsid w:val="004B10BD"/>
    <w:rsid w:val="004C0052"/>
    <w:rsid w:val="004E20D7"/>
    <w:rsid w:val="004E46FB"/>
    <w:rsid w:val="0055222E"/>
    <w:rsid w:val="00554298"/>
    <w:rsid w:val="006978E6"/>
    <w:rsid w:val="006B0739"/>
    <w:rsid w:val="006E3629"/>
    <w:rsid w:val="00710E8F"/>
    <w:rsid w:val="00711AFB"/>
    <w:rsid w:val="007E213D"/>
    <w:rsid w:val="00844AB6"/>
    <w:rsid w:val="00865924"/>
    <w:rsid w:val="00867744"/>
    <w:rsid w:val="008750E9"/>
    <w:rsid w:val="008A067B"/>
    <w:rsid w:val="008E01D2"/>
    <w:rsid w:val="00916B1D"/>
    <w:rsid w:val="00956614"/>
    <w:rsid w:val="009934B9"/>
    <w:rsid w:val="009F5083"/>
    <w:rsid w:val="00A11281"/>
    <w:rsid w:val="00A27A48"/>
    <w:rsid w:val="00A66C96"/>
    <w:rsid w:val="00AE6A8E"/>
    <w:rsid w:val="00AF1256"/>
    <w:rsid w:val="00B16748"/>
    <w:rsid w:val="00BC0177"/>
    <w:rsid w:val="00BC5C03"/>
    <w:rsid w:val="00BD44E6"/>
    <w:rsid w:val="00BD4F16"/>
    <w:rsid w:val="00BE6613"/>
    <w:rsid w:val="00C31875"/>
    <w:rsid w:val="00C3436E"/>
    <w:rsid w:val="00C62ACA"/>
    <w:rsid w:val="00CC500B"/>
    <w:rsid w:val="00CD4839"/>
    <w:rsid w:val="00D4277A"/>
    <w:rsid w:val="00DB1147"/>
    <w:rsid w:val="00E303A9"/>
    <w:rsid w:val="00E41E87"/>
    <w:rsid w:val="00EB5F84"/>
    <w:rsid w:val="00ED05CA"/>
    <w:rsid w:val="00F455A4"/>
    <w:rsid w:val="00F561CD"/>
    <w:rsid w:val="00FA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37ED5A-57EF-4C88-AD31-2F02EC9EC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mb-24">
    <w:name w:val="u-mb-24"/>
    <w:basedOn w:val="Normal"/>
    <w:rsid w:val="00F455A4"/>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fontTable" Target="fontTable.xml"/><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ED2A1-E6E0-4CBF-BB45-3F71BAFBE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1435</Words>
  <Characters>8183</Characters>
  <Application>Microsoft Office Word</Application>
  <DocSecurity>0</DocSecurity>
  <Lines>68</Lines>
  <Paragraphs>19</Paragraphs>
  <ScaleCrop>false</ScaleCrop>
  <Company/>
  <LinksUpToDate>false</LinksUpToDate>
  <CharactersWithSpaces>9599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Rajeshwari Kalimuthu</dc:creator>
  <cp:keywords/>
  <dc:description/>
  <cp:lastModifiedBy>Rajeshwari Kalimuthu</cp:lastModifiedBy>
  <cp:revision>1</cp:revision>
  <dcterms:created xsi:type="dcterms:W3CDTF">2025-12-02T13:43:00Z</dcterms:created>
  <dcterms:modified xsi:type="dcterms:W3CDTF">2025-12-02T13:49:00Z</dcterms:modified>
</cp:coreProperties>
</file>