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F638" w14:textId="0B0EE739" w:rsidR="0055436A" w:rsidRPr="00A453D3" w:rsidRDefault="00F50612">
      <w:pPr>
        <w:rPr>
          <w:rFonts w:ascii="Times New Roman" w:hAnsi="Times New Roman" w:cs="Times New Roman"/>
          <w:b/>
          <w:bCs/>
          <w:lang w:val="en-US"/>
        </w:rPr>
      </w:pPr>
      <w:r>
        <w:rPr>
          <w:rFonts w:ascii="Times New Roman" w:hAnsi="Times New Roman" w:cs="Times New Roman"/>
          <w:b/>
          <w:bCs/>
          <w:lang w:val="en-US"/>
        </w:rPr>
        <w:t>Supporting Information</w:t>
      </w:r>
    </w:p>
    <w:p w14:paraId="6F025F2D" w14:textId="77777777" w:rsidR="00501ECB" w:rsidRPr="00A453D3" w:rsidRDefault="00501ECB">
      <w:pPr>
        <w:rPr>
          <w:rFonts w:ascii="Times New Roman" w:hAnsi="Times New Roman" w:cs="Times New Roman"/>
          <w:b/>
          <w:bCs/>
          <w:lang w:val="en-US"/>
        </w:rPr>
      </w:pPr>
    </w:p>
    <w:p w14:paraId="69A3FE7E" w14:textId="77777777" w:rsidR="00501ECB" w:rsidRPr="00F50612" w:rsidRDefault="00501ECB" w:rsidP="00501ECB">
      <w:pPr>
        <w:rPr>
          <w:rFonts w:ascii="Times New Roman" w:hAnsi="Times New Roman" w:cs="Times New Roman"/>
          <w:b/>
          <w:bCs/>
          <w:sz w:val="20"/>
          <w:szCs w:val="20"/>
          <w:lang w:val="en-US"/>
        </w:rPr>
      </w:pPr>
      <w:r w:rsidRPr="00F50612">
        <w:rPr>
          <w:rFonts w:ascii="Times New Roman" w:hAnsi="Times New Roman" w:cs="Times New Roman"/>
          <w:b/>
          <w:bCs/>
          <w:sz w:val="20"/>
          <w:szCs w:val="20"/>
          <w:lang w:val="en-US"/>
        </w:rPr>
        <w:t xml:space="preserve">Investigating the core microbiome concept: </w:t>
      </w:r>
      <w:r w:rsidRPr="00F50612">
        <w:rPr>
          <w:rFonts w:ascii="Times New Roman" w:hAnsi="Times New Roman" w:cs="Times New Roman"/>
          <w:b/>
          <w:bCs/>
          <w:i/>
          <w:iCs/>
          <w:sz w:val="20"/>
          <w:szCs w:val="20"/>
          <w:lang w:val="en-US"/>
        </w:rPr>
        <w:t>Daphnia</w:t>
      </w:r>
      <w:r w:rsidRPr="00F50612">
        <w:rPr>
          <w:rFonts w:ascii="Times New Roman" w:hAnsi="Times New Roman" w:cs="Times New Roman"/>
          <w:b/>
          <w:bCs/>
          <w:sz w:val="20"/>
          <w:szCs w:val="20"/>
          <w:lang w:val="en-US"/>
        </w:rPr>
        <w:t xml:space="preserve"> as a case study</w:t>
      </w:r>
    </w:p>
    <w:p w14:paraId="536712D8" w14:textId="0E51F2C2" w:rsidR="00501ECB" w:rsidRPr="00F50612" w:rsidRDefault="00501ECB" w:rsidP="00501ECB">
      <w:pPr>
        <w:rPr>
          <w:rFonts w:ascii="Times New Roman" w:hAnsi="Times New Roman" w:cs="Times New Roman"/>
          <w:b/>
          <w:bCs/>
          <w:sz w:val="20"/>
          <w:szCs w:val="20"/>
          <w:lang w:val="en-US"/>
        </w:rPr>
      </w:pPr>
      <w:r w:rsidRPr="00F50612">
        <w:rPr>
          <w:rFonts w:ascii="Times New Roman" w:hAnsi="Times New Roman" w:cs="Times New Roman"/>
          <w:b/>
          <w:bCs/>
          <w:sz w:val="20"/>
          <w:szCs w:val="20"/>
          <w:lang w:val="en-US"/>
        </w:rPr>
        <w:t>Aditi Gurung</w:t>
      </w:r>
      <w:r w:rsidRPr="00F50612">
        <w:rPr>
          <w:rFonts w:ascii="Times New Roman" w:hAnsi="Times New Roman" w:cs="Times New Roman"/>
          <w:b/>
          <w:bCs/>
          <w:sz w:val="20"/>
          <w:szCs w:val="20"/>
          <w:vertAlign w:val="superscript"/>
          <w:lang w:val="en-US"/>
        </w:rPr>
        <w:t>1</w:t>
      </w:r>
      <w:r w:rsidRPr="00F50612">
        <w:rPr>
          <w:rFonts w:ascii="Times New Roman" w:hAnsi="Times New Roman" w:cs="Times New Roman"/>
          <w:b/>
          <w:bCs/>
          <w:sz w:val="20"/>
          <w:szCs w:val="20"/>
          <w:lang w:val="en-US"/>
        </w:rPr>
        <w:t>, Martijn Callens</w:t>
      </w:r>
      <w:r w:rsidRPr="00F50612">
        <w:rPr>
          <w:rFonts w:ascii="Times New Roman" w:hAnsi="Times New Roman" w:cs="Times New Roman"/>
          <w:b/>
          <w:bCs/>
          <w:sz w:val="20"/>
          <w:szCs w:val="20"/>
          <w:vertAlign w:val="superscript"/>
          <w:lang w:val="en-US"/>
        </w:rPr>
        <w:t>2</w:t>
      </w:r>
      <w:r w:rsidRPr="00F50612">
        <w:rPr>
          <w:rFonts w:ascii="Times New Roman" w:hAnsi="Times New Roman" w:cs="Times New Roman"/>
          <w:b/>
          <w:bCs/>
          <w:sz w:val="20"/>
          <w:szCs w:val="20"/>
          <w:lang w:val="en-US"/>
        </w:rPr>
        <w:t>, François Massol</w:t>
      </w:r>
      <w:r w:rsidRPr="00F50612">
        <w:rPr>
          <w:rFonts w:ascii="Times New Roman" w:hAnsi="Times New Roman" w:cs="Times New Roman"/>
          <w:b/>
          <w:bCs/>
          <w:sz w:val="20"/>
          <w:szCs w:val="20"/>
          <w:vertAlign w:val="superscript"/>
          <w:lang w:val="en-US"/>
        </w:rPr>
        <w:t>3</w:t>
      </w:r>
      <w:r w:rsidRPr="00F50612">
        <w:rPr>
          <w:rFonts w:ascii="Times New Roman" w:hAnsi="Times New Roman" w:cs="Times New Roman"/>
          <w:b/>
          <w:bCs/>
          <w:sz w:val="20"/>
          <w:szCs w:val="20"/>
          <w:lang w:val="en-US"/>
        </w:rPr>
        <w:t>,Caroline Souffreau</w:t>
      </w:r>
      <w:r w:rsidRPr="00F50612">
        <w:rPr>
          <w:rFonts w:ascii="Times New Roman" w:hAnsi="Times New Roman" w:cs="Times New Roman"/>
          <w:b/>
          <w:bCs/>
          <w:sz w:val="20"/>
          <w:szCs w:val="20"/>
          <w:vertAlign w:val="superscript"/>
          <w:lang w:val="en-US"/>
        </w:rPr>
        <w:t>1</w:t>
      </w:r>
      <w:r w:rsidRPr="00F50612">
        <w:rPr>
          <w:rFonts w:ascii="Times New Roman" w:hAnsi="Times New Roman" w:cs="Times New Roman"/>
          <w:b/>
          <w:bCs/>
          <w:sz w:val="20"/>
          <w:szCs w:val="20"/>
          <w:lang w:val="en-US"/>
        </w:rPr>
        <w:t>, Shinjini Mukherjee</w:t>
      </w:r>
      <w:r w:rsidRPr="00F50612">
        <w:rPr>
          <w:rFonts w:ascii="Times New Roman" w:hAnsi="Times New Roman" w:cs="Times New Roman"/>
          <w:b/>
          <w:bCs/>
          <w:sz w:val="20"/>
          <w:szCs w:val="20"/>
          <w:vertAlign w:val="superscript"/>
          <w:lang w:val="en-US"/>
        </w:rPr>
        <w:t>4</w:t>
      </w:r>
      <w:r w:rsidRPr="00F50612">
        <w:rPr>
          <w:rFonts w:ascii="Times New Roman" w:hAnsi="Times New Roman" w:cs="Times New Roman"/>
          <w:b/>
          <w:bCs/>
          <w:sz w:val="20"/>
          <w:szCs w:val="20"/>
          <w:lang w:val="en-US"/>
        </w:rPr>
        <w:t>, Shira Houwenhuyse</w:t>
      </w:r>
      <w:r w:rsidRPr="00F50612">
        <w:rPr>
          <w:rFonts w:ascii="Times New Roman" w:hAnsi="Times New Roman" w:cs="Times New Roman"/>
          <w:b/>
          <w:bCs/>
          <w:sz w:val="20"/>
          <w:szCs w:val="20"/>
          <w:vertAlign w:val="superscript"/>
          <w:lang w:val="en-US"/>
        </w:rPr>
        <w:t>5</w:t>
      </w:r>
      <w:r w:rsidRPr="00F50612">
        <w:rPr>
          <w:rFonts w:ascii="Times New Roman" w:hAnsi="Times New Roman" w:cs="Times New Roman"/>
          <w:b/>
          <w:bCs/>
          <w:sz w:val="20"/>
          <w:szCs w:val="20"/>
          <w:lang w:val="en-US"/>
        </w:rPr>
        <w:t>, Robby Stoks</w:t>
      </w:r>
      <w:r w:rsidRPr="00F50612">
        <w:rPr>
          <w:rFonts w:ascii="Times New Roman" w:hAnsi="Times New Roman" w:cs="Times New Roman"/>
          <w:b/>
          <w:bCs/>
          <w:sz w:val="20"/>
          <w:szCs w:val="20"/>
          <w:vertAlign w:val="superscript"/>
          <w:lang w:val="en-US"/>
        </w:rPr>
        <w:t>6</w:t>
      </w:r>
      <w:r w:rsidRPr="00F50612">
        <w:rPr>
          <w:rFonts w:ascii="Times New Roman" w:hAnsi="Times New Roman" w:cs="Times New Roman"/>
          <w:b/>
          <w:bCs/>
          <w:sz w:val="20"/>
          <w:szCs w:val="20"/>
          <w:lang w:val="en-US"/>
        </w:rPr>
        <w:t>, Luc De Meester</w:t>
      </w:r>
      <w:r w:rsidRPr="00F50612">
        <w:rPr>
          <w:rFonts w:ascii="Times New Roman" w:hAnsi="Times New Roman" w:cs="Times New Roman"/>
          <w:b/>
          <w:bCs/>
          <w:sz w:val="20"/>
          <w:szCs w:val="20"/>
          <w:vertAlign w:val="superscript"/>
          <w:lang w:val="en-US"/>
        </w:rPr>
        <w:t>1,7,8</w:t>
      </w:r>
      <w:r w:rsidRPr="00F50612">
        <w:rPr>
          <w:rFonts w:ascii="Times New Roman" w:hAnsi="Times New Roman" w:cs="Times New Roman"/>
          <w:b/>
          <w:bCs/>
          <w:sz w:val="20"/>
          <w:szCs w:val="20"/>
          <w:lang w:val="en-US"/>
        </w:rPr>
        <w:t>* &amp; Ellen Decaestecker</w:t>
      </w:r>
      <w:r w:rsidRPr="00F50612">
        <w:rPr>
          <w:rFonts w:ascii="Times New Roman" w:hAnsi="Times New Roman" w:cs="Times New Roman"/>
          <w:b/>
          <w:bCs/>
          <w:sz w:val="20"/>
          <w:szCs w:val="20"/>
          <w:vertAlign w:val="superscript"/>
          <w:lang w:val="en-US"/>
        </w:rPr>
        <w:t>9</w:t>
      </w:r>
      <w:r w:rsidRPr="00F50612">
        <w:rPr>
          <w:rFonts w:ascii="Times New Roman" w:hAnsi="Times New Roman" w:cs="Times New Roman"/>
          <w:b/>
          <w:bCs/>
          <w:sz w:val="20"/>
          <w:szCs w:val="20"/>
          <w:lang w:val="en-US"/>
        </w:rPr>
        <w:t>*</w:t>
      </w:r>
    </w:p>
    <w:p w14:paraId="539079C9" w14:textId="77777777" w:rsidR="00501ECB" w:rsidRPr="00F50612" w:rsidRDefault="00501ECB" w:rsidP="00501ECB">
      <w:pPr>
        <w:spacing w:after="0" w:line="360" w:lineRule="auto"/>
        <w:rPr>
          <w:rFonts w:ascii="Times New Roman" w:eastAsia="Times New Roman" w:hAnsi="Times New Roman" w:cs="Times New Roman"/>
          <w:kern w:val="0"/>
          <w:sz w:val="20"/>
          <w:szCs w:val="20"/>
          <w:lang w:val="en-IN"/>
          <w14:ligatures w14:val="none"/>
        </w:rPr>
      </w:pPr>
      <w:r w:rsidRPr="00F50612">
        <w:rPr>
          <w:rFonts w:ascii="Times New Roman" w:eastAsia="Times New Roman" w:hAnsi="Times New Roman" w:cs="Times New Roman"/>
          <w:b/>
          <w:bCs/>
          <w:kern w:val="0"/>
          <w:sz w:val="20"/>
          <w:szCs w:val="20"/>
          <w:lang w:val="en-IN"/>
          <w14:ligatures w14:val="none"/>
        </w:rPr>
        <w:t>Author affiliations</w:t>
      </w:r>
      <w:r w:rsidRPr="00F50612">
        <w:rPr>
          <w:rFonts w:ascii="Times New Roman" w:eastAsia="Times New Roman" w:hAnsi="Times New Roman" w:cs="Times New Roman"/>
          <w:kern w:val="0"/>
          <w:sz w:val="20"/>
          <w:szCs w:val="20"/>
          <w:lang w:val="en-IN"/>
          <w14:ligatures w14:val="none"/>
        </w:rPr>
        <w:t>:</w:t>
      </w:r>
    </w:p>
    <w:p w14:paraId="689CF5B9" w14:textId="77777777" w:rsidR="00501ECB" w:rsidRPr="00F50612" w:rsidRDefault="00501ECB" w:rsidP="00501ECB">
      <w:pPr>
        <w:spacing w:after="0" w:line="360" w:lineRule="auto"/>
        <w:rPr>
          <w:rFonts w:ascii="Times New Roman" w:eastAsia="Times New Roman" w:hAnsi="Times New Roman" w:cs="Times New Roman"/>
          <w:kern w:val="0"/>
          <w:sz w:val="20"/>
          <w:szCs w:val="20"/>
          <w:lang w:val="en-IN"/>
          <w14:ligatures w14:val="none"/>
        </w:rPr>
      </w:pPr>
      <w:r w:rsidRPr="00F50612">
        <w:rPr>
          <w:rFonts w:ascii="Times New Roman" w:eastAsia="Times New Roman" w:hAnsi="Times New Roman" w:cs="Times New Roman"/>
          <w:kern w:val="0"/>
          <w:sz w:val="20"/>
          <w:szCs w:val="20"/>
          <w:vertAlign w:val="superscript"/>
          <w:lang w:val="en-IN"/>
          <w14:ligatures w14:val="none"/>
        </w:rPr>
        <w:t xml:space="preserve">1 </w:t>
      </w:r>
      <w:r w:rsidRPr="00F50612">
        <w:rPr>
          <w:rFonts w:ascii="Times New Roman" w:eastAsia="Times New Roman" w:hAnsi="Times New Roman" w:cs="Times New Roman"/>
          <w:kern w:val="0"/>
          <w:sz w:val="20"/>
          <w:szCs w:val="20"/>
          <w:lang w:val="en-IN"/>
          <w14:ligatures w14:val="none"/>
        </w:rPr>
        <w:t>Department of Biology, Laboratory of Freshwater Ecology, Evolution and Conservation, Division of Ecology, Evolution and Biodiversity Conservation, KU Leuven, Leuven 3000, Belgium.</w:t>
      </w:r>
    </w:p>
    <w:p w14:paraId="03A14ADD" w14:textId="77777777" w:rsidR="001713E0" w:rsidRPr="00F50612" w:rsidRDefault="001713E0" w:rsidP="001713E0">
      <w:pPr>
        <w:rPr>
          <w:rFonts w:ascii="Times New Roman" w:hAnsi="Times New Roman" w:cs="Times New Roman"/>
          <w:sz w:val="20"/>
          <w:szCs w:val="20"/>
          <w:lang w:val="en-IN"/>
        </w:rPr>
      </w:pPr>
      <w:r w:rsidRPr="00F50612">
        <w:rPr>
          <w:rFonts w:ascii="Times New Roman" w:hAnsi="Times New Roman" w:cs="Times New Roman"/>
          <w:sz w:val="20"/>
          <w:szCs w:val="20"/>
          <w:vertAlign w:val="superscript"/>
          <w:lang w:val="en-US"/>
        </w:rPr>
        <w:t xml:space="preserve">2 </w:t>
      </w:r>
      <w:r w:rsidRPr="00F50612">
        <w:rPr>
          <w:rFonts w:ascii="Times New Roman" w:hAnsi="Times New Roman" w:cs="Times New Roman"/>
          <w:sz w:val="20"/>
          <w:szCs w:val="20"/>
          <w:lang w:val="en-US"/>
        </w:rPr>
        <w:t>Animal Science Unit, Flanders Research Institute for Agriculture, Fisheries and Food (ILVO), Oostende 8400, Belgium</w:t>
      </w:r>
    </w:p>
    <w:p w14:paraId="65E4E663" w14:textId="77777777" w:rsidR="001F17B5" w:rsidRPr="001F17B5" w:rsidRDefault="001F17B5" w:rsidP="001F17B5">
      <w:pPr>
        <w:spacing w:after="0" w:line="360" w:lineRule="auto"/>
        <w:rPr>
          <w:rFonts w:ascii="Times New Roman" w:hAnsi="Times New Roman" w:cs="Times New Roman"/>
          <w:sz w:val="20"/>
          <w:szCs w:val="20"/>
          <w:vertAlign w:val="superscript"/>
          <w:lang w:val="fr-FR"/>
        </w:rPr>
      </w:pPr>
      <w:r w:rsidRPr="001F17B5">
        <w:rPr>
          <w:rFonts w:ascii="Times New Roman" w:hAnsi="Times New Roman" w:cs="Times New Roman"/>
          <w:sz w:val="20"/>
          <w:szCs w:val="20"/>
          <w:vertAlign w:val="superscript"/>
          <w:lang w:val="fr-FR"/>
        </w:rPr>
        <w:t xml:space="preserve">3 </w:t>
      </w:r>
      <w:r w:rsidRPr="001F17B5">
        <w:rPr>
          <w:rFonts w:ascii="Times New Roman" w:hAnsi="Times New Roman" w:cs="Times New Roman"/>
          <w:sz w:val="20"/>
          <w:szCs w:val="20"/>
          <w:lang w:val="fr-FR"/>
        </w:rPr>
        <w:t>Sorbonne Université, Université Paris Cité, Université Paris Est Créteil, CNRS, INRAE, IRD, Institut d’Ecologie et des Sciences de l’Environnement de Paris (UMR7618), 75005 Paris, France</w:t>
      </w:r>
      <w:r w:rsidRPr="001F17B5">
        <w:rPr>
          <w:rFonts w:ascii="Times New Roman" w:hAnsi="Times New Roman" w:cs="Times New Roman"/>
          <w:sz w:val="20"/>
          <w:szCs w:val="20"/>
          <w:vertAlign w:val="superscript"/>
          <w:lang w:val="fr-FR"/>
        </w:rPr>
        <w:t>.</w:t>
      </w:r>
    </w:p>
    <w:p w14:paraId="688BB503" w14:textId="6ABC87AB" w:rsidR="00501ECB" w:rsidRPr="00F50612" w:rsidRDefault="00501ECB" w:rsidP="00501ECB">
      <w:pPr>
        <w:spacing w:after="0" w:line="360" w:lineRule="auto"/>
        <w:rPr>
          <w:rFonts w:ascii="Times New Roman" w:eastAsia="Times New Roman" w:hAnsi="Times New Roman" w:cs="Times New Roman"/>
          <w:kern w:val="0"/>
          <w:sz w:val="20"/>
          <w:szCs w:val="20"/>
          <w:lang w:val="en-IN"/>
          <w14:ligatures w14:val="none"/>
        </w:rPr>
      </w:pPr>
      <w:r w:rsidRPr="00F50612">
        <w:rPr>
          <w:rFonts w:ascii="Times New Roman" w:eastAsia="Times New Roman" w:hAnsi="Times New Roman" w:cs="Times New Roman"/>
          <w:kern w:val="0"/>
          <w:sz w:val="20"/>
          <w:szCs w:val="20"/>
          <w:vertAlign w:val="superscript"/>
          <w:lang w:val="en-IN"/>
          <w14:ligatures w14:val="none"/>
        </w:rPr>
        <w:t xml:space="preserve">4 </w:t>
      </w:r>
      <w:r w:rsidRPr="00F50612">
        <w:rPr>
          <w:rFonts w:ascii="Times New Roman" w:eastAsia="Times New Roman" w:hAnsi="Times New Roman" w:cs="Times New Roman"/>
          <w:kern w:val="0"/>
          <w:sz w:val="20"/>
          <w:szCs w:val="20"/>
          <w:lang w:val="en-IN"/>
          <w14:ligatures w14:val="none"/>
        </w:rPr>
        <w:t>Department of Human Genetics, Laboratory of Reproductive Genomics, KU Leuven, Leuven 3000, Belgium.</w:t>
      </w:r>
    </w:p>
    <w:p w14:paraId="5BFF52B9" w14:textId="08DDE1B9" w:rsidR="00501ECB" w:rsidRPr="00F50612" w:rsidRDefault="00501ECB" w:rsidP="00501ECB">
      <w:pPr>
        <w:spacing w:after="0" w:line="360" w:lineRule="auto"/>
        <w:rPr>
          <w:rFonts w:ascii="Times New Roman" w:eastAsia="Times New Roman" w:hAnsi="Times New Roman" w:cs="Times New Roman"/>
          <w:kern w:val="0"/>
          <w:sz w:val="20"/>
          <w:szCs w:val="20"/>
          <w:vertAlign w:val="superscript"/>
          <w:lang w:val="en-US"/>
          <w14:ligatures w14:val="none"/>
        </w:rPr>
      </w:pPr>
      <w:r w:rsidRPr="00F50612">
        <w:rPr>
          <w:rFonts w:ascii="Times New Roman" w:eastAsia="Times New Roman" w:hAnsi="Times New Roman" w:cs="Times New Roman"/>
          <w:kern w:val="0"/>
          <w:sz w:val="20"/>
          <w:szCs w:val="20"/>
          <w:vertAlign w:val="superscript"/>
          <w:lang w:val="en-IN"/>
          <w14:ligatures w14:val="none"/>
        </w:rPr>
        <w:t>5</w:t>
      </w:r>
      <w:r w:rsidR="00A453D3" w:rsidRPr="00F50612">
        <w:rPr>
          <w:rFonts w:ascii="Times New Roman" w:eastAsia="Times New Roman" w:hAnsi="Times New Roman" w:cs="Times New Roman"/>
          <w:kern w:val="0"/>
          <w:sz w:val="20"/>
          <w:szCs w:val="20"/>
          <w:vertAlign w:val="superscript"/>
          <w:lang w:val="en-IN"/>
          <w14:ligatures w14:val="none"/>
        </w:rPr>
        <w:t xml:space="preserve"> </w:t>
      </w:r>
      <w:r w:rsidR="008E3647" w:rsidRPr="00F50612">
        <w:rPr>
          <w:rFonts w:ascii="Times New Roman" w:hAnsi="Times New Roman" w:cs="Times New Roman"/>
          <w:sz w:val="20"/>
          <w:szCs w:val="20"/>
          <w:lang w:val="en-IN"/>
        </w:rPr>
        <w:t>Department of Biochemistry and Microbiology, Faculty of Sciences, Ghent University, Ghent 9000, Belgium</w:t>
      </w:r>
    </w:p>
    <w:p w14:paraId="48A616B0" w14:textId="7ED29498" w:rsidR="00501ECB" w:rsidRPr="00F50612" w:rsidRDefault="00501ECB" w:rsidP="00501ECB">
      <w:pPr>
        <w:spacing w:after="0" w:line="360" w:lineRule="auto"/>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vertAlign w:val="superscript"/>
          <w:lang w:val="en-IN"/>
          <w14:ligatures w14:val="none"/>
        </w:rPr>
        <w:t xml:space="preserve">6 </w:t>
      </w:r>
      <w:r w:rsidRPr="00F50612">
        <w:rPr>
          <w:rFonts w:ascii="Times New Roman" w:eastAsia="Times New Roman" w:hAnsi="Times New Roman" w:cs="Times New Roman"/>
          <w:kern w:val="0"/>
          <w:sz w:val="20"/>
          <w:szCs w:val="20"/>
          <w:lang w:val="en-US"/>
          <w14:ligatures w14:val="none"/>
        </w:rPr>
        <w:t>Laboratory of Evolutionary Stress Ecology and Ecotoxicology, KU Leuven, B-3000 Leuven, Belgium</w:t>
      </w:r>
    </w:p>
    <w:p w14:paraId="52AC2921" w14:textId="143E0B42" w:rsidR="00501ECB" w:rsidRPr="00F50612" w:rsidRDefault="00501ECB" w:rsidP="00501ECB">
      <w:pPr>
        <w:spacing w:after="0" w:line="360" w:lineRule="auto"/>
        <w:rPr>
          <w:rFonts w:ascii="Times New Roman" w:eastAsia="Times New Roman" w:hAnsi="Times New Roman" w:cs="Times New Roman"/>
          <w:kern w:val="0"/>
          <w:sz w:val="20"/>
          <w:szCs w:val="20"/>
          <w:lang w:val="en-IN"/>
          <w14:ligatures w14:val="none"/>
        </w:rPr>
      </w:pPr>
      <w:r w:rsidRPr="00F50612">
        <w:rPr>
          <w:rFonts w:ascii="Times New Roman" w:eastAsia="Times New Roman" w:hAnsi="Times New Roman" w:cs="Times New Roman"/>
          <w:kern w:val="0"/>
          <w:sz w:val="20"/>
          <w:szCs w:val="20"/>
          <w:vertAlign w:val="superscript"/>
          <w:lang w:val="en-IN"/>
          <w14:ligatures w14:val="none"/>
        </w:rPr>
        <w:t xml:space="preserve">7 </w:t>
      </w:r>
      <w:r w:rsidRPr="00F50612">
        <w:rPr>
          <w:rFonts w:ascii="Times New Roman" w:eastAsia="Times New Roman" w:hAnsi="Times New Roman" w:cs="Times New Roman"/>
          <w:kern w:val="0"/>
          <w:sz w:val="20"/>
          <w:szCs w:val="20"/>
          <w:lang w:val="en-IN"/>
          <w14:ligatures w14:val="none"/>
        </w:rPr>
        <w:t>Department Evolutionary and Integrative Ecology, Research group Evolving metacommunities, Leibniz Institute of Freshwater Ecology and Inland Fisheries, Berlin 12587, Germany.</w:t>
      </w:r>
    </w:p>
    <w:p w14:paraId="31B2A630" w14:textId="37F9AAA1" w:rsidR="00501ECB" w:rsidRPr="00F50612" w:rsidRDefault="00501ECB" w:rsidP="00501ECB">
      <w:pPr>
        <w:spacing w:after="0" w:line="360" w:lineRule="auto"/>
        <w:rPr>
          <w:rFonts w:ascii="Times New Roman" w:eastAsia="Times New Roman" w:hAnsi="Times New Roman" w:cs="Times New Roman"/>
          <w:kern w:val="0"/>
          <w:sz w:val="20"/>
          <w:szCs w:val="20"/>
          <w:lang w:val="en-IN"/>
          <w14:ligatures w14:val="none"/>
        </w:rPr>
      </w:pPr>
      <w:r w:rsidRPr="00F50612">
        <w:rPr>
          <w:rFonts w:ascii="Times New Roman" w:eastAsia="Times New Roman" w:hAnsi="Times New Roman" w:cs="Times New Roman"/>
          <w:kern w:val="0"/>
          <w:sz w:val="20"/>
          <w:szCs w:val="20"/>
          <w:vertAlign w:val="superscript"/>
          <w:lang w:val="en-IN"/>
          <w14:ligatures w14:val="none"/>
        </w:rPr>
        <w:t xml:space="preserve">8 </w:t>
      </w:r>
      <w:r w:rsidRPr="00F50612">
        <w:rPr>
          <w:rFonts w:ascii="Times New Roman" w:eastAsia="Times New Roman" w:hAnsi="Times New Roman" w:cs="Times New Roman"/>
          <w:kern w:val="0"/>
          <w:sz w:val="20"/>
          <w:szCs w:val="20"/>
          <w:lang w:val="en-IN"/>
          <w14:ligatures w14:val="none"/>
        </w:rPr>
        <w:t>Institute of Biology, Freie Universität Berlin D-14195, Berlin, Germany.</w:t>
      </w:r>
    </w:p>
    <w:p w14:paraId="2D9E590E" w14:textId="7C294C71" w:rsidR="00501ECB" w:rsidRPr="00F50612" w:rsidRDefault="00501ECB" w:rsidP="00501ECB">
      <w:pPr>
        <w:spacing w:after="0" w:line="360" w:lineRule="auto"/>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vertAlign w:val="superscript"/>
          <w:lang w:val="en-US"/>
          <w14:ligatures w14:val="none"/>
        </w:rPr>
        <w:t>9</w:t>
      </w:r>
      <w:r w:rsidRPr="00F50612">
        <w:rPr>
          <w:rFonts w:ascii="Times New Roman" w:eastAsia="Times New Roman" w:hAnsi="Times New Roman" w:cs="Times New Roman"/>
          <w:kern w:val="0"/>
          <w:sz w:val="20"/>
          <w:szCs w:val="20"/>
          <w:lang w:val="en-US"/>
          <w14:ligatures w14:val="none"/>
        </w:rPr>
        <w:t xml:space="preserve"> Laboratory of Aquatic Biology, Interdisciplinary Research Facility Life Sciences, KU Leuven, KULAK, Campus Kortrijk, B-8500 Kortrijk, Belgium.</w:t>
      </w:r>
    </w:p>
    <w:p w14:paraId="42943F71" w14:textId="77777777" w:rsidR="00501ECB" w:rsidRPr="00F50612" w:rsidRDefault="00501ECB" w:rsidP="00501ECB">
      <w:pPr>
        <w:spacing w:after="0" w:line="360" w:lineRule="auto"/>
        <w:rPr>
          <w:rFonts w:ascii="Times New Roman" w:eastAsia="Times New Roman" w:hAnsi="Times New Roman" w:cs="Times New Roman"/>
          <w:b/>
          <w:bCs/>
          <w:kern w:val="0"/>
          <w:sz w:val="20"/>
          <w:szCs w:val="20"/>
          <w:lang w:val="en-US"/>
          <w14:ligatures w14:val="none"/>
        </w:rPr>
      </w:pPr>
    </w:p>
    <w:p w14:paraId="2ECB2ADB" w14:textId="153AF873" w:rsidR="00501ECB" w:rsidRPr="00F50612" w:rsidRDefault="00501ECB" w:rsidP="00501ECB">
      <w:pPr>
        <w:spacing w:after="0" w:line="360" w:lineRule="auto"/>
        <w:rPr>
          <w:rFonts w:ascii="Times New Roman" w:eastAsia="Times New Roman" w:hAnsi="Times New Roman" w:cs="Times New Roman"/>
          <w:kern w:val="0"/>
          <w:sz w:val="20"/>
          <w:szCs w:val="20"/>
          <w14:ligatures w14:val="none"/>
        </w:rPr>
      </w:pPr>
      <w:proofErr w:type="spellStart"/>
      <w:r w:rsidRPr="00F50612">
        <w:rPr>
          <w:rFonts w:ascii="Times New Roman" w:eastAsia="Times New Roman" w:hAnsi="Times New Roman" w:cs="Times New Roman"/>
          <w:b/>
          <w:bCs/>
          <w:kern w:val="0"/>
          <w:sz w:val="20"/>
          <w:szCs w:val="20"/>
          <w14:ligatures w14:val="none"/>
        </w:rPr>
        <w:t>Corresponding</w:t>
      </w:r>
      <w:proofErr w:type="spellEnd"/>
      <w:r w:rsidRPr="00F50612">
        <w:rPr>
          <w:rFonts w:ascii="Times New Roman" w:eastAsia="Times New Roman" w:hAnsi="Times New Roman" w:cs="Times New Roman"/>
          <w:b/>
          <w:bCs/>
          <w:kern w:val="0"/>
          <w:sz w:val="20"/>
          <w:szCs w:val="20"/>
          <w14:ligatures w14:val="none"/>
        </w:rPr>
        <w:t xml:space="preserve"> </w:t>
      </w:r>
      <w:proofErr w:type="spellStart"/>
      <w:r w:rsidRPr="00F50612">
        <w:rPr>
          <w:rFonts w:ascii="Times New Roman" w:eastAsia="Times New Roman" w:hAnsi="Times New Roman" w:cs="Times New Roman"/>
          <w:b/>
          <w:bCs/>
          <w:kern w:val="0"/>
          <w:sz w:val="20"/>
          <w:szCs w:val="20"/>
          <w14:ligatures w14:val="none"/>
        </w:rPr>
        <w:t>author</w:t>
      </w:r>
      <w:proofErr w:type="spellEnd"/>
      <w:r w:rsidRPr="00F50612">
        <w:rPr>
          <w:rFonts w:ascii="Times New Roman" w:eastAsia="Times New Roman" w:hAnsi="Times New Roman" w:cs="Times New Roman"/>
          <w:kern w:val="0"/>
          <w:sz w:val="20"/>
          <w:szCs w:val="20"/>
          <w14:ligatures w14:val="none"/>
        </w:rPr>
        <w:t>: Luc De Meester, Ellen Decaestecker</w:t>
      </w:r>
    </w:p>
    <w:p w14:paraId="24FDAE7D" w14:textId="1DE40A3F" w:rsidR="00501ECB" w:rsidRPr="00F50612" w:rsidRDefault="00501ECB" w:rsidP="00501ECB">
      <w:pPr>
        <w:spacing w:after="0" w:line="360" w:lineRule="auto"/>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lang w:val="en-US"/>
          <w14:ligatures w14:val="none"/>
        </w:rPr>
        <w:t>Email: luc.demeester@igb-berlin.de</w:t>
      </w:r>
    </w:p>
    <w:p w14:paraId="4337D2F3" w14:textId="0CD00FE0" w:rsidR="00501ECB" w:rsidRPr="00F50612" w:rsidRDefault="00501ECB" w:rsidP="00501ECB">
      <w:pPr>
        <w:spacing w:after="0" w:line="360" w:lineRule="auto"/>
        <w:rPr>
          <w:rFonts w:ascii="Times New Roman" w:eastAsia="Times New Roman" w:hAnsi="Times New Roman" w:cs="Times New Roman"/>
          <w:kern w:val="0"/>
          <w:sz w:val="20"/>
          <w:szCs w:val="20"/>
          <w:lang w:val="en-US"/>
          <w14:ligatures w14:val="none"/>
        </w:rPr>
      </w:pPr>
      <w:r w:rsidRPr="00F50612">
        <w:rPr>
          <w:rFonts w:ascii="Times New Roman" w:hAnsi="Times New Roman" w:cs="Times New Roman"/>
          <w:color w:val="212121"/>
          <w:sz w:val="20"/>
          <w:szCs w:val="20"/>
          <w:shd w:val="clear" w:color="auto" w:fill="FFFFFF"/>
          <w:lang w:val="en-US"/>
        </w:rPr>
        <w:t>ellen.decaestecker@kuleuven.be</w:t>
      </w:r>
    </w:p>
    <w:p w14:paraId="4FA48161" w14:textId="77777777" w:rsidR="00501ECB" w:rsidRPr="00F50612" w:rsidRDefault="00501ECB" w:rsidP="00501ECB">
      <w:pPr>
        <w:spacing w:after="0" w:line="240" w:lineRule="auto"/>
        <w:rPr>
          <w:rFonts w:ascii="Times New Roman" w:eastAsia="Times New Roman" w:hAnsi="Times New Roman" w:cs="Times New Roman"/>
          <w:kern w:val="0"/>
          <w:sz w:val="20"/>
          <w:szCs w:val="20"/>
          <w:lang w:val="en-US"/>
          <w14:ligatures w14:val="none"/>
        </w:rPr>
      </w:pPr>
    </w:p>
    <w:p w14:paraId="75043C8E" w14:textId="77777777" w:rsidR="00501ECB" w:rsidRPr="00501ECB" w:rsidRDefault="00501ECB" w:rsidP="00501ECB">
      <w:pPr>
        <w:spacing w:after="0" w:line="240" w:lineRule="auto"/>
        <w:rPr>
          <w:rFonts w:ascii="Times New Roman" w:eastAsia="Times New Roman" w:hAnsi="Times New Roman" w:cs="Times New Roman"/>
          <w:b/>
          <w:kern w:val="0"/>
          <w:lang w:val="en-US"/>
          <w14:ligatures w14:val="none"/>
        </w:rPr>
      </w:pPr>
    </w:p>
    <w:p w14:paraId="3E93F704" w14:textId="77777777" w:rsidR="00501ECB" w:rsidRPr="00F50612" w:rsidRDefault="00501ECB" w:rsidP="00501ECB">
      <w:pPr>
        <w:spacing w:after="0" w:line="240" w:lineRule="auto"/>
        <w:rPr>
          <w:rFonts w:ascii="Times New Roman" w:eastAsia="Times New Roman" w:hAnsi="Times New Roman" w:cs="Times New Roman"/>
          <w:b/>
          <w:kern w:val="0"/>
          <w:sz w:val="20"/>
          <w:szCs w:val="20"/>
          <w:lang w:val="en-US"/>
          <w14:ligatures w14:val="none"/>
        </w:rPr>
      </w:pPr>
      <w:r w:rsidRPr="00F50612">
        <w:rPr>
          <w:rFonts w:ascii="Times New Roman" w:eastAsia="Times New Roman" w:hAnsi="Times New Roman" w:cs="Times New Roman"/>
          <w:b/>
          <w:kern w:val="0"/>
          <w:sz w:val="20"/>
          <w:szCs w:val="20"/>
          <w:lang w:val="en-US"/>
          <w14:ligatures w14:val="none"/>
        </w:rPr>
        <w:t>This PDF file includes:</w:t>
      </w:r>
    </w:p>
    <w:p w14:paraId="4D782FCA" w14:textId="77777777" w:rsidR="00501ECB" w:rsidRPr="00F50612" w:rsidRDefault="00501ECB" w:rsidP="00501ECB">
      <w:pPr>
        <w:spacing w:after="0" w:line="240" w:lineRule="auto"/>
        <w:rPr>
          <w:rFonts w:ascii="Times New Roman" w:eastAsia="Times New Roman" w:hAnsi="Times New Roman" w:cs="Times New Roman"/>
          <w:kern w:val="0"/>
          <w:sz w:val="20"/>
          <w:szCs w:val="20"/>
          <w:lang w:val="en-US"/>
          <w14:ligatures w14:val="none"/>
        </w:rPr>
      </w:pPr>
    </w:p>
    <w:p w14:paraId="16CE4256" w14:textId="77777777" w:rsidR="00501ECB" w:rsidRPr="00F50612" w:rsidRDefault="00501ECB" w:rsidP="00501ECB">
      <w:pPr>
        <w:spacing w:after="0" w:line="240" w:lineRule="auto"/>
        <w:ind w:left="720"/>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lang w:val="en-US"/>
          <w14:ligatures w14:val="none"/>
        </w:rPr>
        <w:lastRenderedPageBreak/>
        <w:t>Supporting text</w:t>
      </w:r>
    </w:p>
    <w:p w14:paraId="01D38A94" w14:textId="6C3C16B4" w:rsidR="00501ECB" w:rsidRPr="00F50612" w:rsidRDefault="00501ECB" w:rsidP="00501ECB">
      <w:pPr>
        <w:spacing w:after="0" w:line="240" w:lineRule="auto"/>
        <w:ind w:left="720"/>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lang w:val="en-US"/>
          <w14:ligatures w14:val="none"/>
        </w:rPr>
        <w:t>Figures S1 to S</w:t>
      </w:r>
      <w:r w:rsidR="001A40B0">
        <w:rPr>
          <w:rFonts w:ascii="Times New Roman" w:eastAsia="Times New Roman" w:hAnsi="Times New Roman" w:cs="Times New Roman"/>
          <w:kern w:val="0"/>
          <w:sz w:val="20"/>
          <w:szCs w:val="20"/>
          <w:lang w:val="en-US"/>
          <w14:ligatures w14:val="none"/>
        </w:rPr>
        <w:t>4</w:t>
      </w:r>
    </w:p>
    <w:p w14:paraId="2B77FF1F" w14:textId="4B3FC183" w:rsidR="00501ECB" w:rsidRPr="00F50612" w:rsidRDefault="00501ECB" w:rsidP="00501ECB">
      <w:pPr>
        <w:spacing w:after="0" w:line="240" w:lineRule="auto"/>
        <w:ind w:left="720"/>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lang w:val="en-US"/>
          <w14:ligatures w14:val="none"/>
        </w:rPr>
        <w:t xml:space="preserve">Tables S1 </w:t>
      </w:r>
      <w:r w:rsidR="001F17B5" w:rsidRPr="00F50612">
        <w:rPr>
          <w:rFonts w:ascii="Times New Roman" w:eastAsia="Times New Roman" w:hAnsi="Times New Roman" w:cs="Times New Roman"/>
          <w:kern w:val="0"/>
          <w:sz w:val="20"/>
          <w:szCs w:val="20"/>
          <w:lang w:val="en-US"/>
          <w14:ligatures w14:val="none"/>
        </w:rPr>
        <w:t>and S</w:t>
      </w:r>
      <w:r w:rsidR="001A40B0">
        <w:rPr>
          <w:rFonts w:ascii="Times New Roman" w:eastAsia="Times New Roman" w:hAnsi="Times New Roman" w:cs="Times New Roman"/>
          <w:kern w:val="0"/>
          <w:sz w:val="20"/>
          <w:szCs w:val="20"/>
          <w:lang w:val="en-US"/>
          <w14:ligatures w14:val="none"/>
        </w:rPr>
        <w:t>3</w:t>
      </w:r>
      <w:r w:rsidRPr="00F50612">
        <w:rPr>
          <w:rFonts w:ascii="Times New Roman" w:eastAsia="Times New Roman" w:hAnsi="Times New Roman" w:cs="Times New Roman"/>
          <w:kern w:val="0"/>
          <w:sz w:val="20"/>
          <w:szCs w:val="20"/>
          <w:lang w:val="en-US"/>
          <w14:ligatures w14:val="none"/>
        </w:rPr>
        <w:t xml:space="preserve"> </w:t>
      </w:r>
    </w:p>
    <w:p w14:paraId="35831A50" w14:textId="77777777" w:rsidR="00501ECB" w:rsidRPr="00F50612" w:rsidRDefault="00501ECB" w:rsidP="00501ECB">
      <w:pPr>
        <w:spacing w:after="0" w:line="240" w:lineRule="auto"/>
        <w:ind w:left="720"/>
        <w:rPr>
          <w:rFonts w:ascii="Times New Roman" w:eastAsia="Times New Roman" w:hAnsi="Times New Roman" w:cs="Times New Roman"/>
          <w:kern w:val="0"/>
          <w:sz w:val="20"/>
          <w:szCs w:val="20"/>
          <w:lang w:val="en-US"/>
          <w14:ligatures w14:val="none"/>
        </w:rPr>
      </w:pPr>
      <w:r w:rsidRPr="00F50612">
        <w:rPr>
          <w:rFonts w:ascii="Times New Roman" w:eastAsia="Times New Roman" w:hAnsi="Times New Roman" w:cs="Times New Roman"/>
          <w:kern w:val="0"/>
          <w:sz w:val="20"/>
          <w:szCs w:val="20"/>
          <w:lang w:val="en-US"/>
          <w14:ligatures w14:val="none"/>
        </w:rPr>
        <w:t>SI references</w:t>
      </w:r>
    </w:p>
    <w:p w14:paraId="253D411D" w14:textId="6D52227F" w:rsidR="00501ECB" w:rsidRPr="00F50612" w:rsidRDefault="00501ECB">
      <w:pPr>
        <w:rPr>
          <w:rFonts w:ascii="Times New Roman" w:hAnsi="Times New Roman" w:cs="Times New Roman"/>
          <w:b/>
          <w:bCs/>
          <w:sz w:val="20"/>
          <w:szCs w:val="20"/>
          <w:lang w:val="en-US"/>
        </w:rPr>
      </w:pPr>
    </w:p>
    <w:p w14:paraId="342FF715" w14:textId="65A07D3C" w:rsidR="00501ECB" w:rsidRDefault="002C2B9B">
      <w:pPr>
        <w:rPr>
          <w:rFonts w:ascii="Times New Roman" w:hAnsi="Times New Roman" w:cs="Times New Roman"/>
          <w:b/>
          <w:bCs/>
          <w:lang w:val="en-US"/>
        </w:rPr>
      </w:pPr>
      <w:r>
        <w:rPr>
          <w:rFonts w:ascii="Times New Roman" w:hAnsi="Times New Roman" w:cs="Times New Roman"/>
          <w:b/>
          <w:bCs/>
          <w:lang w:val="en-US"/>
        </w:rPr>
        <w:br w:type="page"/>
      </w:r>
    </w:p>
    <w:p w14:paraId="3E33E6CD" w14:textId="7D143732" w:rsidR="006C4573" w:rsidRPr="00F50612" w:rsidRDefault="006C4573">
      <w:pPr>
        <w:rPr>
          <w:rFonts w:ascii="Times New Roman" w:hAnsi="Times New Roman" w:cs="Times New Roman"/>
          <w:sz w:val="20"/>
          <w:szCs w:val="20"/>
          <w:lang w:val="en-US"/>
        </w:rPr>
      </w:pPr>
      <w:r w:rsidRPr="00F50612">
        <w:rPr>
          <w:rFonts w:ascii="Times New Roman" w:hAnsi="Times New Roman" w:cs="Times New Roman"/>
          <w:sz w:val="20"/>
          <w:szCs w:val="20"/>
          <w:lang w:val="en-US"/>
        </w:rPr>
        <w:lastRenderedPageBreak/>
        <w:t xml:space="preserve">Table </w:t>
      </w:r>
      <w:r w:rsidR="001A40B0">
        <w:rPr>
          <w:rFonts w:ascii="Times New Roman" w:hAnsi="Times New Roman" w:cs="Times New Roman"/>
          <w:sz w:val="20"/>
          <w:szCs w:val="20"/>
          <w:lang w:val="en-US"/>
        </w:rPr>
        <w:t>S</w:t>
      </w:r>
      <w:r w:rsidRPr="00F50612">
        <w:rPr>
          <w:rFonts w:ascii="Times New Roman" w:hAnsi="Times New Roman" w:cs="Times New Roman"/>
          <w:sz w:val="20"/>
          <w:szCs w:val="20"/>
          <w:lang w:val="en-US"/>
        </w:rPr>
        <w:t>1: Summary overview of definitions of the core microbiome in the literature.</w:t>
      </w:r>
    </w:p>
    <w:tbl>
      <w:tblPr>
        <w:tblW w:w="0" w:type="auto"/>
        <w:tblCellMar>
          <w:top w:w="15" w:type="dxa"/>
          <w:left w:w="15" w:type="dxa"/>
          <w:bottom w:w="15" w:type="dxa"/>
          <w:right w:w="15" w:type="dxa"/>
        </w:tblCellMar>
        <w:tblLook w:val="04A0" w:firstRow="1" w:lastRow="0" w:firstColumn="1" w:lastColumn="0" w:noHBand="0" w:noVBand="1"/>
      </w:tblPr>
      <w:tblGrid>
        <w:gridCol w:w="495"/>
        <w:gridCol w:w="1863"/>
        <w:gridCol w:w="9850"/>
        <w:gridCol w:w="1730"/>
      </w:tblGrid>
      <w:tr w:rsidR="006C4573" w14:paraId="006AE8D1" w14:textId="77777777" w:rsidTr="006C4573">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E6F64"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No.</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4438B"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Term</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FFAC6"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843827"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Author/Reference</w:t>
            </w:r>
          </w:p>
        </w:tc>
      </w:tr>
      <w:tr w:rsidR="006C4573" w14:paraId="016DD776" w14:textId="77777777" w:rsidTr="006C4573">
        <w:trPr>
          <w:trHeight w:val="82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259B1"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1.</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7A4E1"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Core</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microbiome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D3F51"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“The core human microbiome is the set of genes present in a given habitat in all or the vast majority of humans. Habitat can be defined over a range of scales, from the entire body to a specific surface area, such as the gut or a region within the gut”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2D40E" w14:textId="1D159D17"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{"citationID":"LUWwGffY","properties":{"formattedCitation":"[1]","plainCitation":"[1]","noteIndex":0},"citationItems":[{"id":370,"uris":["http://zotero.org/users/12047481/items/B4JWAM22"],"itemData":{"id":370,"type":"article-journal","abstract":"A strategy to understand the microbial components of the human genetic and metabolic landscape and how they contribute to normal physiology and predisposition to disease.","container-title":"Nature","DOI":"10.1038/nature06244","ISSN":"1476-4687","issue":"7164","journalAbbreviation":"Nature","page":"804-810","title":"The Human Microbiome Project","volume":"449","author":[{"family":"Turnbaugh","given":"Peter J."},{"family":"Ley","given":"Ruth E."},{"family":"Hamady","given":"Micah"},{"family":"Fraser-Liggett","given":"Claire M."},{"family":"Knight","given":"Rob"},{"family":"Gordon","given":"Jeffrey I."}],"issued":{"date-parts":[["2007",10,1]]}}}],"schema":"https://github.com/citation-style-language/schema/raw/master/csl-citation.json"} </w:instrText>
            </w:r>
            <w:r>
              <w:fldChar w:fldCharType="separate"/>
            </w:r>
            <w:r w:rsidR="001F17B5" w:rsidRPr="001F17B5">
              <w:rPr>
                <w:rFonts w:ascii="Calibri" w:hAnsi="Calibri" w:cs="Calibri"/>
              </w:rPr>
              <w:t>[1]</w:t>
            </w:r>
            <w:r>
              <w:fldChar w:fldCharType="end"/>
            </w:r>
            <w:r w:rsidRPr="009073A0">
              <w:rPr>
                <w:rFonts w:ascii="Times New Roman" w:hAnsi="Times New Roman" w:cs="Times New Roman"/>
                <w:sz w:val="20"/>
                <w:szCs w:val="20"/>
              </w:rPr>
              <w:t xml:space="preserve"> </w:t>
            </w:r>
          </w:p>
        </w:tc>
      </w:tr>
      <w:tr w:rsidR="006C4573" w14:paraId="7071F2E9" w14:textId="77777777" w:rsidTr="006C4573">
        <w:trPr>
          <w:trHeight w:val="9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F6A15"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2.</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5ABE2"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Substantial</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r w:rsidRPr="009073A0">
              <w:rPr>
                <w:rFonts w:ascii="Times New Roman" w:hAnsi="Times New Roman" w:cs="Times New Roman"/>
                <w:b/>
                <w:bCs/>
                <w:sz w:val="20"/>
                <w:szCs w:val="20"/>
              </w:rPr>
              <w:t xml:space="preserve"> model</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FACAD"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As per this definition, the majority of individuals in a population have shared taxa that constitute a substantial portion of their microbiome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0762A" w14:textId="18C7C639"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{"citationID":"JTfTOFkg","properties":{"formattedCitation":"[2]","plainCitation":"[2]","noteIndex":0},"citationItems":[{"id":407,"uris":["http://zotero.org/users/12047481/items/CKJ5KPV3"],"itemData":{"id":407,"type":"article-journal","abstract":"High-throughput sequencing studies and new software tools are revolutionizing microbial community analyses, yet the variety of experimental and computational methods can be daunting. In this review, we discuss some of the different approaches to community profiling, highlighting strengths and weaknesses of various experimental approaches, sequencing methodologies, and analytical methods. We also address one key question emerging from various Human Microbiome Projects: Is there a substantial core of abundant organisms or lineages that we all share? It appears that in some human body habitats, such as the hand and the gut, the diversity among individuals is so great that we can rule out the possibility that any species is at high abundance in all individuals: It is possible that the focus should instead be on higher-level taxa or on functional genes instead.","container-title":"Genome Research","DOI":"10.1101/gr.085464.108","ISSN":"1088-9051, 1549-5469","issue":"7","journalAbbreviation":"Genome Res.","language":"en","note":"Company: Cold Spring Harbor Laboratory Press\nDistributor: Cold Spring Harbor Laboratory Press\nInstitution: Cold Spring Harbor Laboratory Press\nLabel: Cold Spring Harbor Laboratory Press\npublisher: Cold Spring Harbor Lab\nPMID: 19383763","page":"1141-1152","source":"genome.cshlp.org","title":"Microbial community profiling for human microbiome projects: Tools, techniques, and challenges","title-short":"Microbial community profiling for human microbiome projects","volume":"19","author":[{"family":"Hamady","given":"Micah"},{"family":"Knight","given":"Rob"}],"issued":{"date-parts":[["2009",7,1]]}}}],"schema":"https://github.com/citation-style-language/schema/raw/master/csl-citation.json"} </w:instrText>
            </w:r>
            <w:r>
              <w:fldChar w:fldCharType="separate"/>
            </w:r>
            <w:r w:rsidR="001F17B5" w:rsidRPr="001F17B5">
              <w:rPr>
                <w:rFonts w:ascii="Calibri" w:hAnsi="Calibri" w:cs="Calibri"/>
              </w:rPr>
              <w:t>[2]</w:t>
            </w:r>
            <w:r>
              <w:fldChar w:fldCharType="end"/>
            </w:r>
            <w:r w:rsidRPr="009073A0">
              <w:rPr>
                <w:rFonts w:ascii="Times New Roman" w:hAnsi="Times New Roman" w:cs="Times New Roman"/>
                <w:sz w:val="20"/>
                <w:szCs w:val="20"/>
              </w:rPr>
              <w:t xml:space="preserve"> </w:t>
            </w:r>
          </w:p>
        </w:tc>
      </w:tr>
      <w:tr w:rsidR="006C4573" w14:paraId="157D5BC4" w14:textId="77777777" w:rsidTr="006C4573">
        <w:trPr>
          <w:trHeight w:val="7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0C3B0"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3.</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01846"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Minimal</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r w:rsidRPr="009073A0">
              <w:rPr>
                <w:rFonts w:ascii="Times New Roman" w:hAnsi="Times New Roman" w:cs="Times New Roman"/>
                <w:b/>
                <w:bCs/>
                <w:sz w:val="20"/>
                <w:szCs w:val="20"/>
              </w:rPr>
              <w:t xml:space="preserve"> model</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FE709"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“All individuals share a few components, and any individual shares many components with a few other individuals, but very little is shared across all individuals”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F012F" w14:textId="7D42C4CC"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{"citationID":"Afu977ir","properties":{"formattedCitation":"[2]","plainCitation":"[2]","noteIndex":0},"citationItems":[{"id":407,"uris":["http://zotero.org/users/12047481/items/CKJ5KPV3"],"itemData":{"id":407,"type":"article-journal","abstract":"High-throughput sequencing studies and new software tools are revolutionizing microbial community analyses, yet the variety of experimental and computational methods can be daunting. In this review, we discuss some of the different approaches to community profiling, highlighting strengths and weaknesses of various experimental approaches, sequencing methodologies, and analytical methods. We also address one key question emerging from various Human Microbiome Projects: Is there a substantial core of abundant organisms or lineages that we all share? It appears that in some human body habitats, such as the hand and the gut, the diversity among individuals is so great that we can rule out the possibility that any species is at high abundance in all individuals: It is possible that the focus should instead be on higher-level taxa or on functional genes instead.","container-title":"Genome Research","DOI":"10.1101/gr.085464.108","ISSN":"1088-9051, 1549-5469","issue":"7","journalAbbreviation":"Genome Res.","language":"en","note":"Company: Cold Spring Harbor Laboratory Press\nDistributor: Cold Spring Harbor Laboratory Press\nInstitution: Cold Spring Harbor Laboratory Press\nLabel: Cold Spring Harbor Laboratory Press\npublisher: Cold Spring Harbor Lab\nPMID: 19383763","page":"1141-1152","source":"genome.cshlp.org","title":"Microbial community profiling for human microbiome projects: Tools, techniques, and challenges","title-short":"Microbial community profiling for human microbiome projects","volume":"19","author":[{"family":"Hamady","given":"Micah"},{"family":"Knight","given":"Rob"}],"issued":{"date-parts":[["2009",7,1]]}}}],"schema":"https://github.com/citation-style-language/schema/raw/master/csl-citation.json"} </w:instrText>
            </w:r>
            <w:r>
              <w:fldChar w:fldCharType="separate"/>
            </w:r>
            <w:r w:rsidR="001F17B5" w:rsidRPr="001F17B5">
              <w:rPr>
                <w:rFonts w:ascii="Calibri" w:hAnsi="Calibri" w:cs="Calibri"/>
              </w:rPr>
              <w:t>[2]</w:t>
            </w:r>
            <w:r>
              <w:fldChar w:fldCharType="end"/>
            </w:r>
            <w:r w:rsidRPr="009073A0">
              <w:rPr>
                <w:rFonts w:ascii="Times New Roman" w:hAnsi="Times New Roman" w:cs="Times New Roman"/>
                <w:sz w:val="20"/>
                <w:szCs w:val="20"/>
              </w:rPr>
              <w:t xml:space="preserve"> </w:t>
            </w:r>
          </w:p>
        </w:tc>
      </w:tr>
      <w:tr w:rsidR="006C4573" w14:paraId="0795FD5D" w14:textId="77777777" w:rsidTr="006C4573">
        <w:trPr>
          <w:trHeight w:val="7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63311"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4.</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1C3E2"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 xml:space="preserve">No </w:t>
            </w:r>
            <w:proofErr w:type="spellStart"/>
            <w:r w:rsidRPr="009073A0">
              <w:rPr>
                <w:rFonts w:ascii="Times New Roman" w:hAnsi="Times New Roman" w:cs="Times New Roman"/>
                <w:b/>
                <w:bCs/>
                <w:sz w:val="20"/>
                <w:szCs w:val="20"/>
              </w:rPr>
              <w:t>core</w:t>
            </w:r>
            <w:proofErr w:type="spellEnd"/>
            <w:r w:rsidRPr="009073A0">
              <w:rPr>
                <w:rFonts w:ascii="Times New Roman" w:hAnsi="Times New Roman" w:cs="Times New Roman"/>
                <w:b/>
                <w:bCs/>
                <w:sz w:val="20"/>
                <w:szCs w:val="20"/>
              </w:rPr>
              <w:t xml:space="preserve"> model</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46B20"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“Nothing is shared by all individuals, and most diversity is unique to a given individual”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E830B" w14:textId="17089416"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{"citationID":"RJp2LtRC","properties":{"formattedCitation":"[2]","plainCitation":"[2]","noteIndex":0},"citationItems":[{"id":407,"uris":["http://zotero.org/users/12047481/items/CKJ5KPV3"],"itemData":{"id":407,"type":"article-journal","abstract":"High-throughput sequencing studies and new software tools are revolutionizing microbial community analyses, yet the variety of experimental and computational methods can be daunting. In this review, we discuss some of the different approaches to community profiling, highlighting strengths and weaknesses of various experimental approaches, sequencing methodologies, and analytical methods. We also address one key question emerging from various Human Microbiome Projects: Is there a substantial core of abundant organisms or lineages that we all share? It appears that in some human body habitats, such as the hand and the gut, the diversity among individuals is so great that we can rule out the possibility that any species is at high abundance in all individuals: It is possible that the focus should instead be on higher-level taxa or on functional genes instead.","container-title":"Genome Research","DOI":"10.1101/gr.085464.108","ISSN":"1088-9051, 1549-5469","issue":"7","journalAbbreviation":"Genome Res.","language":"en","note":"Company: Cold Spring Harbor Laboratory Press\nDistributor: Cold Spring Harbor Laboratory Press\nInstitution: Cold Spring Harbor Laboratory Press\nLabel: Cold Spring Harbor Laboratory Press\npublisher: Cold Spring Harbor Lab\nPMID: 19383763","page":"1141-1152","source":"genome.cshlp.org","title":"Microbial community profiling for human microbiome projects: Tools, techniques, and challenges","title-short":"Microbial community profiling for human microbiome projects","volume":"19","author":[{"family":"Hamady","given":"Micah"},{"family":"Knight","given":"Rob"}],"issued":{"date-parts":[["2009",7,1]]}}}],"schema":"https://github.com/citation-style-language/schema/raw/master/csl-citation.json"} </w:instrText>
            </w:r>
            <w:r>
              <w:fldChar w:fldCharType="separate"/>
            </w:r>
            <w:r w:rsidR="001F17B5" w:rsidRPr="001F17B5">
              <w:rPr>
                <w:rFonts w:ascii="Calibri" w:hAnsi="Calibri" w:cs="Calibri"/>
              </w:rPr>
              <w:t>[2]</w:t>
            </w:r>
            <w:r>
              <w:fldChar w:fldCharType="end"/>
            </w:r>
            <w:r w:rsidRPr="009073A0">
              <w:rPr>
                <w:rFonts w:ascii="Times New Roman" w:hAnsi="Times New Roman" w:cs="Times New Roman"/>
                <w:sz w:val="20"/>
                <w:szCs w:val="20"/>
              </w:rPr>
              <w:t xml:space="preserve"> </w:t>
            </w:r>
          </w:p>
        </w:tc>
      </w:tr>
      <w:tr w:rsidR="006C4573" w14:paraId="4FB764EE" w14:textId="77777777" w:rsidTr="006C4573">
        <w:trPr>
          <w:trHeight w:val="9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58D63"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5.</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DD612"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Gradient</w:t>
            </w:r>
            <w:proofErr w:type="spellEnd"/>
            <w:r w:rsidRPr="009073A0">
              <w:rPr>
                <w:rFonts w:ascii="Times New Roman" w:hAnsi="Times New Roman" w:cs="Times New Roman"/>
                <w:b/>
                <w:bCs/>
                <w:sz w:val="20"/>
                <w:szCs w:val="20"/>
              </w:rPr>
              <w:t xml:space="preserve"> model</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A58D7"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“Individuals next to each other on a gradient, for example, age or obesity, share many components, but individuals at opposite ends share little or nothing”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F03F3" w14:textId="332DFA26"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{"citationID":"OhNPozKP","properties":{"formattedCitation":"[2]","plainCitation":"[2]","noteIndex":0},"citationItems":[{"id":407,"uris":["http://zotero.org/users/12047481/items/CKJ5KPV3"],"itemData":{"id":407,"type":"article-journal","abstract":"High-throughput sequencing studies and new software tools are revolutionizing microbial community analyses, yet the variety of experimental and computational methods can be daunting. In this review, we discuss some of the different approaches to community profiling, highlighting strengths and weaknesses of various experimental approaches, sequencing methodologies, and analytical methods. We also address one key question emerging from various Human Microbiome Projects: Is there a substantial core of abundant organisms or lineages that we all share? It appears that in some human body habitats, such as the hand and the gut, the diversity among individuals is so great that we can rule out the possibility that any species is at high abundance in all individuals: It is possible that the focus should instead be on higher-level taxa or on functional genes instead.","container-title":"Genome Research","DOI":"10.1101/gr.085464.108","ISSN":"1088-9051, 1549-5469","issue":"7","journalAbbreviation":"Genome Res.","language":"en","note":"Company: Cold Spring Harbor Laboratory Press\nDistributor: Cold Spring Harbor Laboratory Press\nInstitution: Cold Spring Harbor Laboratory Press\nLabel: Cold Spring Harbor Laboratory Press\npublisher: Cold Spring Harbor Lab\nPMID: 19383763","page":"1141-1152","source":"genome.cshlp.org","title":"Microbial community profiling for human microbiome projects: Tools, techniques, and challenges","title-short":"Microbial community profiling for human microbiome projects","volume":"19","author":[{"family":"Hamady","given":"Micah"},{"family":"Knight","given":"Rob"}],"issued":{"date-parts":[["2009",7,1]]}}}],"schema":"https://github.com/citation-style-language/schema/raw/master/csl-citation.json"} </w:instrText>
            </w:r>
            <w:r>
              <w:fldChar w:fldCharType="separate"/>
            </w:r>
            <w:r w:rsidR="001F17B5" w:rsidRPr="001F17B5">
              <w:rPr>
                <w:rFonts w:ascii="Calibri" w:hAnsi="Calibri" w:cs="Calibri"/>
              </w:rPr>
              <w:t>[2]</w:t>
            </w:r>
            <w:r>
              <w:fldChar w:fldCharType="end"/>
            </w:r>
            <w:r w:rsidRPr="009073A0">
              <w:rPr>
                <w:rFonts w:ascii="Times New Roman" w:hAnsi="Times New Roman" w:cs="Times New Roman"/>
                <w:sz w:val="20"/>
                <w:szCs w:val="20"/>
              </w:rPr>
              <w:t xml:space="preserve"> </w:t>
            </w:r>
          </w:p>
        </w:tc>
      </w:tr>
      <w:tr w:rsidR="006C4573" w14:paraId="69BD9485" w14:textId="77777777" w:rsidTr="006C4573">
        <w:trPr>
          <w:trHeight w:val="12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7EEA1"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6.</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A6D1B"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Subpopulation</w:t>
            </w:r>
            <w:proofErr w:type="spellEnd"/>
            <w:r w:rsidRPr="009073A0">
              <w:rPr>
                <w:rFonts w:ascii="Times New Roman" w:hAnsi="Times New Roman" w:cs="Times New Roman"/>
                <w:b/>
                <w:bCs/>
                <w:sz w:val="20"/>
                <w:szCs w:val="20"/>
              </w:rPr>
              <w:t xml:space="preserve"> model</w:t>
            </w:r>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87DBF"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“Different subpopulations, for example, those defined by geography or disease, have different cores, but nothing is shared across subpopulations”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CF988" w14:textId="379DBABF" w:rsidR="006C4573" w:rsidRPr="009073A0" w:rsidRDefault="006C4573" w:rsidP="00B41BA9">
            <w:pPr>
              <w:rPr>
                <w:rFonts w:ascii="Times New Roman" w:hAnsi="Times New Roman" w:cs="Times New Roman"/>
                <w:sz w:val="20"/>
                <w:szCs w:val="20"/>
              </w:rPr>
            </w:pPr>
            <w:r>
              <w:fldChar w:fldCharType="begin"/>
            </w:r>
            <w:r w:rsidR="001F17B5">
              <w:instrText xml:space="preserve"> ADDIN ZOTERO_ITEM CSL_CITATION {"citationID":"lsn5bsmc","properties":{"formattedCitation":"[2]","plainCitation":"[2]","noteIndex":0},"citationItems":[{"id":407,"uris":["http://zotero.org/users/12047481/items/CKJ5KPV3"],"itemData":{"id":407,"type":"article-journal","abstract":"High-throughput sequencing studies and new software tools are revolutionizing microbial community analyses, yet the variety of experimental and computational methods can be daunting. In this review, we discuss some of the different approaches to community profiling, highlighting strengths and weaknesses of various experimental approaches, sequencing methodologies, and analytical methods. We also address one key question emerging from various Human Microbiome Projects: Is there a substantial core of abundant organisms or lineages that we all share? It appears that in some human body habitats, such as the hand and the gut, the diversity among individuals is so great that we can rule out the possibility that any species is at high abundance in all individuals: It is possible that the focus should instead be on higher-level taxa or on functional genes instead.","container-title":"Genome Research","DOI":"10.1101/gr.085464.108","ISSN":"1088-9051, 1549-5469","issue":"7","journalAbbreviation":"Genome Res.","language":"en","note":"Company: Cold Spring Harbor Laboratory Press\nDistributor: Cold Spring Harbor Laboratory Press\nInstitution: Cold Spring Harbor Laboratory Press\nLabel: Cold Spring Harbor Laboratory Press\npublisher: Cold Spring Harbor Lab\nPMID: 19383763","page":"1141-1152","source":"genome.cshlp.org","title":"Microbial community profiling for human microbiome projects: Tools, techniques, and challenges","title-short":"Microbial community profiling for human microbiome projects","volume":"19","author":[{"family":"Hamady","given":"Micah"},{"family":"Knight","given":"Rob"}],"issued":{"date-parts":[["2009",7,1]]}}}],"schema":"https://github.com/citation-style-language/schema/raw/master/csl-citation.json"} </w:instrText>
            </w:r>
            <w:r>
              <w:fldChar w:fldCharType="separate"/>
            </w:r>
            <w:r w:rsidR="001F17B5" w:rsidRPr="001F17B5">
              <w:rPr>
                <w:rFonts w:ascii="Calibri" w:hAnsi="Calibri" w:cs="Calibri"/>
              </w:rPr>
              <w:t>[2]</w:t>
            </w:r>
            <w:r>
              <w:fldChar w:fldCharType="end"/>
            </w:r>
            <w:r w:rsidRPr="009073A0">
              <w:rPr>
                <w:rFonts w:ascii="Times New Roman" w:hAnsi="Times New Roman" w:cs="Times New Roman"/>
                <w:sz w:val="20"/>
                <w:szCs w:val="20"/>
              </w:rPr>
              <w:t xml:space="preserve"> </w:t>
            </w:r>
          </w:p>
        </w:tc>
      </w:tr>
      <w:tr w:rsidR="006C4573" w14:paraId="356BAFF2" w14:textId="77777777" w:rsidTr="006C4573">
        <w:trPr>
          <w:trHeight w:val="87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7A269"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lastRenderedPageBreak/>
              <w:t>7.</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1E65CB"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 xml:space="preserve">Common </w:t>
            </w:r>
            <w:proofErr w:type="spellStart"/>
            <w:r w:rsidRPr="009073A0">
              <w:rPr>
                <w:rFonts w:ascii="Times New Roman" w:hAnsi="Times New Roman" w:cs="Times New Roman"/>
                <w:b/>
                <w:bCs/>
                <w:sz w:val="20"/>
                <w:szCs w:val="20"/>
              </w:rPr>
              <w:t>core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3F9CF"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“The component of the microbiome that is found across a considerable proportion of hosts within a defined host population or species”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3449A" w14:textId="78E5906F" w:rsidR="006C4573" w:rsidRPr="009073A0" w:rsidRDefault="006C4573" w:rsidP="00B41BA9">
            <w:pPr>
              <w:rPr>
                <w:rFonts w:ascii="Times New Roman" w:hAnsi="Times New Roman" w:cs="Times New Roman"/>
                <w:sz w:val="20"/>
                <w:szCs w:val="20"/>
              </w:rPr>
            </w:pPr>
            <w:r>
              <w:rPr>
                <w:rFonts w:ascii="Times New Roman" w:hAnsi="Times New Roman" w:cs="Times New Roman"/>
                <w:sz w:val="20"/>
                <w:szCs w:val="20"/>
              </w:rPr>
              <w:fldChar w:fldCharType="begin"/>
            </w:r>
            <w:r w:rsidR="001F17B5">
              <w:rPr>
                <w:rFonts w:ascii="Times New Roman" w:hAnsi="Times New Roman" w:cs="Times New Roman"/>
                <w:sz w:val="20"/>
                <w:szCs w:val="20"/>
              </w:rPr>
              <w:instrText xml:space="preserve"> ADDIN ZOTERO_ITEM CSL_CITATION {"citationID":"dGxABcOf","properties":{"formattedCitation":"[3]","plainCitation":"[3]","noteIndex":0},"citationItems":[{"id":410,"uris":["http://zotero.org/users/12047481/items/K7IHJ2GS"],"itemData":{"id":410,"type":"article-journal","abstract":"The host-associated core microbiome was originally coined to refer to common groups of microbes or genes that were likely to be particularly important for host biological function. However, the term has evolved to encompass variable definitions across studies, often identifying key microbes with respect to their spatial distribution, temporal stability or ecological influence, as well as their contribution to host function and fitness. A major barrier to reaching a consensus over how to define the core microbiome and its relevance to biological, ecological and evolutionary theory is a lack of precise terminology and associated definitions, as well the persistent association of the core microbiome with host function. Common, temporal and ecological core microbiomes can together generate insights into ecological processes that act independently of host function, while functional and host-adapted cores distinguish between facultative and near-obligate symbionts that differ in their effects on host fitness. This commentary summarizes five broad definitions of the core microbiome that have been applied across the literature, highlighting their strengths and limitations for advancing our understanding of host–microbe systems, noting where they are likely to overlap, and discussing their potential relevance to host function and fitness. No one definition of the core microbiome is likely to capture the range of key microbes across a host population. Applied together, they have the potential to reveal different layers of microbial organization from which we can begin to understand the ecological and evolutionary processes that govern host–microbe interactions.","container-title":"Journal of Animal Ecology","DOI":"10.1111/1365-2656.13229","ISSN":"1365-2656","issue":"7","language":"en","license":"© 2020 The Author. Journal of Animal Ecology published by John Wiley &amp; Sons Ltd on behalf of British Ecological Society","note":"_eprint: https://besjournals.onlinelibrary.wiley.com/doi/pdf/10.1111/1365-2656.13229","page":"1549-1558","source":"Wiley Online Library","title":"Applying the core microbiome to understand host–microbe systems","volume":"89","author":[{"family":"Risely","given":"Alice"}],"issued":{"date-parts":[["2020"]]}}}],"schema":"https://github.com/citation-style-language/schema/raw/master/csl-citation.json"} </w:instrText>
            </w:r>
            <w:r>
              <w:rPr>
                <w:rFonts w:ascii="Times New Roman" w:hAnsi="Times New Roman" w:cs="Times New Roman"/>
                <w:sz w:val="20"/>
                <w:szCs w:val="20"/>
              </w:rPr>
              <w:fldChar w:fldCharType="separate"/>
            </w:r>
            <w:r w:rsidR="001F17B5" w:rsidRPr="001F17B5">
              <w:rPr>
                <w:rFonts w:ascii="Times New Roman" w:hAnsi="Times New Roman" w:cs="Times New Roman"/>
                <w:sz w:val="20"/>
              </w:rPr>
              <w:t>[3]</w:t>
            </w:r>
            <w:r>
              <w:rPr>
                <w:rFonts w:ascii="Times New Roman" w:hAnsi="Times New Roman" w:cs="Times New Roman"/>
                <w:sz w:val="20"/>
                <w:szCs w:val="20"/>
              </w:rPr>
              <w:fldChar w:fldCharType="end"/>
            </w:r>
            <w:r w:rsidRPr="009073A0">
              <w:rPr>
                <w:rFonts w:ascii="Times New Roman" w:hAnsi="Times New Roman" w:cs="Times New Roman"/>
                <w:sz w:val="20"/>
                <w:szCs w:val="20"/>
              </w:rPr>
              <w:t xml:space="preserve"> </w:t>
            </w:r>
          </w:p>
        </w:tc>
      </w:tr>
      <w:tr w:rsidR="006C4573" w14:paraId="2C7A9130" w14:textId="77777777" w:rsidTr="006C4573">
        <w:trPr>
          <w:trHeight w:val="5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9B53F"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8.</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B2606"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Temporal</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EA300"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“A temporally stable or predictable component of the microbiota”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00346" w14:textId="54DEA516" w:rsidR="006C4573" w:rsidRPr="009073A0" w:rsidRDefault="006C4573" w:rsidP="00B41BA9">
            <w:pPr>
              <w:rPr>
                <w:rFonts w:ascii="Times New Roman" w:hAnsi="Times New Roman" w:cs="Times New Roman"/>
                <w:sz w:val="20"/>
                <w:szCs w:val="20"/>
              </w:rPr>
            </w:pPr>
            <w:r>
              <w:rPr>
                <w:rFonts w:ascii="Times New Roman" w:hAnsi="Times New Roman" w:cs="Times New Roman"/>
                <w:sz w:val="20"/>
                <w:szCs w:val="20"/>
              </w:rPr>
              <w:fldChar w:fldCharType="begin"/>
            </w:r>
            <w:r w:rsidR="001F17B5">
              <w:rPr>
                <w:rFonts w:ascii="Times New Roman" w:hAnsi="Times New Roman" w:cs="Times New Roman"/>
                <w:sz w:val="20"/>
                <w:szCs w:val="20"/>
              </w:rPr>
              <w:instrText xml:space="preserve"> ADDIN ZOTERO_ITEM CSL_CITATION {"citationID":"tHuifesj","properties":{"formattedCitation":"[3]","plainCitation":"[3]","noteIndex":0},"citationItems":[{"id":410,"uris":["http://zotero.org/users/12047481/items/K7IHJ2GS"],"itemData":{"id":410,"type":"article-journal","abstract":"The host-associated core microbiome was originally coined to refer to common groups of microbes or genes that were likely to be particularly important for host biological function. However, the term has evolved to encompass variable definitions across studies, often identifying key microbes with respect to their spatial distribution, temporal stability or ecological influence, as well as their contribution to host function and fitness. A major barrier to reaching a consensus over how to define the core microbiome and its relevance to biological, ecological and evolutionary theory is a lack of precise terminology and associated definitions, as well the persistent association of the core microbiome with host function. Common, temporal and ecological core microbiomes can together generate insights into ecological processes that act independently of host function, while functional and host-adapted cores distinguish between facultative and near-obligate symbionts that differ in their effects on host fitness. This commentary summarizes five broad definitions of the core microbiome that have been applied across the literature, highlighting their strengths and limitations for advancing our understanding of host–microbe systems, noting where they are likely to overlap, and discussing their potential relevance to host function and fitness. No one definition of the core microbiome is likely to capture the range of key microbes across a host population. Applied together, they have the potential to reveal different layers of microbial organization from which we can begin to understand the ecological and evolutionary processes that govern host–microbe interactions.","container-title":"Journal of Animal Ecology","DOI":"10.1111/1365-2656.13229","ISSN":"1365-2656","issue":"7","language":"en","license":"© 2020 The Author. Journal of Animal Ecology published by John Wiley &amp; Sons Ltd on behalf of British Ecological Society","note":"_eprint: https://besjournals.onlinelibrary.wiley.com/doi/pdf/10.1111/1365-2656.13229","page":"1549-1558","source":"Wiley Online Library","title":"Applying the core microbiome to understand host–microbe systems","volume":"89","author":[{"family":"Risely","given":"Alice"}],"issued":{"date-parts":[["2020"]]}}}],"schema":"https://github.com/citation-style-language/schema/raw/master/csl-citation.json"} </w:instrText>
            </w:r>
            <w:r>
              <w:rPr>
                <w:rFonts w:ascii="Times New Roman" w:hAnsi="Times New Roman" w:cs="Times New Roman"/>
                <w:sz w:val="20"/>
                <w:szCs w:val="20"/>
              </w:rPr>
              <w:fldChar w:fldCharType="separate"/>
            </w:r>
            <w:r w:rsidR="001F17B5" w:rsidRPr="001F17B5">
              <w:rPr>
                <w:rFonts w:ascii="Times New Roman" w:hAnsi="Times New Roman" w:cs="Times New Roman"/>
                <w:sz w:val="20"/>
              </w:rPr>
              <w:t>[3]</w:t>
            </w:r>
            <w:r>
              <w:rPr>
                <w:rFonts w:ascii="Times New Roman" w:hAnsi="Times New Roman" w:cs="Times New Roman"/>
                <w:sz w:val="20"/>
                <w:szCs w:val="20"/>
              </w:rPr>
              <w:fldChar w:fldCharType="end"/>
            </w:r>
            <w:r w:rsidRPr="009073A0">
              <w:rPr>
                <w:rFonts w:ascii="Times New Roman" w:hAnsi="Times New Roman" w:cs="Times New Roman"/>
                <w:sz w:val="20"/>
                <w:szCs w:val="20"/>
              </w:rPr>
              <w:t xml:space="preserve"> </w:t>
            </w:r>
          </w:p>
        </w:tc>
      </w:tr>
      <w:tr w:rsidR="006C4573" w14:paraId="2400F91D" w14:textId="77777777" w:rsidTr="006C4573">
        <w:trPr>
          <w:trHeight w:val="9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0A278"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9.</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5D31A"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Ecological</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804982"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“The component of the microbiome that is disproportionally important for shaping the organization and diversity of the ecological community”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101DB" w14:textId="08678CF8" w:rsidR="006C4573" w:rsidRPr="009073A0" w:rsidRDefault="006C4573" w:rsidP="00B41BA9">
            <w:pPr>
              <w:rPr>
                <w:rFonts w:ascii="Times New Roman" w:hAnsi="Times New Roman" w:cs="Times New Roman"/>
                <w:sz w:val="20"/>
                <w:szCs w:val="20"/>
              </w:rPr>
            </w:pPr>
            <w:r>
              <w:rPr>
                <w:rFonts w:ascii="Times New Roman" w:hAnsi="Times New Roman" w:cs="Times New Roman"/>
                <w:sz w:val="20"/>
                <w:szCs w:val="20"/>
              </w:rPr>
              <w:fldChar w:fldCharType="begin"/>
            </w:r>
            <w:r w:rsidR="001F17B5">
              <w:rPr>
                <w:rFonts w:ascii="Times New Roman" w:hAnsi="Times New Roman" w:cs="Times New Roman"/>
                <w:sz w:val="20"/>
                <w:szCs w:val="20"/>
              </w:rPr>
              <w:instrText xml:space="preserve"> ADDIN ZOTERO_ITEM CSL_CITATION {"citationID":"sYEqBhCW","properties":{"formattedCitation":"[3]","plainCitation":"[3]","noteIndex":0},"citationItems":[{"id":410,"uris":["http://zotero.org/users/12047481/items/K7IHJ2GS"],"itemData":{"id":410,"type":"article-journal","abstract":"The host-associated core microbiome was originally coined to refer to common groups of microbes or genes that were likely to be particularly important for host biological function. However, the term has evolved to encompass variable definitions across studies, often identifying key microbes with respect to their spatial distribution, temporal stability or ecological influence, as well as their contribution to host function and fitness. A major barrier to reaching a consensus over how to define the core microbiome and its relevance to biological, ecological and evolutionary theory is a lack of precise terminology and associated definitions, as well the persistent association of the core microbiome with host function. Common, temporal and ecological core microbiomes can together generate insights into ecological processes that act independently of host function, while functional and host-adapted cores distinguish between facultative and near-obligate symbionts that differ in their effects on host fitness. This commentary summarizes five broad definitions of the core microbiome that have been applied across the literature, highlighting their strengths and limitations for advancing our understanding of host–microbe systems, noting where they are likely to overlap, and discussing their potential relevance to host function and fitness. No one definition of the core microbiome is likely to capture the range of key microbes across a host population. Applied together, they have the potential to reveal different layers of microbial organization from which we can begin to understand the ecological and evolutionary processes that govern host–microbe interactions.","container-title":"Journal of Animal Ecology","DOI":"10.1111/1365-2656.13229","ISSN":"1365-2656","issue":"7","language":"en","license":"© 2020 The Author. Journal of Animal Ecology published by John Wiley &amp; Sons Ltd on behalf of British Ecological Society","note":"_eprint: https://besjournals.onlinelibrary.wiley.com/doi/pdf/10.1111/1365-2656.13229","page":"1549-1558","source":"Wiley Online Library","title":"Applying the core microbiome to understand host–microbe systems","volume":"89","author":[{"family":"Risely","given":"Alice"}],"issued":{"date-parts":[["2020"]]}}}],"schema":"https://github.com/citation-style-language/schema/raw/master/csl-citation.json"} </w:instrText>
            </w:r>
            <w:r>
              <w:rPr>
                <w:rFonts w:ascii="Times New Roman" w:hAnsi="Times New Roman" w:cs="Times New Roman"/>
                <w:sz w:val="20"/>
                <w:szCs w:val="20"/>
              </w:rPr>
              <w:fldChar w:fldCharType="separate"/>
            </w:r>
            <w:r w:rsidR="001F17B5" w:rsidRPr="001F17B5">
              <w:rPr>
                <w:rFonts w:ascii="Times New Roman" w:hAnsi="Times New Roman" w:cs="Times New Roman"/>
                <w:sz w:val="20"/>
              </w:rPr>
              <w:t>[3]</w:t>
            </w:r>
            <w:r>
              <w:rPr>
                <w:rFonts w:ascii="Times New Roman" w:hAnsi="Times New Roman" w:cs="Times New Roman"/>
                <w:sz w:val="20"/>
                <w:szCs w:val="20"/>
              </w:rPr>
              <w:fldChar w:fldCharType="end"/>
            </w:r>
            <w:r w:rsidRPr="009073A0">
              <w:rPr>
                <w:rFonts w:ascii="Times New Roman" w:hAnsi="Times New Roman" w:cs="Times New Roman"/>
                <w:sz w:val="20"/>
                <w:szCs w:val="20"/>
              </w:rPr>
              <w:t xml:space="preserve"> </w:t>
            </w:r>
          </w:p>
        </w:tc>
      </w:tr>
      <w:tr w:rsidR="006C4573" w14:paraId="5E525298" w14:textId="77777777" w:rsidTr="006C4573">
        <w:trPr>
          <w:trHeight w:val="9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19D1C"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10.</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51144" w14:textId="77777777" w:rsidR="006C4573" w:rsidRPr="009073A0" w:rsidRDefault="006C4573" w:rsidP="00B41BA9">
            <w:pPr>
              <w:rPr>
                <w:rFonts w:ascii="Times New Roman" w:hAnsi="Times New Roman" w:cs="Times New Roman"/>
                <w:sz w:val="20"/>
                <w:szCs w:val="20"/>
              </w:rPr>
            </w:pPr>
            <w:proofErr w:type="spellStart"/>
            <w:r w:rsidRPr="009073A0">
              <w:rPr>
                <w:rFonts w:ascii="Times New Roman" w:hAnsi="Times New Roman" w:cs="Times New Roman"/>
                <w:b/>
                <w:bCs/>
                <w:sz w:val="20"/>
                <w:szCs w:val="20"/>
              </w:rPr>
              <w:t>Functional</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42C3A"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“The component of the microbiome that performs essential biological functions to the host, usually in respect to their biochemical, physiological or ecological services to the host”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194B1" w14:textId="1AB4BF31" w:rsidR="006C4573" w:rsidRPr="009073A0" w:rsidRDefault="006C4573" w:rsidP="00B41BA9">
            <w:pPr>
              <w:rPr>
                <w:rFonts w:ascii="Times New Roman" w:hAnsi="Times New Roman" w:cs="Times New Roman"/>
                <w:sz w:val="20"/>
                <w:szCs w:val="20"/>
              </w:rPr>
            </w:pPr>
            <w:r>
              <w:rPr>
                <w:rFonts w:ascii="Times New Roman" w:hAnsi="Times New Roman" w:cs="Times New Roman"/>
                <w:sz w:val="20"/>
                <w:szCs w:val="20"/>
              </w:rPr>
              <w:fldChar w:fldCharType="begin"/>
            </w:r>
            <w:r w:rsidR="001F17B5">
              <w:rPr>
                <w:rFonts w:ascii="Times New Roman" w:hAnsi="Times New Roman" w:cs="Times New Roman"/>
                <w:sz w:val="20"/>
                <w:szCs w:val="20"/>
              </w:rPr>
              <w:instrText xml:space="preserve"> ADDIN ZOTERO_ITEM CSL_CITATION {"citationID":"8ij7BdQ3","properties":{"formattedCitation":"[3]","plainCitation":"[3]","noteIndex":0},"citationItems":[{"id":410,"uris":["http://zotero.org/users/12047481/items/K7IHJ2GS"],"itemData":{"id":410,"type":"article-journal","abstract":"The host-associated core microbiome was originally coined to refer to common groups of microbes or genes that were likely to be particularly important for host biological function. However, the term has evolved to encompass variable definitions across studies, often identifying key microbes with respect to their spatial distribution, temporal stability or ecological influence, as well as their contribution to host function and fitness. A major barrier to reaching a consensus over how to define the core microbiome and its relevance to biological, ecological and evolutionary theory is a lack of precise terminology and associated definitions, as well the persistent association of the core microbiome with host function. Common, temporal and ecological core microbiomes can together generate insights into ecological processes that act independently of host function, while functional and host-adapted cores distinguish between facultative and near-obligate symbionts that differ in their effects on host fitness. This commentary summarizes five broad definitions of the core microbiome that have been applied across the literature, highlighting their strengths and limitations for advancing our understanding of host–microbe systems, noting where they are likely to overlap, and discussing their potential relevance to host function and fitness. No one definition of the core microbiome is likely to capture the range of key microbes across a host population. Applied together, they have the potential to reveal different layers of microbial organization from which we can begin to understand the ecological and evolutionary processes that govern host–microbe interactions.","container-title":"Journal of Animal Ecology","DOI":"10.1111/1365-2656.13229","ISSN":"1365-2656","issue":"7","language":"en","license":"© 2020 The Author. Journal of Animal Ecology published by John Wiley &amp; Sons Ltd on behalf of British Ecological Society","note":"_eprint: https://besjournals.onlinelibrary.wiley.com/doi/pdf/10.1111/1365-2656.13229","page":"1549-1558","source":"Wiley Online Library","title":"Applying the core microbiome to understand host–microbe systems","volume":"89","author":[{"family":"Risely","given":"Alice"}],"issued":{"date-parts":[["2020"]]}}}],"schema":"https://github.com/citation-style-language/schema/raw/master/csl-citation.json"} </w:instrText>
            </w:r>
            <w:r>
              <w:rPr>
                <w:rFonts w:ascii="Times New Roman" w:hAnsi="Times New Roman" w:cs="Times New Roman"/>
                <w:sz w:val="20"/>
                <w:szCs w:val="20"/>
              </w:rPr>
              <w:fldChar w:fldCharType="separate"/>
            </w:r>
            <w:r w:rsidR="001F17B5" w:rsidRPr="001F17B5">
              <w:rPr>
                <w:rFonts w:ascii="Times New Roman" w:hAnsi="Times New Roman" w:cs="Times New Roman"/>
                <w:sz w:val="20"/>
              </w:rPr>
              <w:t>[3]</w:t>
            </w:r>
            <w:r>
              <w:rPr>
                <w:rFonts w:ascii="Times New Roman" w:hAnsi="Times New Roman" w:cs="Times New Roman"/>
                <w:sz w:val="20"/>
                <w:szCs w:val="20"/>
              </w:rPr>
              <w:fldChar w:fldCharType="end"/>
            </w:r>
            <w:r w:rsidRPr="009073A0">
              <w:rPr>
                <w:rFonts w:ascii="Times New Roman" w:hAnsi="Times New Roman" w:cs="Times New Roman"/>
                <w:sz w:val="20"/>
                <w:szCs w:val="20"/>
              </w:rPr>
              <w:t xml:space="preserve"> </w:t>
            </w:r>
          </w:p>
        </w:tc>
      </w:tr>
      <w:tr w:rsidR="006C4573" w14:paraId="14B4BBB3" w14:textId="77777777" w:rsidTr="006C4573">
        <w:trPr>
          <w:trHeight w:val="7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77AA5"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11.</w:t>
            </w:r>
          </w:p>
        </w:tc>
        <w:tc>
          <w:tcPr>
            <w:tcW w:w="18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8D539" w14:textId="77777777" w:rsidR="006C4573" w:rsidRPr="009073A0" w:rsidRDefault="006C4573" w:rsidP="00B41BA9">
            <w:pPr>
              <w:rPr>
                <w:rFonts w:ascii="Times New Roman" w:hAnsi="Times New Roman" w:cs="Times New Roman"/>
                <w:sz w:val="20"/>
                <w:szCs w:val="20"/>
              </w:rPr>
            </w:pPr>
            <w:r w:rsidRPr="009073A0">
              <w:rPr>
                <w:rFonts w:ascii="Times New Roman" w:hAnsi="Times New Roman" w:cs="Times New Roman"/>
                <w:b/>
                <w:bCs/>
                <w:sz w:val="20"/>
                <w:szCs w:val="20"/>
              </w:rPr>
              <w:t>Host-</w:t>
            </w:r>
            <w:proofErr w:type="spellStart"/>
            <w:r w:rsidRPr="009073A0">
              <w:rPr>
                <w:rFonts w:ascii="Times New Roman" w:hAnsi="Times New Roman" w:cs="Times New Roman"/>
                <w:b/>
                <w:bCs/>
                <w:sz w:val="20"/>
                <w:szCs w:val="20"/>
              </w:rPr>
              <w:t>adapted</w:t>
            </w:r>
            <w:proofErr w:type="spellEnd"/>
            <w:r w:rsidRPr="009073A0">
              <w:rPr>
                <w:rFonts w:ascii="Times New Roman" w:hAnsi="Times New Roman" w:cs="Times New Roman"/>
                <w:b/>
                <w:bCs/>
                <w:sz w:val="20"/>
                <w:szCs w:val="20"/>
              </w:rPr>
              <w:t xml:space="preserve"> </w:t>
            </w:r>
            <w:proofErr w:type="spellStart"/>
            <w:r w:rsidRPr="009073A0">
              <w:rPr>
                <w:rFonts w:ascii="Times New Roman" w:hAnsi="Times New Roman" w:cs="Times New Roman"/>
                <w:b/>
                <w:bCs/>
                <w:sz w:val="20"/>
                <w:szCs w:val="20"/>
              </w:rPr>
              <w:t>core</w:t>
            </w:r>
            <w:proofErr w:type="spellEnd"/>
          </w:p>
        </w:tc>
        <w:tc>
          <w:tcPr>
            <w:tcW w:w="10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8B7E9" w14:textId="77777777" w:rsidR="006C4573" w:rsidRPr="006C4573" w:rsidRDefault="006C4573" w:rsidP="00B41BA9">
            <w:pPr>
              <w:rPr>
                <w:rFonts w:ascii="Times New Roman" w:hAnsi="Times New Roman" w:cs="Times New Roman"/>
                <w:sz w:val="20"/>
                <w:szCs w:val="20"/>
                <w:lang w:val="en-US"/>
              </w:rPr>
            </w:pPr>
            <w:r w:rsidRPr="006C4573">
              <w:rPr>
                <w:rFonts w:ascii="Times New Roman" w:hAnsi="Times New Roman" w:cs="Times New Roman"/>
                <w:sz w:val="20"/>
                <w:szCs w:val="20"/>
                <w:lang w:val="en-US"/>
              </w:rPr>
              <w:t>“A set of microbes that has coevolved with the host species or subpopulation and whose presence increases host fitness in at least some ecological contexts”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43512" w14:textId="557CB03A" w:rsidR="006C4573" w:rsidRPr="009073A0" w:rsidRDefault="006C4573" w:rsidP="00B41BA9">
            <w:pPr>
              <w:rPr>
                <w:rFonts w:ascii="Times New Roman" w:hAnsi="Times New Roman" w:cs="Times New Roman"/>
                <w:sz w:val="20"/>
                <w:szCs w:val="20"/>
              </w:rPr>
            </w:pPr>
            <w:r>
              <w:rPr>
                <w:rFonts w:ascii="Times New Roman" w:hAnsi="Times New Roman" w:cs="Times New Roman"/>
                <w:sz w:val="20"/>
                <w:szCs w:val="20"/>
              </w:rPr>
              <w:fldChar w:fldCharType="begin"/>
            </w:r>
            <w:r w:rsidR="001F17B5">
              <w:rPr>
                <w:rFonts w:ascii="Times New Roman" w:hAnsi="Times New Roman" w:cs="Times New Roman"/>
                <w:sz w:val="20"/>
                <w:szCs w:val="20"/>
              </w:rPr>
              <w:instrText xml:space="preserve"> ADDIN ZOTERO_ITEM CSL_CITATION {"citationID":"LM0jK4hz","properties":{"formattedCitation":"[3]","plainCitation":"[3]","noteIndex":0},"citationItems":[{"id":410,"uris":["http://zotero.org/users/12047481/items/K7IHJ2GS"],"itemData":{"id":410,"type":"article-journal","abstract":"The host-associated core microbiome was originally coined to refer to common groups of microbes or genes that were likely to be particularly important for host biological function. However, the term has evolved to encompass variable definitions across studies, often identifying key microbes with respect to their spatial distribution, temporal stability or ecological influence, as well as their contribution to host function and fitness. A major barrier to reaching a consensus over how to define the core microbiome and its relevance to biological, ecological and evolutionary theory is a lack of precise terminology and associated definitions, as well the persistent association of the core microbiome with host function. Common, temporal and ecological core microbiomes can together generate insights into ecological processes that act independently of host function, while functional and host-adapted cores distinguish between facultative and near-obligate symbionts that differ in their effects on host fitness. This commentary summarizes five broad definitions of the core microbiome that have been applied across the literature, highlighting their strengths and limitations for advancing our understanding of host–microbe systems, noting where they are likely to overlap, and discussing their potential relevance to host function and fitness. No one definition of the core microbiome is likely to capture the range of key microbes across a host population. Applied together, they have the potential to reveal different layers of microbial organization from which we can begin to understand the ecological and evolutionary processes that govern host–microbe interactions.","container-title":"Journal of Animal Ecology","DOI":"10.1111/1365-2656.13229","ISSN":"1365-2656","issue":"7","language":"en","license":"© 2020 The Author. Journal of Animal Ecology published by John Wiley &amp; Sons Ltd on behalf of British Ecological Society","note":"_eprint: https://besjournals.onlinelibrary.wiley.com/doi/pdf/10.1111/1365-2656.13229","page":"1549-1558","source":"Wiley Online Library","title":"Applying the core microbiome to understand host–microbe systems","volume":"89","author":[{"family":"Risely","given":"Alice"}],"issued":{"date-parts":[["2020"]]}}}],"schema":"https://github.com/citation-style-language/schema/raw/master/csl-citation.json"} </w:instrText>
            </w:r>
            <w:r>
              <w:rPr>
                <w:rFonts w:ascii="Times New Roman" w:hAnsi="Times New Roman" w:cs="Times New Roman"/>
                <w:sz w:val="20"/>
                <w:szCs w:val="20"/>
              </w:rPr>
              <w:fldChar w:fldCharType="separate"/>
            </w:r>
            <w:r w:rsidR="001F17B5" w:rsidRPr="001F17B5">
              <w:rPr>
                <w:rFonts w:ascii="Times New Roman" w:hAnsi="Times New Roman" w:cs="Times New Roman"/>
                <w:sz w:val="20"/>
              </w:rPr>
              <w:t>[3]</w:t>
            </w:r>
            <w:r>
              <w:rPr>
                <w:rFonts w:ascii="Times New Roman" w:hAnsi="Times New Roman" w:cs="Times New Roman"/>
                <w:sz w:val="20"/>
                <w:szCs w:val="20"/>
              </w:rPr>
              <w:fldChar w:fldCharType="end"/>
            </w:r>
            <w:r w:rsidRPr="009073A0">
              <w:rPr>
                <w:rFonts w:ascii="Times New Roman" w:hAnsi="Times New Roman" w:cs="Times New Roman"/>
                <w:sz w:val="20"/>
                <w:szCs w:val="20"/>
              </w:rPr>
              <w:t xml:space="preserve"> </w:t>
            </w:r>
          </w:p>
        </w:tc>
      </w:tr>
    </w:tbl>
    <w:p w14:paraId="79F23D08" w14:textId="77777777" w:rsidR="006C4573" w:rsidRDefault="006C4573">
      <w:pPr>
        <w:rPr>
          <w:rFonts w:ascii="Times New Roman" w:hAnsi="Times New Roman" w:cs="Times New Roman"/>
          <w:lang w:val="en-US"/>
        </w:rPr>
      </w:pPr>
    </w:p>
    <w:p w14:paraId="4DB0BE6C" w14:textId="4DD71D55" w:rsidR="006C4573" w:rsidRPr="006C4573" w:rsidRDefault="007D4FB3">
      <w:pPr>
        <w:rPr>
          <w:rFonts w:ascii="Times New Roman" w:hAnsi="Times New Roman" w:cs="Times New Roman"/>
          <w:lang w:val="en-US"/>
        </w:rPr>
      </w:pPr>
      <w:r>
        <w:rPr>
          <w:rFonts w:ascii="Times New Roman" w:hAnsi="Times New Roman" w:cs="Times New Roman"/>
          <w:lang w:val="en-US"/>
        </w:rPr>
        <w:br w:type="page"/>
      </w:r>
    </w:p>
    <w:p w14:paraId="430C9ABC" w14:textId="782D4DF2" w:rsidR="002C2B9B" w:rsidRPr="00F50612" w:rsidRDefault="002C2B9B">
      <w:pPr>
        <w:rPr>
          <w:rFonts w:ascii="Times New Roman" w:hAnsi="Times New Roman" w:cs="Times New Roman"/>
          <w:sz w:val="20"/>
          <w:szCs w:val="20"/>
          <w:lang w:val="en-US"/>
        </w:rPr>
      </w:pPr>
      <w:r w:rsidRPr="00F50612">
        <w:rPr>
          <w:rFonts w:ascii="Times New Roman" w:hAnsi="Times New Roman" w:cs="Times New Roman"/>
          <w:sz w:val="20"/>
          <w:szCs w:val="20"/>
          <w:lang w:val="en-US"/>
        </w:rPr>
        <w:lastRenderedPageBreak/>
        <w:t xml:space="preserve">Table </w:t>
      </w:r>
      <w:r w:rsidR="001A40B0">
        <w:rPr>
          <w:rFonts w:ascii="Times New Roman" w:hAnsi="Times New Roman" w:cs="Times New Roman"/>
          <w:sz w:val="20"/>
          <w:szCs w:val="20"/>
          <w:lang w:val="en-US"/>
        </w:rPr>
        <w:t>S</w:t>
      </w:r>
      <w:r w:rsidR="006C4573" w:rsidRPr="00F50612">
        <w:rPr>
          <w:rFonts w:ascii="Times New Roman" w:hAnsi="Times New Roman" w:cs="Times New Roman"/>
          <w:sz w:val="20"/>
          <w:szCs w:val="20"/>
          <w:lang w:val="en-US"/>
        </w:rPr>
        <w:t>2</w:t>
      </w:r>
      <w:r w:rsidRPr="00F50612">
        <w:rPr>
          <w:rFonts w:ascii="Times New Roman" w:hAnsi="Times New Roman" w:cs="Times New Roman"/>
          <w:sz w:val="20"/>
          <w:szCs w:val="20"/>
          <w:lang w:val="en-US"/>
        </w:rPr>
        <w:t>: List of studies collected for the meta-analysis. The green color indicates studies that were selected for the meta-analysis (i.e., studies with V4 region)</w:t>
      </w:r>
    </w:p>
    <w:p w14:paraId="2E5BC7C9" w14:textId="77777777" w:rsidR="002C2B9B" w:rsidRDefault="002C2B9B">
      <w:pPr>
        <w:rPr>
          <w:rFonts w:ascii="Times New Roman" w:hAnsi="Times New Roman" w:cs="Times New Roman"/>
          <w:b/>
          <w:bCs/>
          <w:lang w:val="en-US"/>
        </w:rPr>
      </w:pPr>
    </w:p>
    <w:tbl>
      <w:tblPr>
        <w:tblStyle w:val="TableGrid"/>
        <w:tblW w:w="15701" w:type="dxa"/>
        <w:tblInd w:w="-869" w:type="dxa"/>
        <w:tblLayout w:type="fixed"/>
        <w:tblLook w:val="04A0" w:firstRow="1" w:lastRow="0" w:firstColumn="1" w:lastColumn="0" w:noHBand="0" w:noVBand="1"/>
      </w:tblPr>
      <w:tblGrid>
        <w:gridCol w:w="388"/>
        <w:gridCol w:w="996"/>
        <w:gridCol w:w="1184"/>
        <w:gridCol w:w="1093"/>
        <w:gridCol w:w="738"/>
        <w:gridCol w:w="1113"/>
        <w:gridCol w:w="1117"/>
        <w:gridCol w:w="1134"/>
        <w:gridCol w:w="850"/>
        <w:gridCol w:w="1200"/>
        <w:gridCol w:w="959"/>
        <w:gridCol w:w="1404"/>
        <w:gridCol w:w="1275"/>
        <w:gridCol w:w="1134"/>
        <w:gridCol w:w="1116"/>
      </w:tblGrid>
      <w:tr w:rsidR="00F50D9D" w:rsidRPr="00501ECB" w14:paraId="75706F23" w14:textId="77777777" w:rsidTr="00F50D9D">
        <w:tc>
          <w:tcPr>
            <w:tcW w:w="388" w:type="dxa"/>
          </w:tcPr>
          <w:p w14:paraId="045F2B53"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No.</w:t>
            </w:r>
          </w:p>
        </w:tc>
        <w:tc>
          <w:tcPr>
            <w:tcW w:w="996" w:type="dxa"/>
          </w:tcPr>
          <w:p w14:paraId="520DB0CB"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i/>
                <w:iCs/>
                <w:color w:val="000000"/>
                <w:sz w:val="18"/>
                <w:szCs w:val="18"/>
                <w:lang w:val="en-US" w:eastAsia="nl-BE"/>
                <w14:ligatures w14:val="none"/>
              </w:rPr>
              <w:t>Daphnia</w:t>
            </w:r>
            <w:r w:rsidRPr="00501ECB">
              <w:rPr>
                <w:rFonts w:ascii="Times New Roman" w:eastAsia="Times New Roman" w:hAnsi="Times New Roman" w:cs="Times New Roman"/>
                <w:b/>
                <w:bCs/>
                <w:color w:val="000000"/>
                <w:sz w:val="18"/>
                <w:szCs w:val="18"/>
                <w:lang w:val="en-US" w:eastAsia="nl-BE"/>
                <w14:ligatures w14:val="none"/>
              </w:rPr>
              <w:t xml:space="preserve"> species</w:t>
            </w:r>
          </w:p>
        </w:tc>
        <w:tc>
          <w:tcPr>
            <w:tcW w:w="1184" w:type="dxa"/>
          </w:tcPr>
          <w:p w14:paraId="72444AF0"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Clones</w:t>
            </w:r>
          </w:p>
        </w:tc>
        <w:tc>
          <w:tcPr>
            <w:tcW w:w="1093" w:type="dxa"/>
          </w:tcPr>
          <w:p w14:paraId="40FBC84E"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Treatment</w:t>
            </w:r>
          </w:p>
        </w:tc>
        <w:tc>
          <w:tcPr>
            <w:tcW w:w="738" w:type="dxa"/>
          </w:tcPr>
          <w:p w14:paraId="16404090"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Sample type</w:t>
            </w:r>
          </w:p>
        </w:tc>
        <w:tc>
          <w:tcPr>
            <w:tcW w:w="1113" w:type="dxa"/>
          </w:tcPr>
          <w:p w14:paraId="38A99637"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Country</w:t>
            </w:r>
          </w:p>
        </w:tc>
        <w:tc>
          <w:tcPr>
            <w:tcW w:w="1117" w:type="dxa"/>
          </w:tcPr>
          <w:p w14:paraId="5CF48569"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Origin</w:t>
            </w:r>
          </w:p>
        </w:tc>
        <w:tc>
          <w:tcPr>
            <w:tcW w:w="1134" w:type="dxa"/>
          </w:tcPr>
          <w:p w14:paraId="2BAEE749"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Primers</w:t>
            </w:r>
          </w:p>
        </w:tc>
        <w:tc>
          <w:tcPr>
            <w:tcW w:w="850" w:type="dxa"/>
          </w:tcPr>
          <w:p w14:paraId="6FEBA2B3"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Variable region</w:t>
            </w:r>
          </w:p>
        </w:tc>
        <w:tc>
          <w:tcPr>
            <w:tcW w:w="1200" w:type="dxa"/>
          </w:tcPr>
          <w:p w14:paraId="3DCD9C4C"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DNA extraction</w:t>
            </w:r>
          </w:p>
        </w:tc>
        <w:tc>
          <w:tcPr>
            <w:tcW w:w="959" w:type="dxa"/>
          </w:tcPr>
          <w:p w14:paraId="13F1DF69"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Sequencing platform</w:t>
            </w:r>
          </w:p>
        </w:tc>
        <w:tc>
          <w:tcPr>
            <w:tcW w:w="1404" w:type="dxa"/>
          </w:tcPr>
          <w:p w14:paraId="4206EEBB" w14:textId="36268EFD"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Pr>
                <w:rFonts w:ascii="Times New Roman" w:eastAsia="Times New Roman" w:hAnsi="Times New Roman" w:cs="Times New Roman"/>
                <w:b/>
                <w:bCs/>
                <w:color w:val="000000"/>
                <w:sz w:val="18"/>
                <w:szCs w:val="18"/>
                <w:lang w:val="en-US" w:eastAsia="nl-BE"/>
                <w14:ligatures w14:val="none"/>
              </w:rPr>
              <w:t>Sequencing depth</w:t>
            </w:r>
          </w:p>
        </w:tc>
        <w:tc>
          <w:tcPr>
            <w:tcW w:w="1275" w:type="dxa"/>
          </w:tcPr>
          <w:p w14:paraId="411483C7" w14:textId="582296FB"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Acc. no</w:t>
            </w:r>
          </w:p>
        </w:tc>
        <w:tc>
          <w:tcPr>
            <w:tcW w:w="1134" w:type="dxa"/>
          </w:tcPr>
          <w:p w14:paraId="4B1051D1"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Reference</w:t>
            </w:r>
          </w:p>
        </w:tc>
        <w:tc>
          <w:tcPr>
            <w:tcW w:w="1116" w:type="dxa"/>
          </w:tcPr>
          <w:p w14:paraId="4C1FA7AD" w14:textId="77777777" w:rsidR="00F50D9D" w:rsidRPr="00501ECB" w:rsidRDefault="00F50D9D" w:rsidP="006C4573">
            <w:pPr>
              <w:jc w:val="both"/>
              <w:rPr>
                <w:rFonts w:ascii="Times New Roman" w:eastAsia="Times New Roman" w:hAnsi="Times New Roman" w:cs="Times New Roman"/>
                <w:b/>
                <w:bCs/>
                <w:color w:val="000000"/>
                <w:sz w:val="18"/>
                <w:szCs w:val="18"/>
                <w:lang w:val="en-US" w:eastAsia="nl-BE"/>
                <w14:ligatures w14:val="none"/>
              </w:rPr>
            </w:pPr>
            <w:r w:rsidRPr="00501ECB">
              <w:rPr>
                <w:rFonts w:ascii="Times New Roman" w:eastAsia="Times New Roman" w:hAnsi="Times New Roman" w:cs="Times New Roman"/>
                <w:b/>
                <w:bCs/>
                <w:color w:val="000000"/>
                <w:sz w:val="18"/>
                <w:szCs w:val="18"/>
                <w:lang w:val="en-US" w:eastAsia="nl-BE"/>
                <w14:ligatures w14:val="none"/>
              </w:rPr>
              <w:t>Selection</w:t>
            </w:r>
          </w:p>
        </w:tc>
      </w:tr>
      <w:tr w:rsidR="00F50D9D" w:rsidRPr="00501ECB" w14:paraId="61835DD4" w14:textId="77777777" w:rsidTr="00F50D9D">
        <w:tc>
          <w:tcPr>
            <w:tcW w:w="388" w:type="dxa"/>
          </w:tcPr>
          <w:p w14:paraId="7564830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w:t>
            </w:r>
          </w:p>
        </w:tc>
        <w:tc>
          <w:tcPr>
            <w:tcW w:w="996" w:type="dxa"/>
          </w:tcPr>
          <w:p w14:paraId="2C02AFC8"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724F6F58"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OM2NF2, T9, B7, KNO1504</w:t>
            </w:r>
          </w:p>
          <w:p w14:paraId="0C58A8B3"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p>
          <w:p w14:paraId="7E1E4D37" w14:textId="3606378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10 animals pooled per replicate per clone</w:t>
            </w:r>
          </w:p>
        </w:tc>
        <w:tc>
          <w:tcPr>
            <w:tcW w:w="1093" w:type="dxa"/>
          </w:tcPr>
          <w:p w14:paraId="6B8534B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Treatment with toxic cyanobacteria</w:t>
            </w:r>
          </w:p>
        </w:tc>
        <w:tc>
          <w:tcPr>
            <w:tcW w:w="738" w:type="dxa"/>
          </w:tcPr>
          <w:p w14:paraId="7043FC2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225A648E" w14:textId="447583D5"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OHZ, Knokke, </w:t>
            </w:r>
            <w:proofErr w:type="spellStart"/>
            <w:r w:rsidRPr="00501ECB">
              <w:rPr>
                <w:rFonts w:ascii="Times New Roman" w:eastAsia="Times New Roman" w:hAnsi="Times New Roman" w:cs="Times New Roman"/>
                <w:color w:val="000000"/>
                <w:sz w:val="18"/>
                <w:szCs w:val="18"/>
                <w:lang w:val="en-US" w:eastAsia="nl-BE"/>
                <w14:ligatures w14:val="none"/>
              </w:rPr>
              <w:t>Heverlee</w:t>
            </w:r>
            <w:proofErr w:type="spellEnd"/>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Belgium</w:t>
            </w:r>
          </w:p>
        </w:tc>
        <w:tc>
          <w:tcPr>
            <w:tcW w:w="1117" w:type="dxa"/>
          </w:tcPr>
          <w:p w14:paraId="00D06C2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6D1384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3369EE0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01DCE10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11B28226"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083797C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0E8F9DC6" w14:textId="7C7CD67D" w:rsidR="00F50D9D" w:rsidRPr="00501ECB" w:rsidRDefault="00E752BD" w:rsidP="00D059B1">
            <w:pPr>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Average</w:t>
            </w:r>
            <w:proofErr w:type="spellEnd"/>
            <w:r>
              <w:rPr>
                <w:rFonts w:ascii="Times New Roman" w:eastAsia="Times New Roman" w:hAnsi="Times New Roman" w:cs="Times New Roman"/>
                <w:color w:val="000000"/>
                <w:sz w:val="18"/>
                <w:szCs w:val="18"/>
                <w:lang w:eastAsia="nl-BE"/>
                <w14:ligatures w14:val="none"/>
              </w:rPr>
              <w:t xml:space="preserve"> of </w:t>
            </w:r>
            <w:r w:rsidR="00F50D9D" w:rsidRPr="00F50D9D">
              <w:rPr>
                <w:rFonts w:ascii="Times New Roman" w:eastAsia="Times New Roman" w:hAnsi="Times New Roman" w:cs="Times New Roman"/>
                <w:color w:val="000000"/>
                <w:sz w:val="18"/>
                <w:szCs w:val="18"/>
                <w:lang w:eastAsia="nl-BE"/>
                <w14:ligatures w14:val="none"/>
              </w:rPr>
              <w:t xml:space="preserve">51,176 </w:t>
            </w:r>
            <w:proofErr w:type="spellStart"/>
            <w:r w:rsidR="00F50D9D" w:rsidRPr="00F50D9D">
              <w:rPr>
                <w:rFonts w:ascii="Times New Roman" w:eastAsia="Times New Roman" w:hAnsi="Times New Roman" w:cs="Times New Roman"/>
                <w:color w:val="000000"/>
                <w:sz w:val="18"/>
                <w:szCs w:val="18"/>
                <w:lang w:eastAsia="nl-BE"/>
                <w14:ligatures w14:val="none"/>
              </w:rPr>
              <w:t>reads</w:t>
            </w:r>
            <w:proofErr w:type="spellEnd"/>
            <w:r w:rsidR="00F50D9D" w:rsidRPr="00F50D9D">
              <w:rPr>
                <w:rFonts w:ascii="Times New Roman" w:eastAsia="Times New Roman" w:hAnsi="Times New Roman" w:cs="Times New Roman"/>
                <w:color w:val="000000"/>
                <w:sz w:val="18"/>
                <w:szCs w:val="18"/>
                <w:lang w:eastAsia="nl-BE"/>
                <w14:ligatures w14:val="none"/>
              </w:rPr>
              <w:t>/sample</w:t>
            </w:r>
          </w:p>
        </w:tc>
        <w:tc>
          <w:tcPr>
            <w:tcW w:w="1275" w:type="dxa"/>
          </w:tcPr>
          <w:p w14:paraId="57C702C3" w14:textId="1F0143B8"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PRJNA398629</w:t>
            </w:r>
          </w:p>
        </w:tc>
        <w:tc>
          <w:tcPr>
            <w:tcW w:w="1134" w:type="dxa"/>
          </w:tcPr>
          <w:p w14:paraId="08C1DFA4" w14:textId="25A47188"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Macke</w:t>
            </w:r>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i/>
                <w:iCs/>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2017</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{"citationID":"biy8Qfd5","properties":{"formattedCitation":"[4]","plainCitation":"[4]","noteIndex":0},"citationItems":[{"id":358,"uris":["http://zotero.org/users/12047481/items/9LYBVM4G"],"itemData":{"id":358,"type":"article-journal","abstract":"The gut microbiota impacts many aspects of its host’s biology, and is increasingly considered as a key factor mediating performance of host individuals in continuously changing environments. Here we use gut microbiota transplants to show that both host genotype and gut microbiota mediate tolerance to toxic cyanobacteria in the freshwater crustacean Daphnia magna. Interclonal variation in tolerance to cyanobacteria disappears when Daphnia are made germ-free and inoculated with an identical microbial inoculum. Instead, variation in tolerance among recipient Daphnia mirrors that of the microbiota donors. Metagenetic analyses point to host genotype and external microbial source as important determinants of gut microbiota assembly, and reveal strong differences in gut microbiota composition between tolerant and susceptible genotypes. Together, these results show that both environmentally and host genotype-induced variations in gut microbiota structure mediate Daphnia tolerance to toxic cyanobacteria, pointing to the gut microbiota as a driver of adaptation and acclimatization to cyanobacterial harmful algal blooms in zooplankton.","container-title":"Nature Communications","DOI":"10.1038/s41467-017-01714-x","ISSN":"2041-1723","issue":"1","journalAbbreviation":"Nat Commun","language":"en","license":"2017 The Author(s)","note":"publisher: Nature Publishing Group","page":"1608","source":"www.nature.com","title":"Host-genotype dependent gut microbiota drives zooplankton tolerance to toxic cyanobacteria","volume":"8","author":[{"family":"Macke","given":"Emilie"},{"family":"Callens","given":"Martijn"},{"family":"De Meester","given":"Luc"},{"family":"Decaestecker","given":"Ellen"}],"issued":{"date-parts":[["2017",11,20]]}}}],"schema":"https://github.com/citation-style-language/schema/raw/master/csl-citation.json"}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20B43">
              <w:rPr>
                <w:rFonts w:ascii="Times New Roman" w:hAnsi="Times New Roman" w:cs="Times New Roman"/>
                <w:sz w:val="18"/>
              </w:rPr>
              <w:t>[4]</w:t>
            </w:r>
            <w:r>
              <w:rPr>
                <w:rFonts w:ascii="Times New Roman" w:eastAsia="Times New Roman" w:hAnsi="Times New Roman" w:cs="Times New Roman"/>
                <w:color w:val="000000"/>
                <w:sz w:val="18"/>
                <w:szCs w:val="18"/>
                <w:lang w:val="en-US" w:eastAsia="nl-BE"/>
                <w14:ligatures w14:val="none"/>
              </w:rPr>
              <w:fldChar w:fldCharType="end"/>
            </w:r>
          </w:p>
        </w:tc>
        <w:tc>
          <w:tcPr>
            <w:tcW w:w="1116" w:type="dxa"/>
            <w:shd w:val="clear" w:color="auto" w:fill="auto"/>
          </w:tcPr>
          <w:p w14:paraId="10AD402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2B3D6B02" w14:textId="77777777" w:rsidTr="00F50D9D">
        <w:tc>
          <w:tcPr>
            <w:tcW w:w="388" w:type="dxa"/>
          </w:tcPr>
          <w:p w14:paraId="07B36E4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w:t>
            </w:r>
          </w:p>
        </w:tc>
        <w:tc>
          <w:tcPr>
            <w:tcW w:w="996" w:type="dxa"/>
          </w:tcPr>
          <w:p w14:paraId="099B431D"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BC72C42"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BSW7, OM2F8</w:t>
            </w:r>
          </w:p>
          <w:p w14:paraId="5323642F"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p>
          <w:p w14:paraId="246A596C" w14:textId="0FC74355"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10 animals pooled per replicate per clone</w:t>
            </w:r>
          </w:p>
        </w:tc>
        <w:tc>
          <w:tcPr>
            <w:tcW w:w="1093" w:type="dxa"/>
          </w:tcPr>
          <w:p w14:paraId="1EF54C5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Effect of microbial inoculum</w:t>
            </w:r>
          </w:p>
        </w:tc>
        <w:tc>
          <w:tcPr>
            <w:tcW w:w="738" w:type="dxa"/>
          </w:tcPr>
          <w:p w14:paraId="437D8F3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0279A9EB" w14:textId="2D51AD9C"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proofErr w:type="spellStart"/>
            <w:r w:rsidRPr="00501ECB">
              <w:rPr>
                <w:rFonts w:ascii="Times New Roman" w:hAnsi="Times New Roman" w:cs="Times New Roman"/>
                <w:sz w:val="18"/>
                <w:szCs w:val="18"/>
                <w:shd w:val="clear" w:color="auto" w:fill="FFFFFF"/>
                <w14:ligatures w14:val="none"/>
              </w:rPr>
              <w:t>Bysjön</w:t>
            </w:r>
            <w:proofErr w:type="spellEnd"/>
            <w:r>
              <w:rPr>
                <w:rFonts w:ascii="Times New Roman" w:hAnsi="Times New Roman" w:cs="Times New Roman"/>
                <w:sz w:val="18"/>
                <w:szCs w:val="18"/>
                <w:shd w:val="clear" w:color="auto" w:fill="FFFFFF"/>
                <w14:ligatures w14:val="none"/>
              </w:rPr>
              <w:t xml:space="preserve"> </w:t>
            </w:r>
            <w:proofErr w:type="spellStart"/>
            <w:r w:rsidRPr="00501ECB">
              <w:rPr>
                <w:color w:val="000000"/>
                <w:sz w:val="18"/>
                <w:szCs w:val="18"/>
                <w14:ligatures w14:val="none"/>
              </w:rPr>
              <w:t>Lake,</w:t>
            </w:r>
            <w:r w:rsidRPr="00501ECB">
              <w:rPr>
                <w:rFonts w:ascii="Times New Roman" w:eastAsia="Times New Roman" w:hAnsi="Times New Roman" w:cs="Times New Roman"/>
                <w:color w:val="000000"/>
                <w:sz w:val="18"/>
                <w:szCs w:val="18"/>
                <w:lang w:eastAsia="nl-BE"/>
                <w14:ligatures w14:val="none"/>
              </w:rPr>
              <w:t>Sweden</w:t>
            </w:r>
            <w:proofErr w:type="spellEnd"/>
            <w:r w:rsidRPr="00501ECB">
              <w:rPr>
                <w:rFonts w:ascii="Times New Roman" w:eastAsia="Times New Roman" w:hAnsi="Times New Roman" w:cs="Times New Roman"/>
                <w:color w:val="000000"/>
                <w:sz w:val="18"/>
                <w:szCs w:val="18"/>
                <w:lang w:eastAsia="nl-BE"/>
                <w14:ligatures w14:val="none"/>
              </w:rPr>
              <w:t xml:space="preserve"> </w:t>
            </w:r>
            <w:r w:rsidRPr="00C628D6">
              <w:rPr>
                <w:color w:val="000000"/>
                <w:sz w:val="18"/>
                <w:szCs w:val="18"/>
                <w14:ligatures w14:val="none"/>
              </w:rPr>
              <w:t xml:space="preserve"> </w:t>
            </w:r>
            <w:r w:rsidRPr="00501ECB">
              <w:rPr>
                <w:color w:val="000000"/>
                <w:sz w:val="18"/>
                <w:szCs w:val="18"/>
                <w14:ligatures w14:val="none"/>
              </w:rPr>
              <w:t>Heverlee</w:t>
            </w:r>
            <w:r w:rsidRPr="00C628D6">
              <w:rPr>
                <w:rFonts w:ascii="Times New Roman" w:eastAsia="Times New Roman" w:hAnsi="Times New Roman" w:cs="Times New Roman"/>
                <w:color w:val="000000"/>
                <w:sz w:val="18"/>
                <w:szCs w:val="18"/>
                <w:lang w:eastAsia="nl-BE"/>
                <w14:ligatures w14:val="none"/>
              </w:rPr>
              <w:t xml:space="preserve"> </w:t>
            </w:r>
            <w:r w:rsidRPr="00501ECB">
              <w:rPr>
                <w:rFonts w:ascii="Times New Roman" w:eastAsia="Times New Roman" w:hAnsi="Times New Roman" w:cs="Times New Roman"/>
                <w:color w:val="000000"/>
                <w:sz w:val="18"/>
                <w:szCs w:val="18"/>
                <w:lang w:eastAsia="nl-BE"/>
                <w14:ligatures w14:val="none"/>
              </w:rPr>
              <w:t>Belgium</w:t>
            </w:r>
          </w:p>
        </w:tc>
        <w:tc>
          <w:tcPr>
            <w:tcW w:w="1117" w:type="dxa"/>
          </w:tcPr>
          <w:p w14:paraId="10785EC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74D80FC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1FE1DA8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3688239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1FC91498"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0027D76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5B911799" w14:textId="2854D0BF" w:rsidR="00F50D9D" w:rsidRPr="00F50D9D" w:rsidRDefault="00E752BD"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Average</w:t>
            </w:r>
            <w:proofErr w:type="spellEnd"/>
            <w:r>
              <w:rPr>
                <w:rFonts w:ascii="Times New Roman" w:eastAsia="Times New Roman" w:hAnsi="Times New Roman" w:cs="Times New Roman"/>
                <w:color w:val="000000"/>
                <w:sz w:val="18"/>
                <w:szCs w:val="18"/>
                <w:lang w:eastAsia="nl-BE"/>
                <w14:ligatures w14:val="none"/>
              </w:rPr>
              <w:t xml:space="preserve"> of </w:t>
            </w:r>
            <w:r w:rsidR="00F50D9D" w:rsidRPr="00F50D9D">
              <w:rPr>
                <w:rFonts w:ascii="Times New Roman" w:eastAsia="Times New Roman" w:hAnsi="Times New Roman" w:cs="Times New Roman"/>
                <w:color w:val="000000"/>
                <w:sz w:val="18"/>
                <w:szCs w:val="18"/>
                <w:lang w:eastAsia="nl-BE"/>
                <w14:ligatures w14:val="none"/>
              </w:rPr>
              <w:t xml:space="preserve">51,176 </w:t>
            </w:r>
            <w:proofErr w:type="spellStart"/>
            <w:r w:rsidR="00F50D9D" w:rsidRPr="00F50D9D">
              <w:rPr>
                <w:rFonts w:ascii="Times New Roman" w:eastAsia="Times New Roman" w:hAnsi="Times New Roman" w:cs="Times New Roman"/>
                <w:color w:val="000000"/>
                <w:sz w:val="18"/>
                <w:szCs w:val="18"/>
                <w:lang w:eastAsia="nl-BE"/>
                <w14:ligatures w14:val="none"/>
              </w:rPr>
              <w:t>reads</w:t>
            </w:r>
            <w:proofErr w:type="spellEnd"/>
            <w:r w:rsidR="00F50D9D" w:rsidRPr="00F50D9D">
              <w:rPr>
                <w:rFonts w:ascii="Times New Roman" w:eastAsia="Times New Roman" w:hAnsi="Times New Roman" w:cs="Times New Roman"/>
                <w:color w:val="000000"/>
                <w:sz w:val="18"/>
                <w:szCs w:val="18"/>
                <w:lang w:eastAsia="nl-BE"/>
                <w14:ligatures w14:val="none"/>
              </w:rPr>
              <w:t>/sample</w:t>
            </w:r>
          </w:p>
        </w:tc>
        <w:tc>
          <w:tcPr>
            <w:tcW w:w="1275" w:type="dxa"/>
          </w:tcPr>
          <w:p w14:paraId="138019A9" w14:textId="36A463B0" w:rsidR="00F50D9D" w:rsidRPr="00501ECB" w:rsidRDefault="00F50D9D" w:rsidP="006C4573">
            <w:pPr>
              <w:spacing w:before="100" w:beforeAutospacing="1" w:afterAutospacing="1"/>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PRJNA398630</w:t>
            </w:r>
          </w:p>
        </w:tc>
        <w:tc>
          <w:tcPr>
            <w:tcW w:w="1134" w:type="dxa"/>
          </w:tcPr>
          <w:p w14:paraId="3465308E" w14:textId="374CD7DB"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Macke</w:t>
            </w:r>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2017</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{"citationID":"hI3jL5GV","properties":{"formattedCitation":"[4]","plainCitation":"[4]","noteIndex":0},"citationItems":[{"id":358,"uris":["http://zotero.org/users/12047481/items/9LYBVM4G"],"itemData":{"id":358,"type":"article-journal","abstract":"The gut microbiota impacts many aspects of its host’s biology, and is increasingly considered as a key factor mediating performance of host individuals in continuously changing environments. Here we use gut microbiota transplants to show that both host genotype and gut microbiota mediate tolerance to toxic cyanobacteria in the freshwater crustacean Daphnia magna. Interclonal variation in tolerance to cyanobacteria disappears when Daphnia are made germ-free and inoculated with an identical microbial inoculum. Instead, variation in tolerance among recipient Daphnia mirrors that of the microbiota donors. Metagenetic analyses point to host genotype and external microbial source as important determinants of gut microbiota assembly, and reveal strong differences in gut microbiota composition between tolerant and susceptible genotypes. Together, these results show that both environmentally and host genotype-induced variations in gut microbiota structure mediate Daphnia tolerance to toxic cyanobacteria, pointing to the gut microbiota as a driver of adaptation and acclimatization to cyanobacterial harmful algal blooms in zooplankton.","container-title":"Nature Communications","DOI":"10.1038/s41467-017-01714-x","ISSN":"2041-1723","issue":"1","journalAbbreviation":"Nat Commun","language":"en","license":"2017 The Author(s)","note":"publisher: Nature Publishing Group","page":"1608","source":"www.nature.com","title":"Host-genotype dependent gut microbiota drives zooplankton tolerance to toxic cyanobacteria","volume":"8","author":[{"family":"Macke","given":"Emilie"},{"family":"Callens","given":"Martijn"},{"family":"De Meester","given":"Luc"},{"family":"Decaestecker","given":"Ellen"}],"issued":{"date-parts":[["2017",11,20]]}}}],"schema":"https://github.com/citation-style-language/schema/raw/master/csl-citation.json"}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20B43">
              <w:rPr>
                <w:rFonts w:ascii="Times New Roman" w:hAnsi="Times New Roman" w:cs="Times New Roman"/>
                <w:sz w:val="18"/>
              </w:rPr>
              <w:t>[4]</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2904765C"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68C05594" w14:textId="77777777" w:rsidTr="00F50D9D">
        <w:tc>
          <w:tcPr>
            <w:tcW w:w="388" w:type="dxa"/>
          </w:tcPr>
          <w:p w14:paraId="6E3EFF6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w:t>
            </w:r>
          </w:p>
        </w:tc>
        <w:tc>
          <w:tcPr>
            <w:tcW w:w="996" w:type="dxa"/>
          </w:tcPr>
          <w:p w14:paraId="01D9A7F5"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8EC4B2D"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NIES</w:t>
            </w:r>
          </w:p>
          <w:p w14:paraId="293CBDD6"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p>
          <w:p w14:paraId="160D0DB1" w14:textId="45F663A2"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3 pooled adult Daphnia per </w:t>
            </w:r>
            <w:proofErr w:type="spellStart"/>
            <w:r>
              <w:rPr>
                <w:rFonts w:ascii="Times New Roman" w:eastAsia="Times New Roman" w:hAnsi="Times New Roman" w:cs="Times New Roman"/>
                <w:color w:val="000000"/>
                <w:sz w:val="18"/>
                <w:szCs w:val="18"/>
                <w:lang w:val="en-US" w:eastAsia="nl-BE"/>
                <w14:ligatures w14:val="none"/>
              </w:rPr>
              <w:t>relicate</w:t>
            </w:r>
            <w:proofErr w:type="spellEnd"/>
            <w:r>
              <w:rPr>
                <w:rFonts w:ascii="Times New Roman" w:eastAsia="Times New Roman" w:hAnsi="Times New Roman" w:cs="Times New Roman"/>
                <w:color w:val="000000"/>
                <w:sz w:val="18"/>
                <w:szCs w:val="18"/>
                <w:lang w:val="en-US" w:eastAsia="nl-BE"/>
                <w14:ligatures w14:val="none"/>
              </w:rPr>
              <w:t xml:space="preserve"> per sample</w:t>
            </w:r>
          </w:p>
        </w:tc>
        <w:tc>
          <w:tcPr>
            <w:tcW w:w="1093" w:type="dxa"/>
          </w:tcPr>
          <w:p w14:paraId="0DD2EED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Oxytetracycline exposure</w:t>
            </w:r>
          </w:p>
        </w:tc>
        <w:tc>
          <w:tcPr>
            <w:tcW w:w="738" w:type="dxa"/>
          </w:tcPr>
          <w:p w14:paraId="70204BD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66A0D33F" w14:textId="1B0B57E5"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Tsukuba</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Japan</w:t>
            </w:r>
          </w:p>
        </w:tc>
        <w:tc>
          <w:tcPr>
            <w:tcW w:w="1117" w:type="dxa"/>
          </w:tcPr>
          <w:p w14:paraId="42D50BB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022FB15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7AB431F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6DEDFA9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Quick Genomic DNA prep</w:t>
            </w:r>
          </w:p>
        </w:tc>
        <w:tc>
          <w:tcPr>
            <w:tcW w:w="959" w:type="dxa"/>
          </w:tcPr>
          <w:p w14:paraId="5DB38198"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4A7F7F1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76E4C8DB" w14:textId="4A980401" w:rsidR="00F50D9D" w:rsidRPr="00F50D9D" w:rsidRDefault="00E752BD"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Average</w:t>
            </w:r>
            <w:proofErr w:type="spellEnd"/>
            <w:r>
              <w:rPr>
                <w:rFonts w:ascii="Times New Roman" w:eastAsia="Times New Roman" w:hAnsi="Times New Roman" w:cs="Times New Roman"/>
                <w:color w:val="000000"/>
                <w:sz w:val="18"/>
                <w:szCs w:val="18"/>
                <w:lang w:eastAsia="nl-BE"/>
                <w14:ligatures w14:val="none"/>
              </w:rPr>
              <w:t xml:space="preserve"> of </w:t>
            </w:r>
            <w:r w:rsidR="00F50D9D" w:rsidRPr="00F50D9D">
              <w:rPr>
                <w:rFonts w:ascii="Times New Roman" w:eastAsia="Times New Roman" w:hAnsi="Times New Roman" w:cs="Times New Roman"/>
                <w:color w:val="000000"/>
                <w:sz w:val="18"/>
                <w:szCs w:val="18"/>
                <w:lang w:eastAsia="nl-BE"/>
                <w14:ligatures w14:val="none"/>
              </w:rPr>
              <w:t>96,833</w:t>
            </w:r>
            <w:r w:rsidR="00F50D9D">
              <w:rPr>
                <w:rFonts w:ascii="Times New Roman" w:eastAsia="Times New Roman" w:hAnsi="Times New Roman" w:cs="Times New Roman"/>
                <w:color w:val="000000"/>
                <w:sz w:val="18"/>
                <w:szCs w:val="18"/>
                <w:lang w:eastAsia="nl-BE"/>
                <w14:ligatures w14:val="none"/>
              </w:rPr>
              <w:t xml:space="preserve"> </w:t>
            </w:r>
            <w:proofErr w:type="spellStart"/>
            <w:r w:rsidR="00F50D9D">
              <w:rPr>
                <w:rFonts w:ascii="Times New Roman" w:eastAsia="Times New Roman" w:hAnsi="Times New Roman" w:cs="Times New Roman"/>
                <w:color w:val="000000"/>
                <w:sz w:val="18"/>
                <w:szCs w:val="18"/>
                <w:lang w:eastAsia="nl-BE"/>
                <w14:ligatures w14:val="none"/>
              </w:rPr>
              <w:t>reads</w:t>
            </w:r>
            <w:proofErr w:type="spellEnd"/>
            <w:r w:rsidR="00F50D9D">
              <w:rPr>
                <w:rFonts w:ascii="Times New Roman" w:eastAsia="Times New Roman" w:hAnsi="Times New Roman" w:cs="Times New Roman"/>
                <w:color w:val="000000"/>
                <w:sz w:val="18"/>
                <w:szCs w:val="18"/>
                <w:lang w:eastAsia="nl-BE"/>
                <w14:ligatures w14:val="none"/>
              </w:rPr>
              <w:t>/sample</w:t>
            </w:r>
          </w:p>
        </w:tc>
        <w:tc>
          <w:tcPr>
            <w:tcW w:w="1275" w:type="dxa"/>
          </w:tcPr>
          <w:p w14:paraId="183C1550" w14:textId="68433F6B" w:rsidR="00F50D9D" w:rsidRPr="00501ECB" w:rsidRDefault="00F50D9D" w:rsidP="006C4573">
            <w:pPr>
              <w:spacing w:before="100" w:beforeAutospacing="1" w:afterAutospacing="1"/>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PRJNA413666</w:t>
            </w:r>
          </w:p>
          <w:p w14:paraId="540A641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34" w:type="dxa"/>
          </w:tcPr>
          <w:p w14:paraId="2DAFCCBC" w14:textId="769D96A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Callens</w:t>
            </w:r>
            <w:r>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sidRPr="00501ECB">
              <w:rPr>
                <w:rFonts w:ascii="Times New Roman" w:eastAsia="Times New Roman" w:hAnsi="Times New Roman" w:cs="Times New Roman"/>
                <w:color w:val="000000"/>
                <w:sz w:val="18"/>
                <w:szCs w:val="18"/>
                <w:lang w:val="en-US" w:eastAsia="nl-BE"/>
                <w14:ligatures w14:val="none"/>
              </w:rPr>
              <w:t xml:space="preserve"> 2018</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{"citationID":"oYa7zkUx","properties":{"formattedCitation":"[5]","plainCitation":"[5]","noteIndex":0},"citationItems":[{"id":400,"uris":["http://zotero.org/users/12047481/items/E5KXH3CC"],"itemData":{"id":400,"type":"article-journal","abstract":"Host-associated microbiota is often acquired by horizontal transmission of microbes present in the environment. It is hypothesized that differences in the environmental pool of colonizers can influence microbiota community assembly on the host and as such affect holobiont composition and host fitness. To investigate this hypothesis, the host-associated microbiota of the invertebrate eco(toxico)logical model Daphnia was experimentally disturbed using different concentrations of the antibiotic oxytetracycline. The community assembly and host-microbiota interactions when Daphnia were colonized by the disturbed microbiota were investigated by inoculating germ-free individuals with the microbiota.","container-title":"Microbiome","DOI":"10.1186/s40168-018-0444-1","ISSN":"2049-2618","issue":"1","journalAbbreviation":"Microbiome","language":"en","page":"56","source":"Springer Link","title":"Microbiota inoculum composition affects holobiont assembly and host growth in Daphnia","volume":"6","author":[{"family":"Callens","given":"Martijn"},{"family":"Watanabe","given":"Hajime"},{"family":"Kato","given":"Yasuhiko"},{"family":"Miura","given":"Jun"},{"family":"Decaestecker","given":"Ellen"}],"issued":{"date-parts":[["2018",3,22]]}}}],"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20B43">
              <w:rPr>
                <w:rFonts w:ascii="Times New Roman" w:hAnsi="Times New Roman" w:cs="Times New Roman"/>
                <w:sz w:val="18"/>
              </w:rPr>
              <w:t>[5]</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C4E091C"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753706C6" w14:textId="77777777" w:rsidTr="00F50D9D">
        <w:tc>
          <w:tcPr>
            <w:tcW w:w="388" w:type="dxa"/>
          </w:tcPr>
          <w:p w14:paraId="35A009E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4.</w:t>
            </w:r>
          </w:p>
        </w:tc>
        <w:tc>
          <w:tcPr>
            <w:tcW w:w="996" w:type="dxa"/>
          </w:tcPr>
          <w:p w14:paraId="57A79A8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D. magna</w:t>
            </w:r>
          </w:p>
        </w:tc>
        <w:tc>
          <w:tcPr>
            <w:tcW w:w="1184" w:type="dxa"/>
          </w:tcPr>
          <w:p w14:paraId="56B24278"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G2, G6, G9</w:t>
            </w:r>
          </w:p>
          <w:p w14:paraId="77C35746" w14:textId="77777777" w:rsidR="00E752BD" w:rsidRDefault="00E752BD" w:rsidP="006C4573">
            <w:pPr>
              <w:jc w:val="both"/>
              <w:rPr>
                <w:rFonts w:ascii="Times New Roman" w:eastAsia="Times New Roman" w:hAnsi="Times New Roman" w:cs="Times New Roman"/>
                <w:color w:val="000000"/>
                <w:sz w:val="18"/>
                <w:szCs w:val="18"/>
                <w:lang w:val="en-US" w:eastAsia="nl-BE"/>
                <w14:ligatures w14:val="none"/>
              </w:rPr>
            </w:pPr>
          </w:p>
          <w:p w14:paraId="53E14507" w14:textId="3B01462E" w:rsidR="00E752BD" w:rsidRPr="00E752BD" w:rsidRDefault="00E752B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10 </w:t>
            </w:r>
            <w:r w:rsidRPr="00E752BD">
              <w:rPr>
                <w:rFonts w:ascii="Times New Roman" w:eastAsia="Times New Roman" w:hAnsi="Times New Roman" w:cs="Times New Roman"/>
                <w:i/>
                <w:iCs/>
                <w:color w:val="000000"/>
                <w:sz w:val="18"/>
                <w:szCs w:val="18"/>
                <w:lang w:val="en-US" w:eastAsia="nl-BE"/>
                <w14:ligatures w14:val="none"/>
              </w:rPr>
              <w:t>Daphnia</w:t>
            </w:r>
            <w:r>
              <w:rPr>
                <w:rFonts w:ascii="Times New Roman" w:eastAsia="Times New Roman" w:hAnsi="Times New Roman" w:cs="Times New Roman"/>
                <w:color w:val="000000"/>
                <w:sz w:val="18"/>
                <w:szCs w:val="18"/>
                <w:lang w:val="en-US" w:eastAsia="nl-BE"/>
                <w14:ligatures w14:val="none"/>
              </w:rPr>
              <w:t xml:space="preserve"> </w:t>
            </w:r>
            <w:r w:rsidRPr="00E752BD">
              <w:rPr>
                <w:rFonts w:ascii="Times New Roman" w:eastAsia="Times New Roman" w:hAnsi="Times New Roman" w:cs="Times New Roman"/>
                <w:color w:val="000000"/>
                <w:sz w:val="18"/>
                <w:szCs w:val="18"/>
                <w:lang w:val="en-US" w:eastAsia="nl-BE"/>
                <w14:ligatures w14:val="none"/>
              </w:rPr>
              <w:t>guts were collected from each recipient population</w:t>
            </w:r>
          </w:p>
        </w:tc>
        <w:tc>
          <w:tcPr>
            <w:tcW w:w="1093" w:type="dxa"/>
          </w:tcPr>
          <w:p w14:paraId="0421F8A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Effect of microbial source</w:t>
            </w:r>
          </w:p>
        </w:tc>
        <w:tc>
          <w:tcPr>
            <w:tcW w:w="738" w:type="dxa"/>
          </w:tcPr>
          <w:p w14:paraId="264D1A1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29F2F3F7" w14:textId="2290E0C3"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OHZ, </w:t>
            </w:r>
            <w:proofErr w:type="spellStart"/>
            <w:r w:rsidRPr="00501ECB">
              <w:rPr>
                <w:rFonts w:ascii="Times New Roman" w:eastAsia="Times New Roman" w:hAnsi="Times New Roman" w:cs="Times New Roman"/>
                <w:color w:val="000000"/>
                <w:sz w:val="18"/>
                <w:szCs w:val="18"/>
                <w:lang w:val="en-US" w:eastAsia="nl-BE"/>
                <w14:ligatures w14:val="none"/>
              </w:rPr>
              <w:t>Heverlee</w:t>
            </w:r>
            <w:proofErr w:type="spellEnd"/>
            <w:r w:rsidRPr="00501ECB">
              <w:rPr>
                <w:rFonts w:ascii="Times New Roman" w:eastAsia="Times New Roman" w:hAnsi="Times New Roman" w:cs="Times New Roman"/>
                <w:color w:val="000000"/>
                <w:sz w:val="18"/>
                <w:szCs w:val="18"/>
                <w:lang w:val="en-US" w:eastAsia="nl-BE"/>
                <w14:ligatures w14:val="none"/>
              </w:rPr>
              <w:t xml:space="preserve">, Belgium, </w:t>
            </w:r>
            <w:r w:rsidRPr="00501ECB">
              <w:rPr>
                <w:rFonts w:ascii="Times New Roman" w:hAnsi="Times New Roman" w:cs="Times New Roman"/>
                <w:sz w:val="18"/>
                <w:szCs w:val="18"/>
                <w:shd w:val="clear" w:color="auto" w:fill="FFFFFF"/>
                <w14:ligatures w14:val="none"/>
              </w:rPr>
              <w:t xml:space="preserve"> </w:t>
            </w:r>
          </w:p>
        </w:tc>
        <w:tc>
          <w:tcPr>
            <w:tcW w:w="1117" w:type="dxa"/>
          </w:tcPr>
          <w:p w14:paraId="6886010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77E3440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64B4FD5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0E67826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340302DC"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7291906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3DC2862E" w14:textId="78CDB5D1" w:rsidR="00F50D9D" w:rsidRPr="00501ECB" w:rsidRDefault="00E752BD" w:rsidP="00D059B1">
            <w:pPr>
              <w:rPr>
                <w:rFonts w:ascii="Times New Roman" w:eastAsia="Times New Roman" w:hAnsi="Times New Roman" w:cs="Times New Roman"/>
                <w:color w:val="000000"/>
                <w:sz w:val="18"/>
                <w:szCs w:val="18"/>
                <w:lang w:val="en-US" w:eastAsia="nl-BE"/>
                <w14:ligatures w14:val="none"/>
              </w:rPr>
            </w:pPr>
            <w:r w:rsidRPr="00E752BD">
              <w:rPr>
                <w:rFonts w:ascii="Times New Roman" w:eastAsia="Times New Roman" w:hAnsi="Times New Roman" w:cs="Times New Roman"/>
                <w:color w:val="000000"/>
                <w:sz w:val="18"/>
                <w:szCs w:val="18"/>
                <w:lang w:val="en-US" w:eastAsia="nl-BE"/>
                <w14:ligatures w14:val="none"/>
              </w:rPr>
              <w:t>Average of 27,766 reads per sample</w:t>
            </w:r>
          </w:p>
        </w:tc>
        <w:tc>
          <w:tcPr>
            <w:tcW w:w="1275" w:type="dxa"/>
          </w:tcPr>
          <w:p w14:paraId="555DC17E" w14:textId="41FA635C"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PRJNA498431</w:t>
            </w:r>
          </w:p>
        </w:tc>
        <w:tc>
          <w:tcPr>
            <w:tcW w:w="1134" w:type="dxa"/>
          </w:tcPr>
          <w:p w14:paraId="08D4E534" w14:textId="78D09C10"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Macke</w:t>
            </w:r>
            <w:r>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2020</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{"citationID":"RBAiyzgT","properties":{"formattedCitation":"[6]","plainCitation":"[6]","noteIndex":0},"citationItems":[{"id":678,"uris":["http://zotero.org/users/12047481/items/HNSRGNRI"],"itemData":{"id":678,"type":"article-journal","abstract":"&lt;p&gt;In spite of the growing interest in the role of the gut microbiome (GM) in host physiology and health, the mechanisms governing its assembly and its effects on the environment are poorly understood. In this article, we show that the host genotype and the GM of &lt;italic&gt;Daphnia&lt;/italic&gt; influence the community structure of the surrounding bacterioplankton (BPK). When &lt;italic&gt;Daphnia&lt;/italic&gt; genotypes were placed in an identical environment, both the GM and BPK showed a genotype and diet-dependent taxonomic composition. Overall, the GM strongly differed from the BPK in taxonomic composition and was characterized by a lower α-diversity, suggesting a selective rejecting of bacteria from the regional species pool. In a microbiome transplant experiment, the assembly of both the GM and BPK was strongly affected by the host genotype and the inoculum to which germ-free &lt;italic&gt;Daphnia&lt;/italic&gt; were exposed. The combination of these results suggests a strong interaction between the host genotype, its GM and free-living microbial communities. Currently, it is generally assumed that an animal’s diet has a strong effect on the animal’s GM, but only a negligible (if any) effect on the surrounding environment. However, our results indicate that the diet/microbiome inocula have a small effect on the gut community and a large effect on the community in the surrounding environment. This structuring genotype × microbiome × environment effect is an essential prerequisite that could indicate that microbiomes play an important role in eco-evolutionary processes.&lt;/p&gt;","container-title":"Frontiers in Microbiology","DOI":"10.3389/fmicb.2020.00380","ISSN":"1664-302X","journalAbbreviation":"Front. Microbiol.","language":"English","note":"publisher: Frontiers","source":"Frontiers","title":"Diet and Genotype of an Aquatic Invertebrate Affect the Composition of Free-Living Microbial Communities","URL":"https://www.frontiersin.org/journals/microbiology/articles/10.3389/fmicb.2020.00380/full","volume":"11","author":[{"family":"Macke","given":"Emilie"},{"family":"Callens","given":"Martijn"},{"family":"Massol","given":"Francois"},{"family":"Vanoverberghe","given":"Isabel"},{"family":"De Meester","given":"Luc"},{"family":"Decaestecker","given":"Ellen"}],"accessed":{"date-parts":[["2025",1,22]]},"issued":{"date-parts":[["2020",3,17]]}}}],"schema":"https://github.com/citation-style-language/schema/raw/master/csl-citation.json"}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20B43">
              <w:rPr>
                <w:rFonts w:ascii="Times New Roman" w:hAnsi="Times New Roman" w:cs="Times New Roman"/>
                <w:sz w:val="18"/>
              </w:rPr>
              <w:t>[6]</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6A69BAFA"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4CD123EE" w14:textId="77777777" w:rsidTr="00F50D9D">
        <w:tc>
          <w:tcPr>
            <w:tcW w:w="388" w:type="dxa"/>
          </w:tcPr>
          <w:p w14:paraId="5B0BC0B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5.</w:t>
            </w:r>
          </w:p>
        </w:tc>
        <w:tc>
          <w:tcPr>
            <w:tcW w:w="996" w:type="dxa"/>
          </w:tcPr>
          <w:p w14:paraId="6CEDA7DD"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22950733"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G1, G2, G3, G4, G5, G6, G7, G8, G9</w:t>
            </w:r>
          </w:p>
          <w:p w14:paraId="61E15328" w14:textId="77777777" w:rsidR="00E752BD" w:rsidRDefault="00E752BD" w:rsidP="006C4573">
            <w:pPr>
              <w:jc w:val="both"/>
              <w:rPr>
                <w:rFonts w:ascii="Times New Roman" w:eastAsia="Times New Roman" w:hAnsi="Times New Roman" w:cs="Times New Roman"/>
                <w:color w:val="000000"/>
                <w:sz w:val="18"/>
                <w:szCs w:val="18"/>
                <w:lang w:val="en-US" w:eastAsia="nl-BE"/>
                <w14:ligatures w14:val="none"/>
              </w:rPr>
            </w:pPr>
          </w:p>
          <w:p w14:paraId="744DB2A2" w14:textId="1C40090A" w:rsidR="00E752BD" w:rsidRPr="00501ECB" w:rsidRDefault="00E752B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10 </w:t>
            </w:r>
            <w:r w:rsidRPr="00E752BD">
              <w:rPr>
                <w:rFonts w:ascii="Times New Roman" w:eastAsia="Times New Roman" w:hAnsi="Times New Roman" w:cs="Times New Roman"/>
                <w:i/>
                <w:iCs/>
                <w:color w:val="000000"/>
                <w:sz w:val="18"/>
                <w:szCs w:val="18"/>
                <w:lang w:val="en-US" w:eastAsia="nl-BE"/>
                <w14:ligatures w14:val="none"/>
              </w:rPr>
              <w:t>Daphnia</w:t>
            </w:r>
            <w:r>
              <w:rPr>
                <w:rFonts w:ascii="Times New Roman" w:eastAsia="Times New Roman" w:hAnsi="Times New Roman" w:cs="Times New Roman"/>
                <w:color w:val="000000"/>
                <w:sz w:val="18"/>
                <w:szCs w:val="18"/>
                <w:lang w:val="en-US" w:eastAsia="nl-BE"/>
                <w14:ligatures w14:val="none"/>
              </w:rPr>
              <w:t xml:space="preserve"> </w:t>
            </w:r>
            <w:r w:rsidRPr="00E752BD">
              <w:rPr>
                <w:rFonts w:ascii="Times New Roman" w:eastAsia="Times New Roman" w:hAnsi="Times New Roman" w:cs="Times New Roman"/>
                <w:color w:val="000000"/>
                <w:sz w:val="18"/>
                <w:szCs w:val="18"/>
                <w:lang w:val="en-US" w:eastAsia="nl-BE"/>
                <w14:ligatures w14:val="none"/>
              </w:rPr>
              <w:t>guts were collected from each recipient population</w:t>
            </w:r>
          </w:p>
        </w:tc>
        <w:tc>
          <w:tcPr>
            <w:tcW w:w="1093" w:type="dxa"/>
          </w:tcPr>
          <w:p w14:paraId="63CAD9AD" w14:textId="77777777"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Effect of </w:t>
            </w:r>
            <w:proofErr w:type="spellStart"/>
            <w:r w:rsidRPr="00501ECB">
              <w:rPr>
                <w:rFonts w:ascii="Times New Roman" w:eastAsia="Times New Roman" w:hAnsi="Times New Roman" w:cs="Times New Roman"/>
                <w:color w:val="000000"/>
                <w:sz w:val="18"/>
                <w:szCs w:val="18"/>
                <w:lang w:eastAsia="nl-BE"/>
                <w14:ligatures w14:val="none"/>
              </w:rPr>
              <w:t>diet</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Scendesmus</w:t>
            </w:r>
            <w:proofErr w:type="spellEnd"/>
            <w:r w:rsidRPr="00501ECB">
              <w:rPr>
                <w:rFonts w:ascii="Times New Roman" w:eastAsia="Times New Roman" w:hAnsi="Times New Roman" w:cs="Times New Roman"/>
                <w:color w:val="000000"/>
                <w:sz w:val="18"/>
                <w:szCs w:val="18"/>
                <w:lang w:eastAsia="nl-BE"/>
                <w14:ligatures w14:val="none"/>
              </w:rPr>
              <w:t xml:space="preserve"> vs. </w:t>
            </w:r>
            <w:proofErr w:type="spellStart"/>
            <w:r w:rsidRPr="00501ECB">
              <w:rPr>
                <w:rFonts w:ascii="Times New Roman" w:eastAsia="Times New Roman" w:hAnsi="Times New Roman" w:cs="Times New Roman"/>
                <w:color w:val="000000"/>
                <w:sz w:val="18"/>
                <w:szCs w:val="18"/>
                <w:lang w:eastAsia="nl-BE"/>
                <w14:ligatures w14:val="none"/>
              </w:rPr>
              <w:t>Microcystis</w:t>
            </w:r>
            <w:proofErr w:type="spellEnd"/>
            <w:r w:rsidRPr="00501ECB">
              <w:rPr>
                <w:rFonts w:ascii="Times New Roman" w:eastAsia="Times New Roman" w:hAnsi="Times New Roman" w:cs="Times New Roman"/>
                <w:color w:val="000000"/>
                <w:sz w:val="18"/>
                <w:szCs w:val="18"/>
                <w:lang w:eastAsia="nl-BE"/>
                <w14:ligatures w14:val="none"/>
              </w:rPr>
              <w:t>)</w:t>
            </w:r>
          </w:p>
        </w:tc>
        <w:tc>
          <w:tcPr>
            <w:tcW w:w="738" w:type="dxa"/>
          </w:tcPr>
          <w:p w14:paraId="780DA02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15458BA7" w14:textId="530E31AD"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OHZ, Knokke, Heverlee, Belgium, </w:t>
            </w:r>
            <w:r w:rsidRPr="00501ECB">
              <w:rPr>
                <w:rFonts w:ascii="Times New Roman" w:hAnsi="Times New Roman" w:cs="Times New Roman"/>
                <w:sz w:val="18"/>
                <w:szCs w:val="18"/>
                <w:shd w:val="clear" w:color="auto" w:fill="FFFFFF"/>
                <w14:ligatures w14:val="none"/>
              </w:rPr>
              <w:t xml:space="preserve"> </w:t>
            </w:r>
            <w:proofErr w:type="spellStart"/>
            <w:r w:rsidRPr="00501ECB">
              <w:rPr>
                <w:rFonts w:ascii="Times New Roman" w:hAnsi="Times New Roman" w:cs="Times New Roman"/>
                <w:sz w:val="18"/>
                <w:szCs w:val="18"/>
                <w:shd w:val="clear" w:color="auto" w:fill="FFFFFF"/>
                <w14:ligatures w14:val="none"/>
              </w:rPr>
              <w:t>Bysjön</w:t>
            </w:r>
            <w:proofErr w:type="spellEnd"/>
            <w:r>
              <w:rPr>
                <w:rFonts w:ascii="Times New Roman" w:hAnsi="Times New Roman" w:cs="Times New Roman"/>
                <w:sz w:val="18"/>
                <w:szCs w:val="18"/>
                <w:shd w:val="clear" w:color="auto" w:fill="FFFFFF"/>
                <w14:ligatures w14:val="none"/>
              </w:rPr>
              <w:t xml:space="preserve"> </w:t>
            </w:r>
            <w:proofErr w:type="spellStart"/>
            <w:r w:rsidRPr="00501ECB">
              <w:rPr>
                <w:color w:val="000000"/>
                <w:sz w:val="18"/>
                <w:szCs w:val="18"/>
                <w14:ligatures w14:val="none"/>
              </w:rPr>
              <w:t>Lake,</w:t>
            </w:r>
            <w:r w:rsidRPr="00501ECB">
              <w:rPr>
                <w:rFonts w:ascii="Times New Roman" w:eastAsia="Times New Roman" w:hAnsi="Times New Roman" w:cs="Times New Roman"/>
                <w:color w:val="000000"/>
                <w:sz w:val="18"/>
                <w:szCs w:val="18"/>
                <w:lang w:eastAsia="nl-BE"/>
                <w14:ligatures w14:val="none"/>
              </w:rPr>
              <w:t>Sweden</w:t>
            </w:r>
            <w:proofErr w:type="spellEnd"/>
            <w:r w:rsidRPr="00501ECB">
              <w:rPr>
                <w:rFonts w:ascii="Times New Roman" w:eastAsia="Times New Roman" w:hAnsi="Times New Roman" w:cs="Times New Roman"/>
                <w:color w:val="000000"/>
                <w:sz w:val="18"/>
                <w:szCs w:val="18"/>
                <w:lang w:eastAsia="nl-BE"/>
                <w14:ligatures w14:val="none"/>
              </w:rPr>
              <w:t xml:space="preserve"> </w:t>
            </w:r>
            <w:r w:rsidRPr="00C628D6">
              <w:rPr>
                <w:color w:val="000000"/>
                <w:sz w:val="18"/>
                <w:szCs w:val="18"/>
                <w14:ligatures w14:val="none"/>
              </w:rPr>
              <w:t xml:space="preserve"> </w:t>
            </w:r>
          </w:p>
        </w:tc>
        <w:tc>
          <w:tcPr>
            <w:tcW w:w="1117" w:type="dxa"/>
          </w:tcPr>
          <w:p w14:paraId="280B51F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553874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007AA5B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7C34F46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1692500C"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061595D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74C947C7" w14:textId="77F53359" w:rsidR="00F50D9D" w:rsidRPr="00501ECB" w:rsidRDefault="00243851" w:rsidP="00D059B1">
            <w:pPr>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A</w:t>
            </w:r>
            <w:r w:rsidR="00E752BD" w:rsidRPr="00E752BD">
              <w:rPr>
                <w:rFonts w:ascii="Times New Roman" w:eastAsia="Times New Roman" w:hAnsi="Times New Roman" w:cs="Times New Roman"/>
                <w:color w:val="000000"/>
                <w:sz w:val="18"/>
                <w:szCs w:val="18"/>
                <w:lang w:eastAsia="nl-BE"/>
                <w14:ligatures w14:val="none"/>
              </w:rPr>
              <w:t>verage</w:t>
            </w:r>
            <w:proofErr w:type="spellEnd"/>
            <w:r w:rsidR="00E752BD" w:rsidRPr="00E752BD">
              <w:rPr>
                <w:rFonts w:ascii="Times New Roman" w:eastAsia="Times New Roman" w:hAnsi="Times New Roman" w:cs="Times New Roman"/>
                <w:color w:val="000000"/>
                <w:sz w:val="18"/>
                <w:szCs w:val="18"/>
                <w:lang w:eastAsia="nl-BE"/>
                <w14:ligatures w14:val="none"/>
              </w:rPr>
              <w:t xml:space="preserve"> 29,427 </w:t>
            </w:r>
            <w:proofErr w:type="spellStart"/>
            <w:r w:rsidR="00E752BD" w:rsidRPr="00E752BD">
              <w:rPr>
                <w:rFonts w:ascii="Times New Roman" w:eastAsia="Times New Roman" w:hAnsi="Times New Roman" w:cs="Times New Roman"/>
                <w:color w:val="000000"/>
                <w:sz w:val="18"/>
                <w:szCs w:val="18"/>
                <w:lang w:eastAsia="nl-BE"/>
                <w14:ligatures w14:val="none"/>
              </w:rPr>
              <w:t>reads</w:t>
            </w:r>
            <w:proofErr w:type="spellEnd"/>
            <w:r w:rsidR="00E752BD" w:rsidRPr="00E752BD">
              <w:rPr>
                <w:rFonts w:ascii="Times New Roman" w:eastAsia="Times New Roman" w:hAnsi="Times New Roman" w:cs="Times New Roman"/>
                <w:color w:val="000000"/>
                <w:sz w:val="18"/>
                <w:szCs w:val="18"/>
                <w:lang w:eastAsia="nl-BE"/>
                <w14:ligatures w14:val="none"/>
              </w:rPr>
              <w:t xml:space="preserve"> per sample</w:t>
            </w:r>
          </w:p>
        </w:tc>
        <w:tc>
          <w:tcPr>
            <w:tcW w:w="1275" w:type="dxa"/>
          </w:tcPr>
          <w:p w14:paraId="0521CC12" w14:textId="6AA270AB"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PRJNA498417</w:t>
            </w:r>
          </w:p>
        </w:tc>
        <w:tc>
          <w:tcPr>
            <w:tcW w:w="1134" w:type="dxa"/>
          </w:tcPr>
          <w:p w14:paraId="7C9E9126" w14:textId="71D6195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Macke </w:t>
            </w:r>
            <w:r w:rsidRPr="00F50612">
              <w:rPr>
                <w:rFonts w:ascii="Times New Roman" w:eastAsia="Times New Roman" w:hAnsi="Times New Roman" w:cs="Times New Roman"/>
                <w:i/>
                <w:iCs/>
                <w:color w:val="000000"/>
                <w:sz w:val="18"/>
                <w:szCs w:val="18"/>
                <w:lang w:val="en-US" w:eastAsia="nl-BE"/>
                <w14:ligatures w14:val="none"/>
              </w:rPr>
              <w:t xml:space="preserve">et al., </w:t>
            </w:r>
            <w:r w:rsidRPr="00501ECB">
              <w:rPr>
                <w:rFonts w:ascii="Times New Roman" w:eastAsia="Times New Roman" w:hAnsi="Times New Roman" w:cs="Times New Roman"/>
                <w:color w:val="000000"/>
                <w:sz w:val="18"/>
                <w:szCs w:val="18"/>
                <w:lang w:val="en-US" w:eastAsia="nl-BE"/>
                <w14:ligatures w14:val="none"/>
              </w:rPr>
              <w:t>2020</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{"citationID":"jVdX9pGs","properties":{"formattedCitation":"[6]","plainCitation":"[6]","noteIndex":0},"citationItems":[{"id":678,"uris":["http://zotero.org/users/12047481/items/HNSRGNRI"],"itemData":{"id":678,"type":"article-journal","abstract":"&lt;p&gt;In spite of the growing interest in the role of the gut microbiome (GM) in host physiology and health, the mechanisms governing its assembly and its effects on the environment are poorly understood. In this article, we show that the host genotype and the GM of &lt;italic&gt;Daphnia&lt;/italic&gt; influence the community structure of the surrounding bacterioplankton (BPK). When &lt;italic&gt;Daphnia&lt;/italic&gt; genotypes were placed in an identical environment, both the GM and BPK showed a genotype and diet-dependent taxonomic composition. Overall, the GM strongly differed from the BPK in taxonomic composition and was characterized by a lower α-diversity, suggesting a selective rejecting of bacteria from the regional species pool. In a microbiome transplant experiment, the assembly of both the GM and BPK was strongly affected by the host genotype and the inoculum to which germ-free &lt;italic&gt;Daphnia&lt;/italic&gt; were exposed. The combination of these results suggests a strong interaction between the host genotype, its GM and free-living microbial communities. Currently, it is generally assumed that an animal’s diet has a strong effect on the animal’s GM, but only a negligible (if any) effect on the surrounding environment. However, our results indicate that the diet/microbiome inocula have a small effect on the gut community and a large effect on the community in the surrounding environment. This structuring genotype × microbiome × environment effect is an essential prerequisite that could indicate that microbiomes play an important role in eco-evolutionary processes.&lt;/p&gt;","container-title":"Frontiers in Microbiology","DOI":"10.3389/fmicb.2020.00380","ISSN":"1664-302X","journalAbbreviation":"Front. Microbiol.","language":"English","note":"publisher: Frontiers","source":"Frontiers","title":"Diet and Genotype of an Aquatic Invertebrate Affect the Composition of Free-Living Microbial Communities","URL":"https://www.frontiersin.org/journals/microbiology/articles/10.3389/fmicb.2020.00380/full","volume":"11","author":[{"family":"Macke","given":"Emilie"},{"family":"Callens","given":"Martijn"},{"family":"Massol","given":"Francois"},{"family":"Vanoverberghe","given":"Isabel"},{"family":"De Meester","given":"Luc"},{"family":"Decaestecker","given":"Ellen"}],"accessed":{"date-parts":[["2025",1,22]]},"issued":{"date-parts":[["2020",3,17]]}}}],"schema":"https://github.com/citation-style-language/schema/raw/master/csl-citation.json"}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20B43">
              <w:rPr>
                <w:rFonts w:ascii="Times New Roman" w:hAnsi="Times New Roman" w:cs="Times New Roman"/>
                <w:sz w:val="18"/>
              </w:rPr>
              <w:t>[6]</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6A334B0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488DE13F" w14:textId="77777777" w:rsidTr="00F50D9D">
        <w:tc>
          <w:tcPr>
            <w:tcW w:w="388" w:type="dxa"/>
          </w:tcPr>
          <w:p w14:paraId="0E5C2EA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6.</w:t>
            </w:r>
          </w:p>
        </w:tc>
        <w:tc>
          <w:tcPr>
            <w:tcW w:w="996" w:type="dxa"/>
          </w:tcPr>
          <w:p w14:paraId="01760081"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01E0024A"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BSW7,F clone, KNO, OM2, NIES</w:t>
            </w:r>
          </w:p>
          <w:p w14:paraId="50AF6AC5" w14:textId="77777777" w:rsidR="00C26A85" w:rsidRPr="00C06356" w:rsidRDefault="00C26A85" w:rsidP="006C4573">
            <w:pPr>
              <w:jc w:val="both"/>
              <w:rPr>
                <w:rFonts w:ascii="Times New Roman" w:eastAsia="Times New Roman" w:hAnsi="Times New Roman" w:cs="Times New Roman"/>
                <w:color w:val="000000"/>
                <w:sz w:val="18"/>
                <w:szCs w:val="18"/>
                <w:lang w:val="en-US" w:eastAsia="nl-BE"/>
                <w14:ligatures w14:val="none"/>
              </w:rPr>
            </w:pPr>
          </w:p>
          <w:p w14:paraId="26FE0DD0" w14:textId="28360F9E" w:rsidR="00C26A85" w:rsidRPr="00C26A85" w:rsidRDefault="00C26A85" w:rsidP="006C4573">
            <w:pPr>
              <w:jc w:val="both"/>
              <w:rPr>
                <w:rFonts w:ascii="Times New Roman" w:eastAsia="Times New Roman" w:hAnsi="Times New Roman" w:cs="Times New Roman"/>
                <w:color w:val="000000"/>
                <w:sz w:val="18"/>
                <w:szCs w:val="18"/>
                <w:lang w:val="en-US" w:eastAsia="nl-BE"/>
                <w14:ligatures w14:val="none"/>
              </w:rPr>
            </w:pPr>
            <w:r w:rsidRPr="00C26A85">
              <w:rPr>
                <w:rFonts w:ascii="Times New Roman" w:eastAsia="Times New Roman" w:hAnsi="Times New Roman" w:cs="Times New Roman"/>
                <w:color w:val="000000"/>
                <w:sz w:val="18"/>
                <w:szCs w:val="18"/>
                <w:lang w:val="en-US" w:eastAsia="nl-BE"/>
                <w14:ligatures w14:val="none"/>
              </w:rPr>
              <w:t>guts of three individuals were dissected</w:t>
            </w:r>
            <w:r>
              <w:rPr>
                <w:rFonts w:ascii="Times New Roman" w:eastAsia="Times New Roman" w:hAnsi="Times New Roman" w:cs="Times New Roman"/>
                <w:color w:val="000000"/>
                <w:sz w:val="18"/>
                <w:szCs w:val="18"/>
                <w:lang w:val="en-US" w:eastAsia="nl-BE"/>
                <w14:ligatures w14:val="none"/>
              </w:rPr>
              <w:t xml:space="preserve"> and pooled per replicate per clone</w:t>
            </w:r>
          </w:p>
        </w:tc>
        <w:tc>
          <w:tcPr>
            <w:tcW w:w="1093" w:type="dxa"/>
          </w:tcPr>
          <w:p w14:paraId="7B6499D6" w14:textId="77777777"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Composition</w:t>
            </w:r>
            <w:proofErr w:type="spellEnd"/>
            <w:r w:rsidRPr="00501ECB">
              <w:rPr>
                <w:rFonts w:ascii="Times New Roman" w:eastAsia="Times New Roman" w:hAnsi="Times New Roman" w:cs="Times New Roman"/>
                <w:color w:val="000000"/>
                <w:sz w:val="18"/>
                <w:szCs w:val="18"/>
                <w:lang w:eastAsia="nl-BE"/>
                <w14:ligatures w14:val="none"/>
              </w:rPr>
              <w:t xml:space="preserve"> of </w:t>
            </w:r>
            <w:proofErr w:type="spellStart"/>
            <w:r w:rsidRPr="00501ECB">
              <w:rPr>
                <w:rFonts w:ascii="Times New Roman" w:eastAsia="Times New Roman" w:hAnsi="Times New Roman" w:cs="Times New Roman"/>
                <w:color w:val="000000"/>
                <w:sz w:val="18"/>
                <w:szCs w:val="18"/>
                <w:lang w:eastAsia="nl-BE"/>
                <w14:ligatures w14:val="none"/>
              </w:rPr>
              <w:t>environmental</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bacteria</w:t>
            </w:r>
            <w:proofErr w:type="spellEnd"/>
          </w:p>
        </w:tc>
        <w:tc>
          <w:tcPr>
            <w:tcW w:w="738" w:type="dxa"/>
          </w:tcPr>
          <w:p w14:paraId="5D6E91B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0C8B76D1" w14:textId="75EEA7AA"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sz w:val="18"/>
                <w:szCs w:val="18"/>
                <w:shd w:val="clear" w:color="auto" w:fill="FFFFFF"/>
                <w:lang w:val="en-US" w:eastAsia="nl-BE"/>
                <w14:ligatures w14:val="none"/>
              </w:rPr>
              <w:t>Bysjön</w:t>
            </w:r>
            <w:proofErr w:type="spellEnd"/>
            <w:r w:rsidRPr="00501ECB">
              <w:rPr>
                <w:rFonts w:ascii="Times New Roman" w:eastAsia="Times New Roman" w:hAnsi="Times New Roman" w:cs="Times New Roman"/>
                <w:color w:val="000000"/>
                <w:sz w:val="18"/>
                <w:szCs w:val="18"/>
                <w:lang w:val="en-US" w:eastAsia="nl-BE"/>
                <w14:ligatures w14:val="none"/>
              </w:rPr>
              <w:t xml:space="preserve"> Lake, Sweden, </w:t>
            </w:r>
            <w:r w:rsidRPr="00C628D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 xml:space="preserve">Knokke, </w:t>
            </w:r>
            <w:proofErr w:type="spellStart"/>
            <w:r w:rsidRPr="00501ECB">
              <w:rPr>
                <w:rFonts w:ascii="Times New Roman" w:eastAsia="Times New Roman" w:hAnsi="Times New Roman" w:cs="Times New Roman"/>
                <w:color w:val="000000"/>
                <w:sz w:val="18"/>
                <w:szCs w:val="18"/>
                <w:lang w:val="en-US" w:eastAsia="nl-BE"/>
                <w14:ligatures w14:val="none"/>
              </w:rPr>
              <w:t>Heverlee</w:t>
            </w:r>
            <w:proofErr w:type="spellEnd"/>
            <w:r w:rsidRPr="00501ECB">
              <w:rPr>
                <w:rFonts w:ascii="Times New Roman" w:eastAsia="Times New Roman" w:hAnsi="Times New Roman" w:cs="Times New Roman"/>
                <w:color w:val="000000"/>
                <w:sz w:val="18"/>
                <w:szCs w:val="18"/>
                <w:lang w:val="en-US" w:eastAsia="nl-BE"/>
                <w14:ligatures w14:val="none"/>
              </w:rPr>
              <w:t xml:space="preserve">, Belgium, </w:t>
            </w:r>
            <w:r w:rsidRPr="00C628D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Tsukuba</w:t>
            </w:r>
            <w:r w:rsidRPr="00C628D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Japan</w:t>
            </w:r>
          </w:p>
        </w:tc>
        <w:tc>
          <w:tcPr>
            <w:tcW w:w="1117" w:type="dxa"/>
          </w:tcPr>
          <w:p w14:paraId="5D59F1C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E9D9F4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5FF38EC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1DB84B8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Phenol-Chloroform-Isoamylalcohol Extraction</w:t>
            </w:r>
          </w:p>
        </w:tc>
        <w:tc>
          <w:tcPr>
            <w:tcW w:w="959" w:type="dxa"/>
          </w:tcPr>
          <w:p w14:paraId="4236EDA3"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50474D65"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19C3BD82" w14:textId="7396BD3B" w:rsidR="00F50D9D" w:rsidRPr="00C26A85" w:rsidRDefault="00243851" w:rsidP="00D059B1">
            <w:pPr>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Average </w:t>
            </w:r>
            <w:r w:rsidR="00C26A85" w:rsidRPr="00C26A85">
              <w:rPr>
                <w:rFonts w:ascii="Times New Roman" w:eastAsia="Times New Roman" w:hAnsi="Times New Roman" w:cs="Times New Roman"/>
                <w:color w:val="000000"/>
                <w:sz w:val="18"/>
                <w:szCs w:val="18"/>
                <w:lang w:val="en-US" w:eastAsia="nl-BE"/>
                <w14:ligatures w14:val="none"/>
              </w:rPr>
              <w:t xml:space="preserve"> 38 688 reads per sample</w:t>
            </w:r>
          </w:p>
        </w:tc>
        <w:tc>
          <w:tcPr>
            <w:tcW w:w="1275" w:type="dxa"/>
          </w:tcPr>
          <w:p w14:paraId="5A710AF5" w14:textId="68D3A091"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34" w:type="dxa"/>
          </w:tcPr>
          <w:p w14:paraId="3DBE4F17" w14:textId="3B91CEA6"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Callens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2020</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{"citationID":"saY9pyMt","properties":{"formattedCitation":"[7]","plainCitation":"[7]","noteIndex":0},"citationItems":[{"id":710,"uris":["http://zotero.org/users/12047481/items/4MEFRSTH"],"itemData":{"id":710,"type":"article-journal","abstract":"The assembly of host-associated bacterial communities is influenced by a multitude of biotic and abiotic factors. It is essential to gain insight in the impact and relative strength of these factors if we want to be able to predict the effects of environmental change on the assembly of host-associated bacterial communities, or deliberately modify them. The environmental pool of bacteria, from which the host is colonized, and the genetic background of the host are both considered to be important in determining the composition of host-associated bacterial communities. We experimentally assessed the relative importance of these two factors and their interaction on the composition of Daphnia magna gut bacterial communities. Bacterioplankton originating from natural ponds or a laboratory culture were used to inoculate germ-free Daphnia of different genotypes. We found that the composition of the environmental bacterial community has a major influence on the Daphnia gut bacterial community, both reflected by the presence or absence of specific taxa as well as by a correlation between abundances in the environment and on the host. Our data also indicate a consistent effect of host genotype on the occurrence of specific bacterial taxa in the gut of Daphnia over different environments., The assembly of the Daphnia magna gut microbiota is strongly influenced by the composition of the environmental bacterioplankton community, and additionally structured by the host genetic background.","container-title":"FEMS Microbiology Ecology","DOI":"10.1093/femsec/fiaa128","ISSN":"0168-6496","issue":"8","journalAbbreviation":"FEMS Microbiol Ecol","note":"PMID: 32573725\nPMCID: PMC7360484","page":"fiaa128","source":"PubMed Central","title":"The bacterioplankton community composition and a host genotype dependent occurrence of taxa shape the Daphnia magna gut bacterial community","volume":"96","author":[{"family":"Callens","given":"Martijn"},{"family":"De Meester","given":"Luc"},{"family":"Muylaert","given":"Koenraad"},{"family":"Mukherjee","given":"Shinjini"},{"family":"Decaestecker","given":"Ellen"}],"issued":{"date-parts":[["2020",6,23]]}}}],"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[7]</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8ED0962" w14:textId="157F1702"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58E3ADFF" w14:textId="77777777" w:rsidTr="00F50D9D">
        <w:tc>
          <w:tcPr>
            <w:tcW w:w="388" w:type="dxa"/>
          </w:tcPr>
          <w:p w14:paraId="0607164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7.</w:t>
            </w:r>
          </w:p>
        </w:tc>
        <w:tc>
          <w:tcPr>
            <w:tcW w:w="996" w:type="dxa"/>
          </w:tcPr>
          <w:p w14:paraId="58EDE327"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557265AD"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8A</w:t>
            </w:r>
          </w:p>
          <w:p w14:paraId="5BBEC2B1" w14:textId="77777777" w:rsidR="00C26A85" w:rsidRDefault="00C26A85" w:rsidP="006C4573">
            <w:pPr>
              <w:jc w:val="both"/>
              <w:rPr>
                <w:rFonts w:ascii="Times New Roman" w:eastAsia="Times New Roman" w:hAnsi="Times New Roman" w:cs="Times New Roman"/>
                <w:i/>
                <w:iCs/>
                <w:color w:val="000000"/>
                <w:sz w:val="18"/>
                <w:szCs w:val="18"/>
                <w:lang w:val="en-US" w:eastAsia="nl-BE"/>
                <w14:ligatures w14:val="none"/>
              </w:rPr>
            </w:pPr>
          </w:p>
          <w:p w14:paraId="39302EB4" w14:textId="5FF4ED82" w:rsidR="00C26A85" w:rsidRPr="00243851" w:rsidRDefault="00243851"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i/>
                <w:iCs/>
                <w:color w:val="000000"/>
                <w:sz w:val="18"/>
                <w:szCs w:val="18"/>
                <w:lang w:val="en-US" w:eastAsia="nl-BE"/>
                <w14:ligatures w14:val="none"/>
              </w:rPr>
              <w:t>D. magna</w:t>
            </w:r>
            <w:r w:rsidRPr="00243851">
              <w:rPr>
                <w:rFonts w:ascii="Times New Roman" w:eastAsia="Times New Roman" w:hAnsi="Times New Roman" w:cs="Times New Roman"/>
                <w:color w:val="000000"/>
                <w:sz w:val="18"/>
                <w:szCs w:val="18"/>
                <w:lang w:val="en-US" w:eastAsia="nl-BE"/>
                <w14:ligatures w14:val="none"/>
              </w:rPr>
              <w:t xml:space="preserve"> from each treatment were pooled in sets of 10 in 1.5-ml microcentrifuge tubes for DNA extraction and processing (</w:t>
            </w:r>
            <w:r w:rsidRPr="00243851">
              <w:rPr>
                <w:rFonts w:ascii="Times New Roman" w:eastAsia="Times New Roman" w:hAnsi="Times New Roman" w:cs="Times New Roman"/>
                <w:i/>
                <w:iCs/>
                <w:color w:val="000000"/>
                <w:sz w:val="18"/>
                <w:szCs w:val="18"/>
                <w:lang w:val="en-US" w:eastAsia="nl-BE"/>
                <w14:ligatures w14:val="none"/>
              </w:rPr>
              <w:t>n</w:t>
            </w:r>
            <w:r w:rsidRPr="00243851">
              <w:rPr>
                <w:rFonts w:ascii="Times New Roman" w:eastAsia="Times New Roman" w:hAnsi="Times New Roman" w:cs="Times New Roman"/>
                <w:color w:val="000000"/>
                <w:sz w:val="18"/>
                <w:szCs w:val="18"/>
                <w:lang w:val="en-US" w:eastAsia="nl-BE"/>
                <w14:ligatures w14:val="none"/>
              </w:rPr>
              <w:t> = 4 per treatment).</w:t>
            </w:r>
          </w:p>
        </w:tc>
        <w:tc>
          <w:tcPr>
            <w:tcW w:w="1093" w:type="dxa"/>
          </w:tcPr>
          <w:p w14:paraId="087C799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Sulfamethoxazole, Erythromycin, Aztreonam exposure</w:t>
            </w:r>
          </w:p>
        </w:tc>
        <w:tc>
          <w:tcPr>
            <w:tcW w:w="738" w:type="dxa"/>
          </w:tcPr>
          <w:p w14:paraId="2A50A92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7A25875F" w14:textId="0F422F42"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Leitholm</w:t>
            </w:r>
            <w:proofErr w:type="spellEnd"/>
            <w:r w:rsidRPr="00501ECB">
              <w:rPr>
                <w:rFonts w:ascii="Times New Roman" w:eastAsia="Times New Roman" w:hAnsi="Times New Roman" w:cs="Times New Roman"/>
                <w:color w:val="000000"/>
                <w:sz w:val="18"/>
                <w:szCs w:val="18"/>
                <w:lang w:val="en-US" w:eastAsia="nl-BE"/>
                <w14:ligatures w14:val="none"/>
              </w:rPr>
              <w:t xml:space="preserve"> UK</w:t>
            </w:r>
          </w:p>
        </w:tc>
        <w:tc>
          <w:tcPr>
            <w:tcW w:w="1117" w:type="dxa"/>
          </w:tcPr>
          <w:p w14:paraId="0CC740D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30E952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717BC87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34C7316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Blood and </w:t>
            </w:r>
            <w:proofErr w:type="spellStart"/>
            <w:r w:rsidRPr="00501ECB">
              <w:rPr>
                <w:rFonts w:ascii="Times New Roman" w:eastAsia="Times New Roman" w:hAnsi="Times New Roman" w:cs="Times New Roman"/>
                <w:color w:val="000000"/>
                <w:sz w:val="18"/>
                <w:szCs w:val="18"/>
                <w:lang w:val="en-US" w:eastAsia="nl-BE"/>
                <w14:ligatures w14:val="none"/>
              </w:rPr>
              <w:t>TissueKit</w:t>
            </w:r>
            <w:proofErr w:type="spellEnd"/>
            <w:r w:rsidRPr="00501ECB">
              <w:rPr>
                <w:rFonts w:ascii="Times New Roman" w:eastAsia="Times New Roman" w:hAnsi="Times New Roman" w:cs="Times New Roman"/>
                <w:color w:val="000000"/>
                <w:sz w:val="18"/>
                <w:szCs w:val="18"/>
                <w:lang w:val="en-US" w:eastAsia="nl-BE"/>
                <w14:ligatures w14:val="none"/>
              </w:rPr>
              <w:t xml:space="preserve"> (Qiagen)</w:t>
            </w:r>
          </w:p>
        </w:tc>
        <w:tc>
          <w:tcPr>
            <w:tcW w:w="959" w:type="dxa"/>
          </w:tcPr>
          <w:p w14:paraId="58BF666E"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41C9694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00405F6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75" w:type="dxa"/>
          </w:tcPr>
          <w:p w14:paraId="66D857B4" w14:textId="0549EE1C"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PRJNA543842</w:t>
            </w:r>
          </w:p>
        </w:tc>
        <w:tc>
          <w:tcPr>
            <w:tcW w:w="1134" w:type="dxa"/>
          </w:tcPr>
          <w:p w14:paraId="14A973DA" w14:textId="2E8410CF"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R Cooper</w:t>
            </w:r>
            <w:r>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sidRPr="00501ECB">
              <w:rPr>
                <w:rFonts w:ascii="Times New Roman" w:eastAsia="Times New Roman" w:hAnsi="Times New Roman" w:cs="Times New Roman"/>
                <w:color w:val="000000"/>
                <w:sz w:val="18"/>
                <w:szCs w:val="18"/>
                <w:lang w:val="en-US" w:eastAsia="nl-BE"/>
                <w14:ligatures w14:val="none"/>
              </w:rPr>
              <w:t xml:space="preserve"> 2020</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{"citationID":"KluMyZdI","properties":{"formattedCitation":"[8]","plainCitation":"[8]","noteIndex":0},"citationItems":[{"id":516,"uris":["http://zotero.org/users/12047481/items/MLX7YWII"],"itemData":{"id":516,"type":"article-journal","abstract":"Host-associated microbes contribute to host fitness, but it is unclear whether these contributions are from rare keystone taxa, numerically abundant taxa, or interactions among community members. Experimental perturbation of the microbiota can highlight functionally important taxa; however, this approach is primarily applied in systems with complex communities where the perturbation affects hundreds of taxa, making it difficult to pinpoint contributions of key community members. Here, we use the ecological model organism Daphnia magna to examine the importance of rare and abundant taxa by perturbing its relatively simple microbiota with targeted antibiotics. We used sublethal antibiotic doses to target either rare or abundant members across two temperatures and then measured key host life history metrics and shifts in microbial community composition. We find that removal of abundant taxa had greater impacts on host fitness than did removal of rare taxa and that the abundances of nontarget taxa were impacted by antibiotic treatment, suggesting that no rare keystone taxa exist in the Daphnia magna microbiota but that microbe-microbe interactions may play a role in host fitness. We also find that microbial community composition was impacted by antibiotics differently across temperatures, indicating that ecological context shapes within-host microbial responses and effects on host fitness.IMPORTANCE Understanding the contributions of rare and abundant taxa to host fitness is an outstanding question in host microbial ecology. In this study, we use the model zooplankton Daphnia magna and its relatively simple cohort of bacterial taxa to disentangle the roles of distinct taxa in host life history metrics, using a suite of antibiotics to selectively reduce the abundance of functionally important taxa. We also examine how environmental context shapes the importance of these bacterial taxa in host fitness.","container-title":"mSystems","DOI":"10.1128/msystems.00916-20","issue":"2","note":"publisher: American Society for Microbiology","page":"10.1128/msystems.00916-20","source":"journals-asm-org.kuleuven.e-bronnen.be (Atypon)","title":"Targeted Manipulation of Abundant and Rare Taxa in the Daphnia magna Microbiota with Antibiotics Impacts Host Fitness Differentially","volume":"6","author":[{"family":"Cooper","given":"Reilly O."},{"family":"Vavra","given":"Janna M."},{"family":"Cressler","given":"Clayton E."}],"issued":{"date-parts":[["2021",4,6]]}}}],"schema":"https://github.com/citation-style-language/schema/raw/master/csl-citation.json"}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[8]</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3CE3568"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19792542" w14:textId="77777777" w:rsidTr="00F50D9D">
        <w:tc>
          <w:tcPr>
            <w:tcW w:w="388" w:type="dxa"/>
          </w:tcPr>
          <w:p w14:paraId="3196F9F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8.</w:t>
            </w:r>
          </w:p>
        </w:tc>
        <w:tc>
          <w:tcPr>
            <w:tcW w:w="996" w:type="dxa"/>
          </w:tcPr>
          <w:p w14:paraId="0800228B"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A3E007F" w14:textId="77777777" w:rsidR="00F50D9D"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BH, ZWE, L, K, OM2, T8,</w:t>
            </w:r>
          </w:p>
          <w:p w14:paraId="6303182B" w14:textId="77777777" w:rsidR="004137FC" w:rsidRDefault="004137FC" w:rsidP="006C4573">
            <w:pPr>
              <w:jc w:val="both"/>
              <w:rPr>
                <w:rFonts w:ascii="Times New Roman" w:eastAsia="Times New Roman" w:hAnsi="Times New Roman" w:cs="Times New Roman"/>
                <w:color w:val="000000"/>
                <w:sz w:val="18"/>
                <w:szCs w:val="18"/>
                <w:lang w:eastAsia="nl-BE"/>
                <w14:ligatures w14:val="none"/>
              </w:rPr>
            </w:pPr>
          </w:p>
          <w:p w14:paraId="0839EF9D" w14:textId="30092055" w:rsidR="004137FC" w:rsidRPr="004137FC" w:rsidRDefault="004137FC" w:rsidP="006C4573">
            <w:pPr>
              <w:jc w:val="both"/>
              <w:rPr>
                <w:rFonts w:ascii="Times New Roman" w:eastAsia="Times New Roman" w:hAnsi="Times New Roman" w:cs="Times New Roman"/>
                <w:color w:val="000000"/>
                <w:sz w:val="18"/>
                <w:szCs w:val="18"/>
                <w:lang w:val="en-US" w:eastAsia="nl-BE"/>
                <w14:ligatures w14:val="none"/>
              </w:rPr>
            </w:pPr>
            <w:r w:rsidRPr="004137FC">
              <w:rPr>
                <w:rFonts w:ascii="Times New Roman" w:eastAsia="Times New Roman" w:hAnsi="Times New Roman" w:cs="Times New Roman"/>
                <w:color w:val="000000"/>
                <w:sz w:val="18"/>
                <w:szCs w:val="18"/>
                <w:lang w:val="en-US" w:eastAsia="nl-BE"/>
                <w14:ligatures w14:val="none"/>
              </w:rPr>
              <w:t xml:space="preserve">10 individuals </w:t>
            </w:r>
            <w:r w:rsidRPr="004137FC">
              <w:rPr>
                <w:rFonts w:ascii="Times New Roman" w:eastAsia="Times New Roman" w:hAnsi="Times New Roman" w:cs="Times New Roman"/>
                <w:color w:val="000000"/>
                <w:sz w:val="18"/>
                <w:szCs w:val="18"/>
                <w:lang w:val="en-US" w:eastAsia="nl-BE"/>
                <w14:ligatures w14:val="none"/>
              </w:rPr>
              <w:lastRenderedPageBreak/>
              <w:t>pooled per replicate p</w:t>
            </w:r>
            <w:r>
              <w:rPr>
                <w:rFonts w:ascii="Times New Roman" w:eastAsia="Times New Roman" w:hAnsi="Times New Roman" w:cs="Times New Roman"/>
                <w:color w:val="000000"/>
                <w:sz w:val="18"/>
                <w:szCs w:val="18"/>
                <w:lang w:val="en-US" w:eastAsia="nl-BE"/>
                <w14:ligatures w14:val="none"/>
              </w:rPr>
              <w:t xml:space="preserve">er clone for recipients gut isolation and </w:t>
            </w:r>
            <w:r w:rsidRPr="004137FC">
              <w:rPr>
                <w:rFonts w:ascii="Times New Roman" w:eastAsia="Times New Roman" w:hAnsi="Times New Roman" w:cs="Times New Roman"/>
                <w:color w:val="000000"/>
                <w:sz w:val="18"/>
                <w:szCs w:val="18"/>
                <w:lang w:val="en-US" w:eastAsia="nl-BE"/>
                <w14:ligatures w14:val="none"/>
              </w:rPr>
              <w:t>25 individuals per donor region × diet combination were randomly isolated for gut dissection</w:t>
            </w:r>
            <w:r>
              <w:rPr>
                <w:rFonts w:ascii="Times New Roman" w:eastAsia="Times New Roman" w:hAnsi="Times New Roman" w:cs="Times New Roman"/>
                <w:color w:val="000000"/>
                <w:sz w:val="18"/>
                <w:szCs w:val="18"/>
                <w:lang w:val="en-US" w:eastAsia="nl-BE"/>
                <w14:ligatures w14:val="none"/>
              </w:rPr>
              <w:t xml:space="preserve"> for donor population</w:t>
            </w:r>
          </w:p>
        </w:tc>
        <w:tc>
          <w:tcPr>
            <w:tcW w:w="1093" w:type="dxa"/>
          </w:tcPr>
          <w:p w14:paraId="31AA079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Role of local microbiome on exposure to toxic Microcystis</w:t>
            </w:r>
          </w:p>
        </w:tc>
        <w:tc>
          <w:tcPr>
            <w:tcW w:w="738" w:type="dxa"/>
          </w:tcPr>
          <w:p w14:paraId="62F2167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6B7A1723" w14:textId="345DEB04"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Kortrijk, Leuven, OHZ, Heverlee</w:t>
            </w:r>
            <w:r w:rsidRPr="00C628D6">
              <w:rPr>
                <w:rFonts w:ascii="Times New Roman" w:eastAsia="Times New Roman" w:hAnsi="Times New Roman" w:cs="Times New Roman"/>
                <w:color w:val="000000"/>
                <w:sz w:val="18"/>
                <w:szCs w:val="18"/>
                <w:lang w:eastAsia="nl-BE"/>
                <w14:ligatures w14:val="none"/>
              </w:rPr>
              <w:t xml:space="preserve"> </w:t>
            </w:r>
            <w:r w:rsidRPr="00501ECB">
              <w:rPr>
                <w:rFonts w:ascii="Times New Roman" w:eastAsia="Times New Roman" w:hAnsi="Times New Roman" w:cs="Times New Roman"/>
                <w:color w:val="000000"/>
                <w:sz w:val="18"/>
                <w:szCs w:val="18"/>
                <w:lang w:eastAsia="nl-BE"/>
                <w14:ligatures w14:val="none"/>
              </w:rPr>
              <w:t>Belgium</w:t>
            </w:r>
          </w:p>
        </w:tc>
        <w:tc>
          <w:tcPr>
            <w:tcW w:w="1117" w:type="dxa"/>
          </w:tcPr>
          <w:p w14:paraId="45D6959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434E59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0C59C79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6B4B135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3A31095B"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w:t>
            </w:r>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paired-end reads</w:t>
            </w:r>
          </w:p>
          <w:p w14:paraId="0640B68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34A0BEBF" w14:textId="3C5DB059" w:rsidR="00F50D9D" w:rsidRPr="00501ECB" w:rsidRDefault="00243851"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lastRenderedPageBreak/>
              <w:t>A</w:t>
            </w:r>
            <w:r w:rsidR="004137FC" w:rsidRPr="004137FC">
              <w:rPr>
                <w:rFonts w:ascii="Times New Roman" w:eastAsia="Times New Roman" w:hAnsi="Times New Roman" w:cs="Times New Roman"/>
                <w:color w:val="000000"/>
                <w:sz w:val="18"/>
                <w:szCs w:val="18"/>
                <w:lang w:val="en-US" w:eastAsia="nl-BE"/>
                <w14:ligatures w14:val="none"/>
              </w:rPr>
              <w:t>verage 24,536.38 reads per sample</w:t>
            </w:r>
          </w:p>
        </w:tc>
        <w:tc>
          <w:tcPr>
            <w:tcW w:w="1275" w:type="dxa"/>
          </w:tcPr>
          <w:p w14:paraId="7BA679E1" w14:textId="40987A83"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PRJNA690081</w:t>
            </w:r>
          </w:p>
        </w:tc>
        <w:tc>
          <w:tcPr>
            <w:tcW w:w="1134" w:type="dxa"/>
          </w:tcPr>
          <w:p w14:paraId="3C9EB914" w14:textId="719926D1"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Houwenhuyse </w:t>
            </w:r>
            <w:r w:rsidRPr="00F50612">
              <w:rPr>
                <w:rFonts w:ascii="Times New Roman" w:eastAsia="Times New Roman" w:hAnsi="Times New Roman" w:cs="Times New Roman"/>
                <w:i/>
                <w:iCs/>
                <w:color w:val="000000"/>
                <w:sz w:val="18"/>
                <w:szCs w:val="18"/>
                <w:lang w:val="en-US" w:eastAsia="nl-BE"/>
                <w14:ligatures w14:val="none"/>
              </w:rPr>
              <w:t>et al.,</w:t>
            </w:r>
            <w:r w:rsidRPr="00501ECB">
              <w:rPr>
                <w:rFonts w:ascii="Times New Roman" w:eastAsia="Times New Roman" w:hAnsi="Times New Roman" w:cs="Times New Roman"/>
                <w:color w:val="000000"/>
                <w:sz w:val="18"/>
                <w:szCs w:val="18"/>
                <w:lang w:val="en-US" w:eastAsia="nl-BE"/>
                <w14:ligatures w14:val="none"/>
              </w:rPr>
              <w:t xml:space="preserve"> 2021</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{"citationID":"ayxgb3Yn","properties":{"formattedCitation":"[9]","plainCitation":"[9]","noteIndex":0},"citationItems":[{"id":648,"uris":["http://zotero.org/users/12047481/items/VSRK5G8Q"],"itemData":{"id":648,"type":"article-journal","abstract":"While evidence for the role of the microbiome in shaping host stress tolerance is becoming well-established, to what extent this depends on the interaction between the host and its local microbiome is less clear. Therefore, we investigated whether locally adapted gut microbiomes affect host stress tolerance. In the water flea Daphnia magna, we studied if the host performs better when receiving a microbiome from their source region than from another region when facing a stressful condition, more in particular exposure to the toxic cyanobacteria Microcystis aeruginosa. Therefore, a reciprocal transplant experiment was performed in which recipient, germ-free D. magna, isolated from different ponds, received a donor microbiome from sympatric or allopatric D. magna that were pre-exposed to toxic cyanobacteria or not. We tested for effects on host life history traits and gut microbiome composition. Our data indicate that Daphnia interact with particular microbial strains mediating local adaptation in host stress tolerance. Most recipient D. magna individuals performed better when inoculated with sympatric than with allopatric microbiomes. This effect was most pronounced when the donors were pre-exposed to the toxic cyanobacteria, but this effect was also pond and genotype dependent. We discuss how this host fitness benefit is associated with microbiome diversity patterns.","container-title":"The ISME Journal","DOI":"10.1038/s41396-021-00940-y","ISSN":"1751-7362","issue":"8","journalAbbreviation":"The ISME Journal","page":"2401-2414","source":"Silverchair","title":"Locally adapted gut microbiomes mediate host stress tolerance","volume":"15","author":[{"family":"Houwenhuyse","given":"Shira"},{"family":"Stoks","given":"Robby"},{"family":"Mukherjee","given":"Shinjini"},{"family":"Decaestecker","given":"Ellen"}],"issued":{"date-parts":[["2021",8,1]]}}}],"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[9]</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302F1659"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5A37215B" w14:textId="77777777" w:rsidTr="00F50D9D">
        <w:tc>
          <w:tcPr>
            <w:tcW w:w="388" w:type="dxa"/>
          </w:tcPr>
          <w:p w14:paraId="57970F0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9.</w:t>
            </w:r>
          </w:p>
        </w:tc>
        <w:tc>
          <w:tcPr>
            <w:tcW w:w="996" w:type="dxa"/>
          </w:tcPr>
          <w:p w14:paraId="5929106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21ACC5E5" w14:textId="77777777" w:rsidR="00F50D9D" w:rsidRDefault="00F50D9D" w:rsidP="006C4573">
            <w:pPr>
              <w:jc w:val="both"/>
              <w:rPr>
                <w:rFonts w:ascii="Times New Roman" w:eastAsia="Times New Roman" w:hAnsi="Times New Roman" w:cs="Times New Roman"/>
                <w:color w:val="000000"/>
                <w:sz w:val="18"/>
                <w:szCs w:val="18"/>
                <w:lang w:val="de-DE" w:eastAsia="nl-BE"/>
                <w14:ligatures w14:val="none"/>
              </w:rPr>
            </w:pPr>
            <w:r w:rsidRPr="00501ECB">
              <w:rPr>
                <w:rFonts w:ascii="Times New Roman" w:eastAsia="Times New Roman" w:hAnsi="Times New Roman" w:cs="Times New Roman"/>
                <w:color w:val="000000"/>
                <w:sz w:val="18"/>
                <w:szCs w:val="18"/>
                <w:lang w:val="de-DE" w:eastAsia="nl-BE"/>
                <w14:ligatures w14:val="none"/>
              </w:rPr>
              <w:t>DM1, DM2, DM3, DM4, DM5,</w:t>
            </w:r>
            <w:r w:rsidR="004137FC">
              <w:rPr>
                <w:rFonts w:ascii="Times New Roman" w:eastAsia="Times New Roman" w:hAnsi="Times New Roman" w:cs="Times New Roman"/>
                <w:color w:val="000000"/>
                <w:sz w:val="18"/>
                <w:szCs w:val="18"/>
                <w:lang w:val="de-DE" w:eastAsia="nl-BE"/>
                <w14:ligatures w14:val="none"/>
              </w:rPr>
              <w:t xml:space="preserve"> </w:t>
            </w:r>
            <w:r w:rsidRPr="00501ECB">
              <w:rPr>
                <w:rFonts w:ascii="Times New Roman" w:eastAsia="Times New Roman" w:hAnsi="Times New Roman" w:cs="Times New Roman"/>
                <w:color w:val="000000"/>
                <w:sz w:val="18"/>
                <w:szCs w:val="18"/>
                <w:lang w:val="de-DE" w:eastAsia="nl-BE"/>
                <w14:ligatures w14:val="none"/>
              </w:rPr>
              <w:t>DM15, DM18, DM19, DM20, DM22, DM23</w:t>
            </w:r>
          </w:p>
          <w:p w14:paraId="744E54B7" w14:textId="77777777" w:rsidR="004137FC" w:rsidRDefault="004137FC" w:rsidP="006C4573">
            <w:pPr>
              <w:jc w:val="both"/>
              <w:rPr>
                <w:rFonts w:ascii="Times New Roman" w:eastAsia="Times New Roman" w:hAnsi="Times New Roman" w:cs="Times New Roman"/>
                <w:color w:val="000000"/>
                <w:sz w:val="18"/>
                <w:szCs w:val="18"/>
                <w:lang w:val="de-DE" w:eastAsia="nl-BE"/>
                <w14:ligatures w14:val="none"/>
              </w:rPr>
            </w:pPr>
          </w:p>
          <w:p w14:paraId="149297B6" w14:textId="1453BA44" w:rsidR="004137FC" w:rsidRPr="004137FC" w:rsidRDefault="004137FC"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20</w:t>
            </w:r>
            <w:r w:rsidR="00E50223">
              <w:rPr>
                <w:rFonts w:ascii="Times New Roman" w:eastAsia="Times New Roman" w:hAnsi="Times New Roman" w:cs="Times New Roman"/>
                <w:color w:val="000000"/>
                <w:sz w:val="18"/>
                <w:szCs w:val="18"/>
                <w:lang w:val="en-US" w:eastAsia="nl-BE"/>
                <w14:ligatures w14:val="none"/>
              </w:rPr>
              <w:t>-25</w:t>
            </w:r>
            <w:r w:rsidRPr="004137FC">
              <w:rPr>
                <w:rFonts w:ascii="Times New Roman" w:eastAsia="Times New Roman" w:hAnsi="Times New Roman" w:cs="Times New Roman"/>
                <w:color w:val="000000"/>
                <w:sz w:val="18"/>
                <w:szCs w:val="18"/>
                <w:lang w:val="en-US" w:eastAsia="nl-BE"/>
                <w14:ligatures w14:val="none"/>
              </w:rPr>
              <w:t xml:space="preserve"> guts from each sample</w:t>
            </w:r>
            <w:r>
              <w:rPr>
                <w:rFonts w:ascii="Times New Roman" w:eastAsia="Times New Roman" w:hAnsi="Times New Roman" w:cs="Times New Roman"/>
                <w:color w:val="000000"/>
                <w:sz w:val="18"/>
                <w:szCs w:val="18"/>
                <w:lang w:val="en-US" w:eastAsia="nl-BE"/>
                <w14:ligatures w14:val="none"/>
              </w:rPr>
              <w:t xml:space="preserve"> pooled together per genotype</w:t>
            </w:r>
          </w:p>
        </w:tc>
        <w:tc>
          <w:tcPr>
            <w:tcW w:w="1093" w:type="dxa"/>
          </w:tcPr>
          <w:p w14:paraId="56D2E9DF" w14:textId="77777777" w:rsidR="00F50D9D" w:rsidRPr="00501ECB" w:rsidRDefault="00F50D9D" w:rsidP="006C4573">
            <w:pPr>
              <w:jc w:val="both"/>
              <w:rPr>
                <w:rFonts w:ascii="Times New Roman" w:eastAsia="Times New Roman" w:hAnsi="Times New Roman" w:cs="Times New Roman"/>
                <w:color w:val="000000"/>
                <w:sz w:val="18"/>
                <w:szCs w:val="18"/>
                <w:lang w:val="fr-FR" w:eastAsia="nl-BE"/>
                <w14:ligatures w14:val="none"/>
              </w:rPr>
            </w:pPr>
            <w:proofErr w:type="spellStart"/>
            <w:r w:rsidRPr="00501ECB">
              <w:rPr>
                <w:rFonts w:ascii="Times New Roman" w:eastAsia="Times New Roman" w:hAnsi="Times New Roman" w:cs="Times New Roman"/>
                <w:color w:val="000000"/>
                <w:sz w:val="18"/>
                <w:szCs w:val="18"/>
                <w:lang w:val="fr-FR" w:eastAsia="nl-BE"/>
                <w14:ligatures w14:val="none"/>
              </w:rPr>
              <w:t>Lab</w:t>
            </w:r>
            <w:proofErr w:type="spellEnd"/>
            <w:r w:rsidRPr="00501ECB">
              <w:rPr>
                <w:rFonts w:ascii="Times New Roman" w:eastAsia="Times New Roman" w:hAnsi="Times New Roman" w:cs="Times New Roman"/>
                <w:color w:val="000000"/>
                <w:sz w:val="18"/>
                <w:szCs w:val="18"/>
                <w:lang w:val="fr-FR" w:eastAsia="nl-BE"/>
                <w14:ligatures w14:val="none"/>
              </w:rPr>
              <w:t xml:space="preserve"> microbiome vs </w:t>
            </w:r>
            <w:proofErr w:type="spellStart"/>
            <w:r w:rsidRPr="00501ECB">
              <w:rPr>
                <w:rFonts w:ascii="Times New Roman" w:eastAsia="Times New Roman" w:hAnsi="Times New Roman" w:cs="Times New Roman"/>
                <w:color w:val="000000"/>
                <w:sz w:val="18"/>
                <w:szCs w:val="18"/>
                <w:lang w:val="fr-FR" w:eastAsia="nl-BE"/>
                <w14:ligatures w14:val="none"/>
              </w:rPr>
              <w:t>natural</w:t>
            </w:r>
            <w:proofErr w:type="spellEnd"/>
            <w:r w:rsidRPr="00501ECB">
              <w:rPr>
                <w:rFonts w:ascii="Times New Roman" w:eastAsia="Times New Roman" w:hAnsi="Times New Roman" w:cs="Times New Roman"/>
                <w:color w:val="000000"/>
                <w:sz w:val="18"/>
                <w:szCs w:val="18"/>
                <w:lang w:val="fr-FR" w:eastAsia="nl-BE"/>
                <w14:ligatures w14:val="none"/>
              </w:rPr>
              <w:t xml:space="preserve"> microbiome</w:t>
            </w:r>
          </w:p>
        </w:tc>
        <w:tc>
          <w:tcPr>
            <w:tcW w:w="738" w:type="dxa"/>
          </w:tcPr>
          <w:p w14:paraId="7462F82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40531C3B" w14:textId="01FAA6DA"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sz w:val="18"/>
                <w:szCs w:val="18"/>
                <w:shd w:val="clear" w:color="auto" w:fill="FFFFFF"/>
                <w:lang w:eastAsia="nl-BE"/>
                <w14:ligatures w14:val="none"/>
              </w:rPr>
              <w:t>Bysjön</w:t>
            </w:r>
            <w:proofErr w:type="spellEnd"/>
            <w:r w:rsidRPr="00501ECB">
              <w:rPr>
                <w:rFonts w:ascii="Times New Roman" w:eastAsia="Times New Roman" w:hAnsi="Times New Roman" w:cs="Times New Roman"/>
                <w:color w:val="000000"/>
                <w:sz w:val="18"/>
                <w:szCs w:val="18"/>
                <w:lang w:val="en-US" w:eastAsia="nl-BE"/>
                <w14:ligatures w14:val="none"/>
              </w:rPr>
              <w:t xml:space="preserve"> Lake Sweden</w:t>
            </w:r>
          </w:p>
        </w:tc>
        <w:tc>
          <w:tcPr>
            <w:tcW w:w="1117" w:type="dxa"/>
          </w:tcPr>
          <w:p w14:paraId="4F6ED37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 and natural</w:t>
            </w:r>
          </w:p>
        </w:tc>
        <w:tc>
          <w:tcPr>
            <w:tcW w:w="1134" w:type="dxa"/>
          </w:tcPr>
          <w:p w14:paraId="69B3090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146EC72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78DB3367" w14:textId="017437D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Power</w:t>
            </w:r>
            <w:r w:rsidR="00C0635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 xml:space="preserve">Soil </w:t>
            </w:r>
            <w:proofErr w:type="spellStart"/>
            <w:r w:rsidRPr="00501ECB">
              <w:rPr>
                <w:rFonts w:ascii="Times New Roman" w:eastAsia="Times New Roman" w:hAnsi="Times New Roman" w:cs="Times New Roman"/>
                <w:color w:val="000000"/>
                <w:sz w:val="18"/>
                <w:szCs w:val="18"/>
                <w:lang w:val="en-US" w:eastAsia="nl-BE"/>
                <w14:ligatures w14:val="none"/>
              </w:rPr>
              <w:t>ProDNA</w:t>
            </w:r>
            <w:proofErr w:type="spellEnd"/>
            <w:r w:rsidRPr="00501ECB">
              <w:rPr>
                <w:rFonts w:ascii="Times New Roman" w:eastAsia="Times New Roman" w:hAnsi="Times New Roman" w:cs="Times New Roman"/>
                <w:color w:val="000000"/>
                <w:sz w:val="18"/>
                <w:szCs w:val="18"/>
                <w:lang w:val="en-US" w:eastAsia="nl-BE"/>
                <w14:ligatures w14:val="none"/>
              </w:rPr>
              <w:t xml:space="preserve"> kit (Qiagen)</w:t>
            </w:r>
          </w:p>
        </w:tc>
        <w:tc>
          <w:tcPr>
            <w:tcW w:w="959" w:type="dxa"/>
          </w:tcPr>
          <w:p w14:paraId="0C4FE983"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70BDFA1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5F10E2D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75" w:type="dxa"/>
          </w:tcPr>
          <w:p w14:paraId="432F2FD9" w14:textId="15C26E5F"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PRJNA748877</w:t>
            </w:r>
          </w:p>
        </w:tc>
        <w:tc>
          <w:tcPr>
            <w:tcW w:w="1134" w:type="dxa"/>
          </w:tcPr>
          <w:p w14:paraId="044B7160" w14:textId="26B09142"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Hegg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2021</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{"citationID":"pOit5bgP","properties":{"formattedCitation":"[10]","plainCitation":"[10]","noteIndex":0},"citationItems":[{"id":652,"uris":["http://zotero.org/users/12047481/items/ERXVGATC"],"itemData":{"id":652,"type":"article-journal","abstract":"The gut microbiome is increasingly recognized for its impact on host fitness, but it remains poorly understood how naturally variable environments influence gut microbiome diversity and composition. We studied changes in the gut microbiome of ten genotypes of water fleas Daphnia magna in submerged mesocosm enclosures in a eutrophic lake over a period of 16 weeks, from early summer to autumn. The microbial diversity increased when Daphnia were reintroduced from the laboratory to the lake, and the composition of gut microbes drastically changed. Both gut microbiome diversity and composition continued to change over the 16-week period, with alpha diversity peaking in late summer. The gut microbiome community was clearly distinct from that of the surrounding water, and temporal changes in the two communities were independent of each other. There were no consistent differences in the gut microbiomes among Daphnia genotypes in the lake environment. The change in gut microbiome over the season was accompanied by a decline in reproductive output and survival. There were weak, but statistically supported, effects of microbiota composition on Daphnia fitness, but there was no evidence that natural variation in microbiome diversity or composition was associated with tolerance to the cyanotoxin microcystin. We conclude that the gut microbiome of Daphnia is highly dynamic in a natural lake environment, but that host genetic effects on microbiome diversity and composition between genotypes within a population can be vanishingly small. These results emphasize that establishing the ecological effects of gut microbiota will require large-scale experiments under natural conditions.","container-title":"Oikos","DOI":"10.1111/oik.08530","ISSN":"1600-0706","issue":"12","language":"en","license":"© 2021 The Authors. Oikos published by John Wiley &amp; Sons Ltd on behalf of Nordic Society Oikos.","note":"_eprint: https://nsojournals.onlinelibrary.wiley.com/doi/pdf/10.1111/oik.08530","page":"2191-2201","source":"Wiley Online Library","title":"A field experiment reveals seasonal variation in the Daphnia gut microbiome","volume":"130","author":[{"family":"Hegg","given":"Alexander"},{"family":"Radersma","given":"Reinder"},{"family":"Uller","given":"Tobias"}],"issued":{"date-parts":[["2021"]]}}}],"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[10]</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5D4925AC"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38DBC5DD" w14:textId="77777777" w:rsidTr="00F50D9D">
        <w:tc>
          <w:tcPr>
            <w:tcW w:w="388" w:type="dxa"/>
          </w:tcPr>
          <w:p w14:paraId="1007932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10.</w:t>
            </w:r>
          </w:p>
        </w:tc>
        <w:tc>
          <w:tcPr>
            <w:tcW w:w="996" w:type="dxa"/>
          </w:tcPr>
          <w:p w14:paraId="63EC8F95" w14:textId="77777777" w:rsidR="00F50D9D"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p w14:paraId="7CE225A6" w14:textId="77777777" w:rsidR="002D53FF" w:rsidRDefault="002D53FF" w:rsidP="006C4573">
            <w:pPr>
              <w:jc w:val="both"/>
              <w:rPr>
                <w:rFonts w:ascii="Times New Roman" w:eastAsia="Times New Roman" w:hAnsi="Times New Roman" w:cs="Times New Roman"/>
                <w:i/>
                <w:iCs/>
                <w:color w:val="000000"/>
                <w:sz w:val="18"/>
                <w:szCs w:val="18"/>
                <w:lang w:val="en-US" w:eastAsia="nl-BE"/>
                <w14:ligatures w14:val="none"/>
              </w:rPr>
            </w:pPr>
          </w:p>
          <w:p w14:paraId="0DA4F2A6" w14:textId="77777777" w:rsidR="002D53FF" w:rsidRPr="00501ECB" w:rsidRDefault="002D53FF" w:rsidP="006C4573">
            <w:pPr>
              <w:jc w:val="both"/>
              <w:rPr>
                <w:rFonts w:ascii="Times New Roman" w:eastAsia="Times New Roman" w:hAnsi="Times New Roman" w:cs="Times New Roman"/>
                <w:color w:val="000000"/>
                <w:sz w:val="18"/>
                <w:szCs w:val="18"/>
                <w:lang w:val="en-US" w:eastAsia="nl-BE"/>
                <w14:ligatures w14:val="none"/>
              </w:rPr>
            </w:pPr>
          </w:p>
        </w:tc>
        <w:tc>
          <w:tcPr>
            <w:tcW w:w="1184" w:type="dxa"/>
          </w:tcPr>
          <w:p w14:paraId="32D2331E"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8A</w:t>
            </w:r>
          </w:p>
          <w:p w14:paraId="26D84B9A" w14:textId="77777777" w:rsidR="002D53FF" w:rsidRDefault="002D53FF" w:rsidP="006C4573">
            <w:pPr>
              <w:jc w:val="both"/>
              <w:rPr>
                <w:rFonts w:ascii="Times New Roman" w:eastAsia="Times New Roman" w:hAnsi="Times New Roman" w:cs="Times New Roman"/>
                <w:color w:val="000000"/>
                <w:sz w:val="18"/>
                <w:szCs w:val="18"/>
                <w:lang w:val="en-US" w:eastAsia="nl-BE"/>
                <w14:ligatures w14:val="none"/>
              </w:rPr>
            </w:pPr>
          </w:p>
          <w:p w14:paraId="0BFD759E" w14:textId="015C82F8" w:rsidR="002D53FF" w:rsidRPr="00501ECB" w:rsidRDefault="002D53FF" w:rsidP="006C4573">
            <w:pPr>
              <w:jc w:val="both"/>
              <w:rPr>
                <w:rFonts w:ascii="Times New Roman" w:eastAsia="Times New Roman" w:hAnsi="Times New Roman" w:cs="Times New Roman"/>
                <w:color w:val="000000"/>
                <w:sz w:val="18"/>
                <w:szCs w:val="18"/>
                <w:lang w:val="en-US" w:eastAsia="nl-BE"/>
                <w14:ligatures w14:val="none"/>
              </w:rPr>
            </w:pPr>
            <w:r w:rsidRPr="002D53FF">
              <w:rPr>
                <w:rFonts w:ascii="Times New Roman" w:eastAsia="Times New Roman" w:hAnsi="Times New Roman" w:cs="Times New Roman"/>
                <w:color w:val="000000"/>
                <w:sz w:val="18"/>
                <w:szCs w:val="18"/>
                <w:lang w:val="en-US" w:eastAsia="nl-BE"/>
                <w14:ligatures w14:val="none"/>
              </w:rPr>
              <w:t xml:space="preserve">sets of five individuals for DNA extraction and microbiome sequencing (n = 4 per </w:t>
            </w:r>
            <w:r w:rsidRPr="002D53FF">
              <w:rPr>
                <w:rFonts w:ascii="Times New Roman" w:eastAsia="Times New Roman" w:hAnsi="Times New Roman" w:cs="Times New Roman"/>
                <w:color w:val="000000"/>
                <w:sz w:val="18"/>
                <w:szCs w:val="18"/>
                <w:lang w:val="en-US" w:eastAsia="nl-BE"/>
                <w14:ligatures w14:val="none"/>
              </w:rPr>
              <w:lastRenderedPageBreak/>
              <w:t>treatment per generation)</w:t>
            </w:r>
          </w:p>
        </w:tc>
        <w:tc>
          <w:tcPr>
            <w:tcW w:w="1093" w:type="dxa"/>
          </w:tcPr>
          <w:p w14:paraId="1595E16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Multigenerational effects of antibiotic exposure</w:t>
            </w:r>
          </w:p>
        </w:tc>
        <w:tc>
          <w:tcPr>
            <w:tcW w:w="738" w:type="dxa"/>
          </w:tcPr>
          <w:p w14:paraId="31F5E0D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7267C3C1" w14:textId="4E047085"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Leitholm</w:t>
            </w:r>
            <w:proofErr w:type="spellEnd"/>
            <w:r w:rsidRPr="00501ECB">
              <w:rPr>
                <w:rFonts w:ascii="Times New Roman" w:eastAsia="Times New Roman" w:hAnsi="Times New Roman" w:cs="Times New Roman"/>
                <w:color w:val="000000"/>
                <w:sz w:val="18"/>
                <w:szCs w:val="18"/>
                <w:lang w:val="en-US" w:eastAsia="nl-BE"/>
                <w14:ligatures w14:val="none"/>
              </w:rPr>
              <w:t xml:space="preserve"> UK</w:t>
            </w:r>
          </w:p>
        </w:tc>
        <w:tc>
          <w:tcPr>
            <w:tcW w:w="1117" w:type="dxa"/>
          </w:tcPr>
          <w:p w14:paraId="11CDCA5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1ED9000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05E2761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5BD83122" w14:textId="628E6939"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Power</w:t>
            </w:r>
            <w:r w:rsidR="00C0635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 xml:space="preserve">Soil </w:t>
            </w:r>
            <w:proofErr w:type="spellStart"/>
            <w:r w:rsidRPr="00501ECB">
              <w:rPr>
                <w:rFonts w:ascii="Times New Roman" w:eastAsia="Times New Roman" w:hAnsi="Times New Roman" w:cs="Times New Roman"/>
                <w:color w:val="000000"/>
                <w:sz w:val="18"/>
                <w:szCs w:val="18"/>
                <w:lang w:val="en-US" w:eastAsia="nl-BE"/>
                <w14:ligatures w14:val="none"/>
              </w:rPr>
              <w:t>ProDNA</w:t>
            </w:r>
            <w:proofErr w:type="spellEnd"/>
            <w:r w:rsidRPr="00501ECB">
              <w:rPr>
                <w:rFonts w:ascii="Times New Roman" w:eastAsia="Times New Roman" w:hAnsi="Times New Roman" w:cs="Times New Roman"/>
                <w:color w:val="000000"/>
                <w:sz w:val="18"/>
                <w:szCs w:val="18"/>
                <w:lang w:val="en-US" w:eastAsia="nl-BE"/>
                <w14:ligatures w14:val="none"/>
              </w:rPr>
              <w:t xml:space="preserve"> kit (Qiagen)</w:t>
            </w:r>
          </w:p>
        </w:tc>
        <w:tc>
          <w:tcPr>
            <w:tcW w:w="959" w:type="dxa"/>
          </w:tcPr>
          <w:p w14:paraId="0FE1BFB8"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6284AB9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651A8A1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75" w:type="dxa"/>
          </w:tcPr>
          <w:p w14:paraId="16B6BC95" w14:textId="25DB320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PRJNA703930</w:t>
            </w:r>
          </w:p>
        </w:tc>
        <w:tc>
          <w:tcPr>
            <w:tcW w:w="1134" w:type="dxa"/>
          </w:tcPr>
          <w:p w14:paraId="7B6D70F9" w14:textId="3D11C6C3"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R Cooper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2021</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{"citationID":"w2penlyL","properties":{"formattedCitation":"[11]","plainCitation":"[11]","noteIndex":0},"citationItems":[{"id":514,"uris":["http://zotero.org/users/12047481/items/ZYXIJMRN"],"itemData":{"id":514,"type":"webpage","title":"Multiple generations of antibiotic exposure and isolation influence host fitness and the microbiome in a model zooplankton species | FEMS Microbiology Ecology | Oxford Academic","URL":"https://academic-oup-com.kuleuven.e-bronnen.be/femsec/article/98/10/fiac082/6648098","author":[{"family":"Cooper","given":"Reilly O."},{"family":"Tjards","given":"Sarah"},{"family":"Rischling","given":"Jessica"},{"family":"Nguyen","given":"David T"},{"family":"Cressler","given":"Clayton E."}],"accessed":{"date-parts":[["2024",10,23]]}}}],"schema":"https://github.com/citation-style-language/schema/raw/master/csl-citation.json"}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[11]</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30940049"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20C92FA7" w14:textId="77777777" w:rsidTr="00F50D9D">
        <w:tc>
          <w:tcPr>
            <w:tcW w:w="388" w:type="dxa"/>
          </w:tcPr>
          <w:p w14:paraId="624284D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11.</w:t>
            </w:r>
          </w:p>
        </w:tc>
        <w:tc>
          <w:tcPr>
            <w:tcW w:w="996" w:type="dxa"/>
          </w:tcPr>
          <w:p w14:paraId="2CEF89A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74FDC202"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MS, KP, KNO, OM2, T8</w:t>
            </w:r>
          </w:p>
          <w:p w14:paraId="560FD4E2" w14:textId="77777777" w:rsidR="00B12A83" w:rsidRPr="00C06356" w:rsidRDefault="00B12A83" w:rsidP="006C4573">
            <w:pPr>
              <w:jc w:val="both"/>
              <w:rPr>
                <w:rFonts w:ascii="Times New Roman" w:eastAsia="Times New Roman" w:hAnsi="Times New Roman" w:cs="Times New Roman"/>
                <w:color w:val="000000"/>
                <w:sz w:val="18"/>
                <w:szCs w:val="18"/>
                <w:lang w:val="en-US" w:eastAsia="nl-BE"/>
                <w14:ligatures w14:val="none"/>
              </w:rPr>
            </w:pPr>
          </w:p>
          <w:p w14:paraId="7C81433A" w14:textId="6C49546E" w:rsidR="00B12A83" w:rsidRPr="00F81F2D" w:rsidRDefault="00F81F2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Guts from </w:t>
            </w:r>
            <w:r w:rsidRPr="00F81F2D">
              <w:rPr>
                <w:rFonts w:ascii="Times New Roman" w:eastAsia="Times New Roman" w:hAnsi="Times New Roman" w:cs="Times New Roman"/>
                <w:color w:val="000000"/>
                <w:sz w:val="18"/>
                <w:szCs w:val="18"/>
                <w:lang w:val="en-US" w:eastAsia="nl-BE"/>
                <w14:ligatures w14:val="none"/>
              </w:rPr>
              <w:t>6 daphnids per replicate were p</w:t>
            </w:r>
            <w:r>
              <w:rPr>
                <w:rFonts w:ascii="Times New Roman" w:eastAsia="Times New Roman" w:hAnsi="Times New Roman" w:cs="Times New Roman"/>
                <w:color w:val="000000"/>
                <w:sz w:val="18"/>
                <w:szCs w:val="18"/>
                <w:lang w:val="en-US" w:eastAsia="nl-BE"/>
                <w14:ligatures w14:val="none"/>
              </w:rPr>
              <w:t>ooled together</w:t>
            </w:r>
          </w:p>
        </w:tc>
        <w:tc>
          <w:tcPr>
            <w:tcW w:w="1093" w:type="dxa"/>
          </w:tcPr>
          <w:p w14:paraId="05FD0DA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The role of microbiome on parasite re-exposure</w:t>
            </w:r>
          </w:p>
        </w:tc>
        <w:tc>
          <w:tcPr>
            <w:tcW w:w="738" w:type="dxa"/>
          </w:tcPr>
          <w:p w14:paraId="58022DD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18040D76" w14:textId="180A484F"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OHZ, Knokke, </w:t>
            </w:r>
            <w:proofErr w:type="spellStart"/>
            <w:r w:rsidRPr="00501ECB">
              <w:rPr>
                <w:rFonts w:ascii="Times New Roman" w:eastAsia="Times New Roman" w:hAnsi="Times New Roman" w:cs="Times New Roman"/>
                <w:color w:val="000000"/>
                <w:sz w:val="18"/>
                <w:szCs w:val="18"/>
                <w:lang w:val="en-US" w:eastAsia="nl-BE"/>
                <w14:ligatures w14:val="none"/>
              </w:rPr>
              <w:t>Heverlee</w:t>
            </w:r>
            <w:proofErr w:type="spellEnd"/>
            <w:r w:rsidRPr="00501ECB">
              <w:rPr>
                <w:rFonts w:ascii="Times New Roman" w:eastAsia="Times New Roman" w:hAnsi="Times New Roman" w:cs="Times New Roman"/>
                <w:color w:val="000000"/>
                <w:sz w:val="18"/>
                <w:szCs w:val="18"/>
                <w:lang w:val="en-US" w:eastAsia="nl-BE"/>
                <w14:ligatures w14:val="none"/>
              </w:rPr>
              <w:t xml:space="preserve"> Belgium</w:t>
            </w:r>
          </w:p>
        </w:tc>
        <w:tc>
          <w:tcPr>
            <w:tcW w:w="1117" w:type="dxa"/>
          </w:tcPr>
          <w:p w14:paraId="6E851C9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03A7AE7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52DC052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5DBFB7A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1EF4C0B5"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2E91A71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404" w:type="dxa"/>
          </w:tcPr>
          <w:p w14:paraId="696587C0" w14:textId="344AAB48" w:rsidR="00F50D9D" w:rsidRPr="00B12A83" w:rsidRDefault="00243851" w:rsidP="00D059B1">
            <w:pPr>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A</w:t>
            </w:r>
            <w:r w:rsidR="00B12A83" w:rsidRPr="00B12A83">
              <w:rPr>
                <w:rFonts w:ascii="Times New Roman" w:eastAsia="Times New Roman" w:hAnsi="Times New Roman" w:cs="Times New Roman"/>
                <w:color w:val="000000"/>
                <w:sz w:val="18"/>
                <w:szCs w:val="18"/>
                <w:lang w:val="en-US" w:eastAsia="nl-BE"/>
                <w14:ligatures w14:val="none"/>
              </w:rPr>
              <w:t>verage of 31,883,25 reads per sample</w:t>
            </w:r>
          </w:p>
        </w:tc>
        <w:tc>
          <w:tcPr>
            <w:tcW w:w="1275" w:type="dxa"/>
          </w:tcPr>
          <w:p w14:paraId="24C3CDD6" w14:textId="46313906"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PRJNA688519</w:t>
            </w:r>
          </w:p>
        </w:tc>
        <w:tc>
          <w:tcPr>
            <w:tcW w:w="1134" w:type="dxa"/>
          </w:tcPr>
          <w:p w14:paraId="06BC523A" w14:textId="03FBC7DC"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Bulteel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2021</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{"citationID":"zItFMZCo","properties":{"formattedCitation":"[12]","plainCitation":"[12]","noteIndex":0},"citationItems":[{"id":680,"uris":["http://zotero.org/users/12047481/items/IMMC47T7"],"itemData":{"id":680,"type":"article-journal","abstract":"Recently, it has been shown that the community of gut microorganisms plays a crucial role in host performance with respect to parasite tolerance. Knowledge, however, is lacking on the role of the gut microbiome in mediating host tolerance after parasite re-exposure, especially considering multiple parasite infections. We here aimed to fill this knowledge gap by studying the role of the gut microbiome on tolerance in Daphnia magna upon multiple parasite species re-exposure. Additionally, we investigated the role of the host genotype in the interaction between the gut microbiome and the host phenotypic performance. A microbiome transplant experiment was performed in which three germ-free D. magna genotypes were exposed to a gut microbial inoculum and a parasite community treatment. The gut microbiome inocula were pre-exposed to the same parasite communities or a control treatment. Daphnia performance was monitored, and amplicon sequencing was performed to characterize the gut microbial community. Our experimental results showed that the gut microbiome plays no role in Daphnia tolerance upon parasite re-exposure. We did, however, find a main effect of the gut microbiome on Daphnia body size reflecting parasite specific responses. Our results also showed that it is rather the Daphnia genotype, and not the gut microbiome, that affected parasite-induced host mortality. Additionally, we found a role of the genotype in structuring the gut microbial community, both in alpha diversity as in the microbial composition.","container-title":"Genes","DOI":"10.3390/genes12010070","ISSN":"2073-4425","issue":"1","language":"en","license":"http://creativecommons.org/licenses/by/3.0/","note":"number: 1\npublisher: Multidisciplinary Digital Publishing Institute","page":"70","source":"www.mdpi.com","title":"The Role of Microbiome and Genotype in Daphnia magna upon Parasite Re-Exposure","volume":"12","author":[{"family":"Bulteel","given":"Lore"},{"family":"Houwenhuyse","given":"Shira"},{"family":"Declerck","given":"Steven A. J."},{"family":"Decaestecker","given":"Ellen"}],"issued":{"date-parts":[["2021",1]]}}}],"schema":"https://github.com/citation-style-language/schema/raw/master/csl-citation.json"}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[12]</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01AB397D"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725464F2" w14:textId="77777777" w:rsidTr="00F50D9D">
        <w:tc>
          <w:tcPr>
            <w:tcW w:w="388" w:type="dxa"/>
          </w:tcPr>
          <w:p w14:paraId="6135D8D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12.</w:t>
            </w:r>
          </w:p>
        </w:tc>
        <w:tc>
          <w:tcPr>
            <w:tcW w:w="996" w:type="dxa"/>
          </w:tcPr>
          <w:p w14:paraId="44E1BAF8" w14:textId="77777777" w:rsidR="00F50D9D"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 xml:space="preserve">D. magna, D. </w:t>
            </w:r>
            <w:proofErr w:type="spellStart"/>
            <w:r w:rsidRPr="00501ECB">
              <w:rPr>
                <w:rFonts w:ascii="Times New Roman" w:eastAsia="Times New Roman" w:hAnsi="Times New Roman" w:cs="Times New Roman"/>
                <w:i/>
                <w:iCs/>
                <w:color w:val="000000"/>
                <w:sz w:val="18"/>
                <w:szCs w:val="18"/>
                <w:lang w:val="en-US" w:eastAsia="nl-BE"/>
                <w14:ligatures w14:val="none"/>
              </w:rPr>
              <w:t>dentifera</w:t>
            </w:r>
            <w:proofErr w:type="spellEnd"/>
          </w:p>
          <w:p w14:paraId="686979DE" w14:textId="77777777" w:rsidR="00DF4328" w:rsidRDefault="00DF4328" w:rsidP="006C4573">
            <w:pPr>
              <w:jc w:val="both"/>
              <w:rPr>
                <w:rFonts w:ascii="Times New Roman" w:eastAsia="Times New Roman" w:hAnsi="Times New Roman" w:cs="Times New Roman"/>
                <w:i/>
                <w:iCs/>
                <w:color w:val="000000"/>
                <w:sz w:val="18"/>
                <w:szCs w:val="18"/>
                <w:lang w:val="en-US" w:eastAsia="nl-BE"/>
                <w14:ligatures w14:val="none"/>
              </w:rPr>
            </w:pPr>
          </w:p>
          <w:p w14:paraId="69CC58F0" w14:textId="47774487" w:rsidR="00DF4328" w:rsidRPr="00DF4328" w:rsidRDefault="00DF4328" w:rsidP="006C4573">
            <w:pPr>
              <w:jc w:val="both"/>
              <w:rPr>
                <w:rFonts w:ascii="Times New Roman" w:eastAsia="Times New Roman" w:hAnsi="Times New Roman" w:cs="Times New Roman"/>
                <w:color w:val="000000"/>
                <w:sz w:val="18"/>
                <w:szCs w:val="18"/>
                <w:lang w:val="en-US" w:eastAsia="nl-BE"/>
                <w14:ligatures w14:val="none"/>
              </w:rPr>
            </w:pPr>
            <w:r w:rsidRPr="00DF4328">
              <w:rPr>
                <w:rFonts w:ascii="Times New Roman" w:eastAsia="Times New Roman" w:hAnsi="Times New Roman" w:cs="Times New Roman"/>
                <w:color w:val="000000"/>
                <w:sz w:val="18"/>
                <w:szCs w:val="18"/>
                <w:lang w:val="en-US" w:eastAsia="nl-BE"/>
                <w14:ligatures w14:val="none"/>
              </w:rPr>
              <w:t>DM were pooled in sets of 5 individuals (n = 10 samples per time point) &amp; DD in sets of 10 individuals (n = 10 samples per time point) for DNA extraction</w:t>
            </w:r>
          </w:p>
        </w:tc>
        <w:tc>
          <w:tcPr>
            <w:tcW w:w="1184" w:type="dxa"/>
          </w:tcPr>
          <w:p w14:paraId="5F7CEF2A" w14:textId="77777777"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DM, DD</w:t>
            </w:r>
          </w:p>
        </w:tc>
        <w:tc>
          <w:tcPr>
            <w:tcW w:w="1093" w:type="dxa"/>
          </w:tcPr>
          <w:p w14:paraId="56F0016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Effect of daily feeding </w:t>
            </w:r>
            <w:proofErr w:type="spellStart"/>
            <w:r w:rsidRPr="00501ECB">
              <w:rPr>
                <w:rFonts w:ascii="Times New Roman" w:eastAsia="Times New Roman" w:hAnsi="Times New Roman" w:cs="Times New Roman"/>
                <w:color w:val="000000"/>
                <w:sz w:val="18"/>
                <w:szCs w:val="18"/>
                <w:lang w:val="en-US" w:eastAsia="nl-BE"/>
                <w14:ligatures w14:val="none"/>
              </w:rPr>
              <w:t>rythm</w:t>
            </w:r>
            <w:proofErr w:type="spellEnd"/>
          </w:p>
        </w:tc>
        <w:tc>
          <w:tcPr>
            <w:tcW w:w="738" w:type="dxa"/>
          </w:tcPr>
          <w:p w14:paraId="507218B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4442753B" w14:textId="7CCF803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Nebraska USA</w:t>
            </w:r>
          </w:p>
        </w:tc>
        <w:tc>
          <w:tcPr>
            <w:tcW w:w="1117" w:type="dxa"/>
          </w:tcPr>
          <w:p w14:paraId="44983BD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1F3D688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11E0A5D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724700E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Qiagen </w:t>
            </w: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Blood and Tissue Kit </w:t>
            </w:r>
          </w:p>
        </w:tc>
        <w:tc>
          <w:tcPr>
            <w:tcW w:w="959" w:type="dxa"/>
          </w:tcPr>
          <w:p w14:paraId="28FB3314"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v2 PE500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47E35BE9"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1660877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75" w:type="dxa"/>
          </w:tcPr>
          <w:p w14:paraId="7849C4B8" w14:textId="7715B22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PRJNA715454</w:t>
            </w:r>
          </w:p>
        </w:tc>
        <w:tc>
          <w:tcPr>
            <w:tcW w:w="1134" w:type="dxa"/>
          </w:tcPr>
          <w:p w14:paraId="410CC732" w14:textId="4055DA35"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Pfenning </w:t>
            </w:r>
            <w:proofErr w:type="spellStart"/>
            <w:r w:rsidRPr="00501ECB">
              <w:rPr>
                <w:rFonts w:ascii="Times New Roman" w:eastAsia="Times New Roman" w:hAnsi="Times New Roman" w:cs="Times New Roman"/>
                <w:color w:val="000000"/>
                <w:sz w:val="18"/>
                <w:szCs w:val="18"/>
                <w:lang w:val="en-US" w:eastAsia="nl-BE"/>
                <w14:ligatures w14:val="none"/>
              </w:rPr>
              <w:t>butterworth</w:t>
            </w:r>
            <w:proofErr w:type="spellEnd"/>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2022</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{"citationID":"LYHD4f2u","properties":{"formattedCitation":"[13]","plainCitation":"[13]","noteIndex":0},"citationItems":[{"id":510,"uris":["http://zotero.org/users/12047481/items/33QVUSCW"],"itemData":{"id":510,"type":"article-journal","abstract":"Host-associated microbial communities are impacted by external and within-host factors, i.e., diet and feeding behavior. For organisms known to have a circadian rhythm in feeding behavior, microbiome composition is likely impacted by the different rates of microbe introduction and removal across a daily cycle, in addition to any diet-induced changes in microbial interactions. Here, we measured feeding behavior and used 16S rRNA sequencing to compare the microbial community across a diel cycle in two distantly related species of Daphnia, that differ in their life history traits, to assess how daily feeding patterns impact microbiome composition. We find that Daphnia species reared under similar laboratory conditions have significantly different microbial communities. Additionally, we reveal that Daphnia have daily differences in their microbial composition that correspond with feeding behavior, such that there is greater microbiome diversity at night during the host’s active feeding phase. These results highlight that zooplankton microbiomes are relatively distinct and are likely influenced by host phylogeny.","container-title":"PLOS ONE","DOI":"10.1371/journal.pone.0263538","ISSN":"1932-6203","issue":"2","journalAbbreviation":"PLOS ONE","language":"en","note":"publisher: Public Library of Science","page":"e0263538","source":"PLoS Journals","title":"Daily feeding rhythm linked to microbiome composition in two zooplankton species","volume":"17","author":[{"family":"Pfenning-Butterworth","given":"Alaina"},{"family":"Cooper","given":"Reilly O."},{"family":"Cressler","given":"Clayton E."}],"issued":{"date-parts":[["2022",2,3]]}}}],"schema":"https://github.com/citation-style-language/schema/raw/master/csl-citation.json"}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[13]</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2242A8DA" w14:textId="77777777" w:rsidR="00F50D9D" w:rsidRPr="00501ECB" w:rsidRDefault="00F50D9D" w:rsidP="006C4573">
            <w:pPr>
              <w:jc w:val="both"/>
              <w:rPr>
                <w:rFonts w:ascii="Times New Roman" w:eastAsia="Times New Roman" w:hAnsi="Times New Roman" w:cs="Times New Roman"/>
                <w:color w:val="000000"/>
                <w:sz w:val="18"/>
                <w:szCs w:val="18"/>
                <w:highlight w:val="green"/>
                <w:lang w:val="en-US" w:eastAsia="nl-BE"/>
                <w14:ligatures w14:val="none"/>
              </w:rPr>
            </w:pPr>
            <w:r w:rsidRPr="00501ECB">
              <w:rPr>
                <w:rFonts w:ascii="Times New Roman" w:eastAsia="Times New Roman" w:hAnsi="Times New Roman" w:cs="Times New Roman"/>
                <w:color w:val="00B050"/>
                <w:sz w:val="18"/>
                <w:szCs w:val="18"/>
                <w:lang w:val="en-US" w:eastAsia="nl-BE"/>
                <w14:ligatures w14:val="none"/>
              </w:rPr>
              <w:t>selected</w:t>
            </w:r>
          </w:p>
        </w:tc>
      </w:tr>
      <w:tr w:rsidR="00F50D9D" w:rsidRPr="00501ECB" w14:paraId="0CD56F70" w14:textId="77777777" w:rsidTr="00F50D9D">
        <w:tc>
          <w:tcPr>
            <w:tcW w:w="388" w:type="dxa"/>
          </w:tcPr>
          <w:p w14:paraId="2AB1892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13.</w:t>
            </w:r>
          </w:p>
        </w:tc>
        <w:tc>
          <w:tcPr>
            <w:tcW w:w="996" w:type="dxa"/>
          </w:tcPr>
          <w:p w14:paraId="77E6A282"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41054A75" w14:textId="09A21B67" w:rsidR="00F50D9D" w:rsidRPr="00D75E12" w:rsidRDefault="00D75E12" w:rsidP="006C4573">
            <w:pPr>
              <w:jc w:val="both"/>
              <w:rPr>
                <w:rFonts w:ascii="Times New Roman" w:eastAsia="Times New Roman" w:hAnsi="Times New Roman" w:cs="Times New Roman"/>
                <w:color w:val="000000"/>
                <w:sz w:val="18"/>
                <w:szCs w:val="18"/>
                <w:lang w:val="en-US" w:eastAsia="nl-BE"/>
                <w14:ligatures w14:val="none"/>
              </w:rPr>
            </w:pPr>
            <w:proofErr w:type="spellStart"/>
            <w:r w:rsidRPr="00D75E12">
              <w:rPr>
                <w:rFonts w:ascii="Times New Roman" w:eastAsia="Times New Roman" w:hAnsi="Times New Roman" w:cs="Times New Roman"/>
                <w:color w:val="000000"/>
                <w:sz w:val="18"/>
                <w:szCs w:val="18"/>
                <w:lang w:val="en-US" w:eastAsia="nl-BE"/>
                <w14:ligatures w14:val="none"/>
              </w:rPr>
              <w:t>K</w:t>
            </w:r>
            <w:r w:rsidR="00F50D9D" w:rsidRPr="00D75E12">
              <w:rPr>
                <w:rFonts w:ascii="Times New Roman" w:eastAsia="Times New Roman" w:hAnsi="Times New Roman" w:cs="Times New Roman"/>
                <w:color w:val="000000"/>
                <w:sz w:val="18"/>
                <w:szCs w:val="18"/>
                <w:lang w:val="en-US" w:eastAsia="nl-BE"/>
                <w14:ligatures w14:val="none"/>
              </w:rPr>
              <w:t>lon</w:t>
            </w:r>
            <w:proofErr w:type="spellEnd"/>
            <w:r w:rsidR="00F50D9D" w:rsidRPr="00D75E12">
              <w:rPr>
                <w:rFonts w:ascii="Times New Roman" w:eastAsia="Times New Roman" w:hAnsi="Times New Roman" w:cs="Times New Roman"/>
                <w:color w:val="000000"/>
                <w:sz w:val="18"/>
                <w:szCs w:val="18"/>
                <w:lang w:val="en-US" w:eastAsia="nl-BE"/>
                <w14:ligatures w14:val="none"/>
              </w:rPr>
              <w:t xml:space="preserve"> 5</w:t>
            </w:r>
          </w:p>
          <w:p w14:paraId="20E9279E" w14:textId="77777777" w:rsidR="00D75E12" w:rsidRPr="00D75E12" w:rsidRDefault="00D75E12" w:rsidP="006C4573">
            <w:pPr>
              <w:jc w:val="both"/>
              <w:rPr>
                <w:rFonts w:ascii="Times New Roman" w:eastAsia="Times New Roman" w:hAnsi="Times New Roman" w:cs="Times New Roman"/>
                <w:color w:val="000000"/>
                <w:sz w:val="18"/>
                <w:szCs w:val="18"/>
                <w:lang w:val="en-US" w:eastAsia="nl-BE"/>
                <w14:ligatures w14:val="none"/>
              </w:rPr>
            </w:pPr>
          </w:p>
          <w:p w14:paraId="65F5482A" w14:textId="47159118" w:rsidR="00D75E12" w:rsidRPr="00D75E12" w:rsidRDefault="00D75E12" w:rsidP="006C4573">
            <w:pPr>
              <w:jc w:val="both"/>
              <w:rPr>
                <w:rFonts w:ascii="Times New Roman" w:eastAsia="Times New Roman" w:hAnsi="Times New Roman" w:cs="Times New Roman"/>
                <w:color w:val="000000"/>
                <w:sz w:val="18"/>
                <w:szCs w:val="18"/>
                <w:lang w:val="en-US" w:eastAsia="nl-BE"/>
                <w14:ligatures w14:val="none"/>
              </w:rPr>
            </w:pPr>
            <w:r w:rsidRPr="00D75E12">
              <w:rPr>
                <w:rFonts w:ascii="Times New Roman" w:eastAsia="Times New Roman" w:hAnsi="Times New Roman" w:cs="Times New Roman"/>
                <w:color w:val="000000"/>
                <w:sz w:val="18"/>
                <w:szCs w:val="18"/>
                <w:lang w:val="en-US" w:eastAsia="nl-BE"/>
                <w14:ligatures w14:val="none"/>
              </w:rPr>
              <w:t>5 animals per replicate per pooled</w:t>
            </w:r>
            <w:r>
              <w:rPr>
                <w:rFonts w:ascii="Times New Roman" w:eastAsia="Times New Roman" w:hAnsi="Times New Roman" w:cs="Times New Roman"/>
                <w:color w:val="000000"/>
                <w:sz w:val="18"/>
                <w:szCs w:val="18"/>
                <w:lang w:val="en-US" w:eastAsia="nl-BE"/>
                <w14:ligatures w14:val="none"/>
              </w:rPr>
              <w:t xml:space="preserve"> and individual?</w:t>
            </w:r>
          </w:p>
        </w:tc>
        <w:tc>
          <w:tcPr>
            <w:tcW w:w="1093" w:type="dxa"/>
          </w:tcPr>
          <w:p w14:paraId="0DDE65AD"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t>Effect</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of</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trimethoprim</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treatment</w:t>
            </w:r>
            <w:proofErr w:type="spellEnd"/>
          </w:p>
        </w:tc>
        <w:tc>
          <w:tcPr>
            <w:tcW w:w="738" w:type="dxa"/>
          </w:tcPr>
          <w:p w14:paraId="27EF5F5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39220799" w14:textId="457EE770"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Berlin, </w:t>
            </w:r>
            <w:r w:rsidRPr="00501ECB">
              <w:rPr>
                <w:rFonts w:ascii="Times New Roman" w:eastAsia="Times New Roman" w:hAnsi="Times New Roman" w:cs="Times New Roman"/>
                <w:color w:val="000000"/>
                <w:sz w:val="18"/>
                <w:szCs w:val="18"/>
                <w:lang w:val="en-US" w:eastAsia="nl-BE"/>
                <w14:ligatures w14:val="none"/>
              </w:rPr>
              <w:t>Germany</w:t>
            </w:r>
          </w:p>
        </w:tc>
        <w:tc>
          <w:tcPr>
            <w:tcW w:w="1117" w:type="dxa"/>
          </w:tcPr>
          <w:p w14:paraId="698A402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77CB6A7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fD1-926R</w:t>
            </w:r>
          </w:p>
        </w:tc>
        <w:tc>
          <w:tcPr>
            <w:tcW w:w="850" w:type="dxa"/>
          </w:tcPr>
          <w:p w14:paraId="51C0125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V1</w:t>
            </w:r>
          </w:p>
        </w:tc>
        <w:tc>
          <w:tcPr>
            <w:tcW w:w="1200" w:type="dxa"/>
          </w:tcPr>
          <w:p w14:paraId="508CC64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10% </w:t>
            </w:r>
            <w:proofErr w:type="spellStart"/>
            <w:r w:rsidRPr="00501ECB">
              <w:rPr>
                <w:rFonts w:ascii="Times New Roman" w:eastAsia="Times New Roman" w:hAnsi="Times New Roman" w:cs="Times New Roman"/>
                <w:color w:val="000000"/>
                <w:sz w:val="18"/>
                <w:szCs w:val="18"/>
                <w:lang w:val="en-US" w:eastAsia="nl-BE"/>
                <w14:ligatures w14:val="none"/>
              </w:rPr>
              <w:t>chelex</w:t>
            </w:r>
            <w:proofErr w:type="spellEnd"/>
            <w:r w:rsidRPr="00501ECB">
              <w:rPr>
                <w:rFonts w:ascii="Times New Roman" w:eastAsia="Times New Roman" w:hAnsi="Times New Roman" w:cs="Times New Roman"/>
                <w:color w:val="000000"/>
                <w:sz w:val="18"/>
                <w:szCs w:val="18"/>
                <w:lang w:val="en-US" w:eastAsia="nl-BE"/>
                <w14:ligatures w14:val="none"/>
              </w:rPr>
              <w:t xml:space="preserve"> extraction</w:t>
            </w:r>
          </w:p>
        </w:tc>
        <w:tc>
          <w:tcPr>
            <w:tcW w:w="959" w:type="dxa"/>
          </w:tcPr>
          <w:p w14:paraId="43A0A6B5"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96-capillary ABI3730XL DNA analyzer</w:t>
            </w:r>
          </w:p>
        </w:tc>
        <w:tc>
          <w:tcPr>
            <w:tcW w:w="1404" w:type="dxa"/>
          </w:tcPr>
          <w:p w14:paraId="12730CE7" w14:textId="5F945253" w:rsidR="00F50D9D" w:rsidRPr="00501ECB" w:rsidRDefault="00D75E12"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Good’s coverage (~85-95%)</w:t>
            </w:r>
          </w:p>
        </w:tc>
        <w:tc>
          <w:tcPr>
            <w:tcW w:w="1275" w:type="dxa"/>
          </w:tcPr>
          <w:p w14:paraId="052837B6" w14:textId="1039BF78"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KM603394</w:t>
            </w:r>
          </w:p>
          <w:p w14:paraId="72EDFF4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KM603467</w:t>
            </w:r>
          </w:p>
        </w:tc>
        <w:tc>
          <w:tcPr>
            <w:tcW w:w="1134" w:type="dxa"/>
          </w:tcPr>
          <w:p w14:paraId="2F684A66" w14:textId="11096B31"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Gorokhova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2015</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{"citationID":"yivlyy8E","properties":{"formattedCitation":"[14]","plainCitation":"[14]","noteIndex":0},"citationItems":[{"id":682,"uris":["http://zotero.org/users/12047481/items/TW2CUU69"],"itemData":{"id":682,"type":"article-journal","abstract":"In polluted environments, contaminant effects may be manifested via both direct toxicity to the host and changes in its microbiota, affecting bacteria–host interactions. In this context, particularly relevant is exposure to antibiotics released into environment. We examined effects of the antibiotic trimethoprim on microbiota of Daphnia magna and concomitant changes in the host feeding. In daphnids exposed to 0.25 mg L–1 trimethoprim for 24 h, the microbiota was strongly affected, with (1) up to 21-fold decrease in 16S rRNA gene abundance and (2) a shift from balanced communities dominated by Curvibacter, Aquabacterium, and Limnohabitans in controls to significantly lower diversity under dominance of Pelomonas in the exposed animals. Moreover, decreased feeding and digestion was observed in the animals exposed to 0.25–2 mg L–1 trimethoprim for 48 h and then fed 14C-labeled algae. Whereas the proportion of intact algal cells in the guts increased with increased trimethoprim concentration, ingestion and incorporation rates as well as digestion and incorporation efficiencies decreased significantly. Thus, antibiotics may impact nontarget species via changes in their microbiota leading to compromised nutrition and, ultimately, growth. These bacteria-mediated effects in nontarget organisms may not be unique for antibiotics, but also relevant for environmental pollutants of various nature.","container-title":"Environmental Science &amp; Technology","DOI":"10.1021/acs.est.5b00833","ISSN":"0013-936X","issue":"9","journalAbbreviation":"Environ. Sci. Technol.","note":"publisher: American Chemical Society","page":"5779-5787","source":"ACS Publications","title":"Bacteria-Mediated Effects of Antibiotics on Daphnia Nutrition","volume":"49","author":[{"family":"Gorokhova","given":"Elena"},{"family":"Rivetti","given":"Claudia"},{"family":"Furuhagen","given":"Sara"},{"family":"Edlund","given":"Anna"},{"family":"Ek","given":"Karin"},{"family":"Breitholtz","given":"Magnus"}],"issued":{"date-parts":[["2015",5,5]]}}}],"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[14]</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EFAF6A8" w14:textId="77777777" w:rsidR="00F50D9D" w:rsidRPr="00501ECB" w:rsidRDefault="00F50D9D" w:rsidP="006C4573">
            <w:pPr>
              <w:jc w:val="both"/>
              <w:rPr>
                <w:rFonts w:ascii="Times New Roman" w:eastAsia="Times New Roman" w:hAnsi="Times New Roman" w:cs="Times New Roman"/>
                <w:color w:val="C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1F17B5" w14:paraId="782914BB" w14:textId="77777777" w:rsidTr="00F50D9D">
        <w:tc>
          <w:tcPr>
            <w:tcW w:w="388" w:type="dxa"/>
          </w:tcPr>
          <w:p w14:paraId="7320DE7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14.</w:t>
            </w:r>
          </w:p>
        </w:tc>
        <w:tc>
          <w:tcPr>
            <w:tcW w:w="996" w:type="dxa"/>
          </w:tcPr>
          <w:p w14:paraId="4F02B58C"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53AACFD0"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KNO15.04</w:t>
            </w:r>
          </w:p>
          <w:p w14:paraId="3EF8A267" w14:textId="77777777" w:rsidR="00A544A1" w:rsidRPr="00C06356" w:rsidRDefault="00A544A1" w:rsidP="006C4573">
            <w:pPr>
              <w:jc w:val="both"/>
              <w:rPr>
                <w:rFonts w:ascii="Times New Roman" w:eastAsia="Times New Roman" w:hAnsi="Times New Roman" w:cs="Times New Roman"/>
                <w:color w:val="000000"/>
                <w:sz w:val="18"/>
                <w:szCs w:val="18"/>
                <w:lang w:val="en-US" w:eastAsia="nl-BE"/>
                <w14:ligatures w14:val="none"/>
              </w:rPr>
            </w:pPr>
          </w:p>
          <w:p w14:paraId="35FB98B2" w14:textId="4915A125" w:rsidR="00A544A1" w:rsidRPr="00A544A1" w:rsidRDefault="00A544A1" w:rsidP="006C4573">
            <w:pPr>
              <w:jc w:val="both"/>
              <w:rPr>
                <w:rFonts w:ascii="Times New Roman" w:eastAsia="Times New Roman" w:hAnsi="Times New Roman" w:cs="Times New Roman"/>
                <w:color w:val="000000"/>
                <w:sz w:val="18"/>
                <w:szCs w:val="18"/>
                <w:lang w:val="en-US" w:eastAsia="nl-BE"/>
                <w14:ligatures w14:val="none"/>
              </w:rPr>
            </w:pPr>
            <w:r w:rsidRPr="00A544A1">
              <w:rPr>
                <w:rFonts w:ascii="Times New Roman" w:eastAsia="Times New Roman" w:hAnsi="Times New Roman" w:cs="Times New Roman"/>
                <w:color w:val="000000"/>
                <w:sz w:val="18"/>
                <w:szCs w:val="18"/>
                <w:lang w:val="en-US" w:eastAsia="nl-BE"/>
                <w14:ligatures w14:val="none"/>
              </w:rPr>
              <w:t xml:space="preserve">15 </w:t>
            </w:r>
            <w:r w:rsidRPr="00A544A1">
              <w:rPr>
                <w:rFonts w:ascii="Times New Roman" w:eastAsia="Times New Roman" w:hAnsi="Times New Roman" w:cs="Times New Roman"/>
                <w:i/>
                <w:iCs/>
                <w:color w:val="000000"/>
                <w:sz w:val="18"/>
                <w:szCs w:val="18"/>
                <w:lang w:val="en-US" w:eastAsia="nl-BE"/>
                <w14:ligatures w14:val="none"/>
              </w:rPr>
              <w:t>Daphnia</w:t>
            </w:r>
            <w:r w:rsidRPr="00A544A1">
              <w:rPr>
                <w:rFonts w:ascii="Times New Roman" w:eastAsia="Times New Roman" w:hAnsi="Times New Roman" w:cs="Times New Roman"/>
                <w:color w:val="000000"/>
                <w:sz w:val="18"/>
                <w:szCs w:val="18"/>
                <w:lang w:val="en-US" w:eastAsia="nl-BE"/>
                <w14:ligatures w14:val="none"/>
              </w:rPr>
              <w:t xml:space="preserve"> pooled for </w:t>
            </w:r>
            <w:r w:rsidRPr="00A544A1">
              <w:rPr>
                <w:rFonts w:ascii="Times New Roman" w:eastAsia="Times New Roman" w:hAnsi="Times New Roman" w:cs="Times New Roman"/>
                <w:color w:val="000000"/>
                <w:sz w:val="18"/>
                <w:szCs w:val="18"/>
                <w:lang w:val="en-US" w:eastAsia="nl-BE"/>
                <w14:ligatures w14:val="none"/>
              </w:rPr>
              <w:lastRenderedPageBreak/>
              <w:t>whole m</w:t>
            </w:r>
            <w:r>
              <w:rPr>
                <w:rFonts w:ascii="Times New Roman" w:eastAsia="Times New Roman" w:hAnsi="Times New Roman" w:cs="Times New Roman"/>
                <w:color w:val="000000"/>
                <w:sz w:val="18"/>
                <w:szCs w:val="18"/>
                <w:lang w:val="en-US" w:eastAsia="nl-BE"/>
                <w14:ligatures w14:val="none"/>
              </w:rPr>
              <w:t>icrobiome samples and dissected guts of 15 daphnids were pooled for gut microbiome analysis</w:t>
            </w:r>
          </w:p>
        </w:tc>
        <w:tc>
          <w:tcPr>
            <w:tcW w:w="1093" w:type="dxa"/>
          </w:tcPr>
          <w:p w14:paraId="101DC088"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lastRenderedPageBreak/>
              <w:t>Variation</w:t>
            </w:r>
            <w:proofErr w:type="spellEnd"/>
            <w:r w:rsidRPr="00501ECB">
              <w:rPr>
                <w:rFonts w:ascii="Times New Roman" w:eastAsia="Times New Roman" w:hAnsi="Times New Roman" w:cs="Times New Roman"/>
                <w:color w:val="000000"/>
                <w:sz w:val="18"/>
                <w:szCs w:val="18"/>
                <w:lang w:val="es-ES" w:eastAsia="nl-BE"/>
                <w14:ligatures w14:val="none"/>
              </w:rPr>
              <w:t xml:space="preserve"> in </w:t>
            </w:r>
            <w:proofErr w:type="spellStart"/>
            <w:r w:rsidRPr="00501ECB">
              <w:rPr>
                <w:rFonts w:ascii="Times New Roman" w:eastAsia="Times New Roman" w:hAnsi="Times New Roman" w:cs="Times New Roman"/>
                <w:color w:val="000000"/>
                <w:sz w:val="18"/>
                <w:szCs w:val="18"/>
                <w:lang w:val="es-ES" w:eastAsia="nl-BE"/>
                <w14:ligatures w14:val="none"/>
              </w:rPr>
              <w:t>food</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availability</w:t>
            </w:r>
            <w:proofErr w:type="spellEnd"/>
          </w:p>
        </w:tc>
        <w:tc>
          <w:tcPr>
            <w:tcW w:w="738" w:type="dxa"/>
          </w:tcPr>
          <w:p w14:paraId="606FC90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 Whole animal</w:t>
            </w:r>
          </w:p>
        </w:tc>
        <w:tc>
          <w:tcPr>
            <w:tcW w:w="1113" w:type="dxa"/>
          </w:tcPr>
          <w:p w14:paraId="4CF63198" w14:textId="5E8306C0"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Knokke, </w:t>
            </w:r>
            <w:r w:rsidRPr="00501ECB">
              <w:rPr>
                <w:rFonts w:ascii="Times New Roman" w:eastAsia="Times New Roman" w:hAnsi="Times New Roman" w:cs="Times New Roman"/>
                <w:color w:val="000000"/>
                <w:sz w:val="18"/>
                <w:szCs w:val="18"/>
                <w:lang w:val="en-US" w:eastAsia="nl-BE"/>
                <w14:ligatures w14:val="none"/>
              </w:rPr>
              <w:t>Belgium</w:t>
            </w:r>
          </w:p>
        </w:tc>
        <w:tc>
          <w:tcPr>
            <w:tcW w:w="1117" w:type="dxa"/>
          </w:tcPr>
          <w:p w14:paraId="1BD973F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00431CE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343F-798R</w:t>
            </w:r>
          </w:p>
        </w:tc>
        <w:tc>
          <w:tcPr>
            <w:tcW w:w="850" w:type="dxa"/>
          </w:tcPr>
          <w:p w14:paraId="29B8B70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V3-V4</w:t>
            </w:r>
          </w:p>
        </w:tc>
        <w:tc>
          <w:tcPr>
            <w:tcW w:w="1200" w:type="dxa"/>
          </w:tcPr>
          <w:p w14:paraId="2E51D9E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Phenol-chloroform extraction</w:t>
            </w:r>
          </w:p>
        </w:tc>
        <w:tc>
          <w:tcPr>
            <w:tcW w:w="959" w:type="dxa"/>
          </w:tcPr>
          <w:p w14:paraId="1521B67C"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454 pyrosequencing</w:t>
            </w:r>
          </w:p>
        </w:tc>
        <w:tc>
          <w:tcPr>
            <w:tcW w:w="1404" w:type="dxa"/>
          </w:tcPr>
          <w:p w14:paraId="62F87C8D"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275" w:type="dxa"/>
            <w:shd w:val="clear" w:color="auto" w:fill="auto"/>
          </w:tcPr>
          <w:p w14:paraId="496269AB" w14:textId="62C2B722"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LN869908-LN869916</w:t>
            </w:r>
          </w:p>
        </w:tc>
        <w:tc>
          <w:tcPr>
            <w:tcW w:w="1134" w:type="dxa"/>
          </w:tcPr>
          <w:p w14:paraId="5F7CAEEB" w14:textId="12FB47C3"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Callens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2016</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{"citationID":"Ahq7NzgE","properties":{"formattedCitation":"[15]","plainCitation":"[15]","noteIndex":0},"citationItems":[{"id":402,"uris":["http://zotero.org/users/12047481/items/NYF724VW"],"itemData":{"id":402,"type":"webpage","title":"Food availability affects the strength of mutualistic host–microbiota interactions in Daphnia magna | The ISME Journal","URL":"https://www-nature-com.kuleuven.e-bronnen.be/articles/ismej2015166","author":[{"family":"Callens","given":"Martijn"},{"family":"Macke","given":"Emilie"},{"family":"Muylaert","given":"Koenraad"},{"family":"Bossier","given":"Peter"},{"family":"Lievens","given":"Bart"},{"family":"Waud","given":"Michael"},{"family":"Decaestecker","given":"Ellen"}],"accessed":{"date-parts":[["2024",10,22]]}}}],"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[15]</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D4F597E" w14:textId="1EF7AAC5" w:rsidR="00F50D9D" w:rsidRPr="00501ECB" w:rsidRDefault="00F50D9D" w:rsidP="006C4573">
            <w:pPr>
              <w:jc w:val="both"/>
              <w:rPr>
                <w:rFonts w:ascii="Times New Roman" w:eastAsia="Times New Roman" w:hAnsi="Times New Roman" w:cs="Times New Roman"/>
                <w:color w:val="C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463E03C3" w14:textId="77777777" w:rsidTr="00F50D9D">
        <w:tc>
          <w:tcPr>
            <w:tcW w:w="388" w:type="dxa"/>
          </w:tcPr>
          <w:p w14:paraId="5B0D419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15.</w:t>
            </w:r>
          </w:p>
        </w:tc>
        <w:tc>
          <w:tcPr>
            <w:tcW w:w="996" w:type="dxa"/>
          </w:tcPr>
          <w:p w14:paraId="269A4135"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54CBA470"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MN</w:t>
            </w:r>
          </w:p>
          <w:p w14:paraId="06C451B1" w14:textId="6253973B" w:rsidR="009E46B2" w:rsidRPr="009E46B2" w:rsidRDefault="009E46B2" w:rsidP="006C4573">
            <w:pPr>
              <w:jc w:val="both"/>
              <w:rPr>
                <w:rFonts w:ascii="Times New Roman" w:eastAsia="Times New Roman" w:hAnsi="Times New Roman" w:cs="Times New Roman"/>
                <w:color w:val="000000"/>
                <w:sz w:val="18"/>
                <w:szCs w:val="18"/>
                <w:lang w:val="en-US" w:eastAsia="nl-BE"/>
                <w14:ligatures w14:val="none"/>
              </w:rPr>
            </w:pPr>
            <w:r w:rsidRPr="009E46B2">
              <w:rPr>
                <w:rFonts w:ascii="Times New Roman" w:eastAsia="Times New Roman" w:hAnsi="Times New Roman" w:cs="Times New Roman"/>
                <w:color w:val="000000"/>
                <w:sz w:val="18"/>
                <w:szCs w:val="18"/>
                <w:lang w:val="en-US" w:eastAsia="nl-BE"/>
                <w14:ligatures w14:val="none"/>
              </w:rPr>
              <w:t>DNA extracted from individual e</w:t>
            </w:r>
            <w:r>
              <w:rPr>
                <w:rFonts w:ascii="Times New Roman" w:eastAsia="Times New Roman" w:hAnsi="Times New Roman" w:cs="Times New Roman"/>
                <w:color w:val="000000"/>
                <w:sz w:val="18"/>
                <w:szCs w:val="18"/>
                <w:lang w:val="en-US" w:eastAsia="nl-BE"/>
                <w14:ligatures w14:val="none"/>
              </w:rPr>
              <w:t>phippia</w:t>
            </w:r>
          </w:p>
        </w:tc>
        <w:tc>
          <w:tcPr>
            <w:tcW w:w="1093" w:type="dxa"/>
          </w:tcPr>
          <w:p w14:paraId="347EB90F"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t>Ephippia-associated</w:t>
            </w:r>
            <w:proofErr w:type="spellEnd"/>
            <w:r w:rsidRPr="00501ECB">
              <w:rPr>
                <w:rFonts w:ascii="Times New Roman" w:eastAsia="Times New Roman" w:hAnsi="Times New Roman" w:cs="Times New Roman"/>
                <w:color w:val="000000"/>
                <w:sz w:val="18"/>
                <w:szCs w:val="18"/>
                <w:lang w:val="es-ES" w:eastAsia="nl-BE"/>
                <w14:ligatures w14:val="none"/>
              </w:rPr>
              <w:t xml:space="preserve"> microbiota</w:t>
            </w:r>
          </w:p>
        </w:tc>
        <w:tc>
          <w:tcPr>
            <w:tcW w:w="738" w:type="dxa"/>
          </w:tcPr>
          <w:p w14:paraId="7C8E526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Ephippium</w:t>
            </w:r>
          </w:p>
        </w:tc>
        <w:tc>
          <w:tcPr>
            <w:tcW w:w="1113" w:type="dxa"/>
          </w:tcPr>
          <w:p w14:paraId="3DB3670A" w14:textId="342A347D"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Munich, </w:t>
            </w:r>
            <w:r w:rsidRPr="00501ECB">
              <w:rPr>
                <w:rFonts w:ascii="Times New Roman" w:eastAsia="Times New Roman" w:hAnsi="Times New Roman" w:cs="Times New Roman"/>
                <w:color w:val="000000"/>
                <w:sz w:val="18"/>
                <w:szCs w:val="18"/>
                <w:lang w:val="en-US" w:eastAsia="nl-BE"/>
                <w14:ligatures w14:val="none"/>
              </w:rPr>
              <w:t>Germany</w:t>
            </w:r>
          </w:p>
        </w:tc>
        <w:tc>
          <w:tcPr>
            <w:tcW w:w="1117" w:type="dxa"/>
          </w:tcPr>
          <w:p w14:paraId="2684AE2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34" w:type="dxa"/>
          </w:tcPr>
          <w:p w14:paraId="4B198E2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341F, 785R</w:t>
            </w:r>
          </w:p>
        </w:tc>
        <w:tc>
          <w:tcPr>
            <w:tcW w:w="850" w:type="dxa"/>
          </w:tcPr>
          <w:p w14:paraId="2E6FE17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w:t>
            </w:r>
          </w:p>
        </w:tc>
        <w:tc>
          <w:tcPr>
            <w:tcW w:w="1200" w:type="dxa"/>
          </w:tcPr>
          <w:p w14:paraId="15293D8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 soil DNA isolation kit, MOBIO Laboratories</w:t>
            </w:r>
          </w:p>
        </w:tc>
        <w:tc>
          <w:tcPr>
            <w:tcW w:w="959" w:type="dxa"/>
          </w:tcPr>
          <w:p w14:paraId="6A2AB085"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(reagent kit v3, 300 bp paired-end reads).</w:t>
            </w:r>
          </w:p>
        </w:tc>
        <w:tc>
          <w:tcPr>
            <w:tcW w:w="1404" w:type="dxa"/>
          </w:tcPr>
          <w:p w14:paraId="2E7140EF" w14:textId="793E4AB6" w:rsidR="00F50D9D" w:rsidRPr="00F50D9D" w:rsidRDefault="009E46B2"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Rarefaction</w:t>
            </w:r>
            <w:proofErr w:type="spellEnd"/>
            <w:r>
              <w:rPr>
                <w:rFonts w:ascii="Times New Roman" w:eastAsia="Times New Roman" w:hAnsi="Times New Roman" w:cs="Times New Roman"/>
                <w:color w:val="000000"/>
                <w:sz w:val="18"/>
                <w:szCs w:val="18"/>
                <w:lang w:eastAsia="nl-BE"/>
                <w14:ligatures w14:val="none"/>
              </w:rPr>
              <w:t xml:space="preserve"> </w:t>
            </w:r>
            <w:proofErr w:type="spellStart"/>
            <w:r>
              <w:rPr>
                <w:rFonts w:ascii="Times New Roman" w:eastAsia="Times New Roman" w:hAnsi="Times New Roman" w:cs="Times New Roman"/>
                <w:color w:val="000000"/>
                <w:sz w:val="18"/>
                <w:szCs w:val="18"/>
                <w:lang w:eastAsia="nl-BE"/>
                <w14:ligatures w14:val="none"/>
              </w:rPr>
              <w:t>depth</w:t>
            </w:r>
            <w:proofErr w:type="spellEnd"/>
            <w:r>
              <w:rPr>
                <w:rFonts w:ascii="Times New Roman" w:eastAsia="Times New Roman" w:hAnsi="Times New Roman" w:cs="Times New Roman"/>
                <w:color w:val="000000"/>
                <w:sz w:val="18"/>
                <w:szCs w:val="18"/>
                <w:lang w:eastAsia="nl-BE"/>
                <w14:ligatures w14:val="none"/>
              </w:rPr>
              <w:t xml:space="preserve">: </w:t>
            </w:r>
            <w:r w:rsidRPr="009E46B2">
              <w:rPr>
                <w:rFonts w:ascii="Times New Roman" w:eastAsia="Times New Roman" w:hAnsi="Times New Roman" w:cs="Times New Roman"/>
                <w:color w:val="000000"/>
                <w:sz w:val="18"/>
                <w:szCs w:val="18"/>
                <w:lang w:eastAsia="nl-BE"/>
                <w14:ligatures w14:val="none"/>
              </w:rPr>
              <w:t xml:space="preserve">26,307 </w:t>
            </w:r>
            <w:proofErr w:type="spellStart"/>
            <w:r w:rsidRPr="009E46B2">
              <w:rPr>
                <w:rFonts w:ascii="Times New Roman" w:eastAsia="Times New Roman" w:hAnsi="Times New Roman" w:cs="Times New Roman"/>
                <w:color w:val="000000"/>
                <w:sz w:val="18"/>
                <w:szCs w:val="18"/>
                <w:lang w:eastAsia="nl-BE"/>
                <w14:ligatures w14:val="none"/>
              </w:rPr>
              <w:t>reads</w:t>
            </w:r>
            <w:proofErr w:type="spellEnd"/>
          </w:p>
        </w:tc>
        <w:tc>
          <w:tcPr>
            <w:tcW w:w="1275" w:type="dxa"/>
          </w:tcPr>
          <w:p w14:paraId="02C2D2E9" w14:textId="71CF07F5"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PRJEB20984</w:t>
            </w:r>
          </w:p>
        </w:tc>
        <w:tc>
          <w:tcPr>
            <w:tcW w:w="1134" w:type="dxa"/>
          </w:tcPr>
          <w:p w14:paraId="0721DA0A" w14:textId="1913CD71"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Mushegian</w:t>
            </w:r>
            <w:proofErr w:type="spellEnd"/>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2017</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{"citationID":"271rCOoa","properties":{"formattedCitation":"[16]","plainCitation":"[16]","noteIndex":0},"citationItems":[{"id":449,"uris":["http://zotero.org/users/12047481/items/L35ZZL3E"],"itemData":{"id":449,"type":"article-journal","abstract":"A critical question in symbiosis research is where and how organisms obtain beneficial microbial symbionts in different ecological contexts. Microbiota of juveniles are often derived directly from their mother or from the immediate environment. The origin of beneficial symbionts, however, is less obvious in organisms with diapause and dispersal stages, such as plants with dormant seeds and animals in ephemeral or strongly seasonal habitats. In these cases, parents and offspring are separated in time and space, which may affect opportunities for both vertical and horizontal transmission of symbionts. The planktonic crustacean Daphnia produces long-lasting resting eggs to endure winter freezing and summer droughts and requires microbiota for growth and reproduction. It is unknown how hatchlings from resting stages form associations with microbial consorts after diapause. Using natural samples of D. magna resting eggs after several years of storage, we show that the total bacterial community derived from both the exterior and interior of the eggs’ ephippial cases is sufficiently beneficial to ensure normal Daphnia functioning in otherwise bacteria-free conditions. We do not find direct evidence that the required bacteria are of maternal origin, though sequencing reveals that the resting stage is accompanied by bacterial taxa previously found in association with adult animals. These findings suggest that although Daphnia are strongly dependent on environmental bacteria for normal functioning, host-bacteria associations are somewhat general and availability of specific bacteria is not a strong constraint on host ecology. Nevertheless, animals and microbes may be ecologically linked through co-dispersal.","container-title":"Journal of Animal Ecology","DOI":"10.1111/1365-2656.12709","ISSN":"1365-2656","issue":"2","language":"en","license":"© 2017 The Authors. Journal of Animal Ecology © 2017 British Ecological Society","note":"_eprint: https://besjournals.onlinelibrary.wiley.com/doi/pdf/10.1111/1365-2656.12709","page":"400-413","source":"Wiley Online Library","title":"The microbiota of diapause: How host–microbe associations are formed after dormancy in an aquatic crustacean","title-short":"The microbiota of diapause","volume":"87","author":[{"family":"Mushegian","given":"Alexandra A."},{"family":"Walser","given":"Jean-Claude"},{"family":"Sullam","given":"Karen E."},{"family":"Ebert","given":"Dieter"}],"issued":{"date-parts":[["2018"]]}}}],"schema":"https://github.com/citation-style-language/schema/raw/master/csl-citation.json"}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[16]</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38B65740" w14:textId="77777777" w:rsidR="00F50D9D" w:rsidRPr="00501ECB" w:rsidRDefault="00F50D9D" w:rsidP="006C4573">
            <w:pPr>
              <w:jc w:val="both"/>
              <w:rPr>
                <w:rFonts w:ascii="Times New Roman" w:eastAsia="Times New Roman" w:hAnsi="Times New Roman" w:cs="Times New Roman"/>
                <w:color w:val="C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1F17B5" w14:paraId="33187E02" w14:textId="77777777" w:rsidTr="00F50D9D">
        <w:tc>
          <w:tcPr>
            <w:tcW w:w="388" w:type="dxa"/>
          </w:tcPr>
          <w:p w14:paraId="5423325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16.</w:t>
            </w:r>
          </w:p>
        </w:tc>
        <w:tc>
          <w:tcPr>
            <w:tcW w:w="996" w:type="dxa"/>
          </w:tcPr>
          <w:p w14:paraId="65503AE1"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51EFB7CF" w14:textId="77777777" w:rsidR="00F50D9D" w:rsidRPr="00501ECB" w:rsidRDefault="00F50D9D" w:rsidP="006C4573">
            <w:pPr>
              <w:jc w:val="center"/>
              <w:rPr>
                <w:rFonts w:ascii="Times New Roman" w:eastAsia="Times New Roman" w:hAnsi="Times New Roman" w:cs="Times New Roman"/>
                <w:color w:val="000000"/>
                <w:sz w:val="18"/>
                <w:szCs w:val="18"/>
                <w:lang w:val="de-DE" w:eastAsia="nl-BE"/>
                <w14:ligatures w14:val="none"/>
              </w:rPr>
            </w:pPr>
            <w:r w:rsidRPr="00501ECB">
              <w:rPr>
                <w:rFonts w:ascii="Times New Roman" w:eastAsia="Times New Roman" w:hAnsi="Times New Roman" w:cs="Times New Roman"/>
                <w:color w:val="000000"/>
                <w:sz w:val="18"/>
                <w:szCs w:val="18"/>
                <w:lang w:val="de-DE" w:eastAsia="nl-BE"/>
                <w14:ligatures w14:val="none"/>
              </w:rPr>
              <w:t>FI−N−47−20</w:t>
            </w:r>
          </w:p>
          <w:p w14:paraId="746B5384"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RU-RM1-009</w:t>
            </w:r>
          </w:p>
          <w:p w14:paraId="546FEE8E"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RU-BOL1-1</w:t>
            </w:r>
          </w:p>
          <w:p w14:paraId="651FA450"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RU-KOR1-1</w:t>
            </w:r>
          </w:p>
          <w:p w14:paraId="09EF6C07"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FI-FHS2-11-8</w:t>
            </w:r>
          </w:p>
          <w:p w14:paraId="41100FA6"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FI-FUT1-2-1</w:t>
            </w:r>
          </w:p>
          <w:p w14:paraId="20353B9B"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FR-C1-1</w:t>
            </w:r>
          </w:p>
          <w:p w14:paraId="353C7D28"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IT-ISR1-8</w:t>
            </w:r>
          </w:p>
          <w:p w14:paraId="6C9A24D2"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GB-EL75-69</w:t>
            </w:r>
          </w:p>
          <w:p w14:paraId="70837C74"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SE-EL75-69</w:t>
            </w:r>
          </w:p>
          <w:p w14:paraId="7F4A6B31"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SE-G1-9</w:t>
            </w:r>
          </w:p>
          <w:p w14:paraId="64FF3D25"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n-US" w:eastAsia="nl-BE"/>
                <w14:ligatures w14:val="none"/>
              </w:rPr>
            </w:pPr>
            <w:r w:rsidRPr="00501ECB">
              <w:rPr>
                <w:rFonts w:ascii="Times New Roman" w:eastAsia="Times New Roman" w:hAnsi="Times New Roman" w:cs="Times New Roman"/>
                <w:color w:val="222222"/>
                <w:sz w:val="18"/>
                <w:szCs w:val="18"/>
                <w:shd w:val="clear" w:color="auto" w:fill="FFFFFF"/>
                <w:lang w:val="en-US" w:eastAsia="nl-BE"/>
                <w14:ligatures w14:val="none"/>
              </w:rPr>
              <w:t>BY-G1-9</w:t>
            </w:r>
          </w:p>
          <w:p w14:paraId="2ED9A882" w14:textId="77777777" w:rsidR="00F50D9D" w:rsidRPr="00501ECB" w:rsidRDefault="00F50D9D" w:rsidP="006C4573">
            <w:pPr>
              <w:jc w:val="center"/>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IL-M1-8</w:t>
            </w:r>
          </w:p>
          <w:p w14:paraId="6F224490"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n-US" w:eastAsia="nl-BE"/>
                <w14:ligatures w14:val="none"/>
              </w:rPr>
            </w:pPr>
            <w:r w:rsidRPr="00501ECB">
              <w:rPr>
                <w:rFonts w:ascii="Times New Roman" w:eastAsia="Times New Roman" w:hAnsi="Times New Roman" w:cs="Times New Roman"/>
                <w:color w:val="222222"/>
                <w:sz w:val="18"/>
                <w:szCs w:val="18"/>
                <w:shd w:val="clear" w:color="auto" w:fill="FFFFFF"/>
                <w:lang w:val="en-US" w:eastAsia="nl-BE"/>
                <w14:ligatures w14:val="none"/>
              </w:rPr>
              <w:t>FI-FSP1-16-2</w:t>
            </w:r>
          </w:p>
          <w:p w14:paraId="10AD3124"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en-US" w:eastAsia="nl-BE"/>
                <w14:ligatures w14:val="none"/>
              </w:rPr>
            </w:pPr>
            <w:r w:rsidRPr="00501ECB">
              <w:rPr>
                <w:rFonts w:ascii="Times New Roman" w:eastAsia="Times New Roman" w:hAnsi="Times New Roman" w:cs="Times New Roman"/>
                <w:color w:val="222222"/>
                <w:sz w:val="18"/>
                <w:szCs w:val="18"/>
                <w:shd w:val="clear" w:color="auto" w:fill="FFFFFF"/>
                <w:lang w:val="en-US" w:eastAsia="nl-BE"/>
                <w14:ligatures w14:val="none"/>
              </w:rPr>
              <w:t>BE-OM-2</w:t>
            </w:r>
          </w:p>
          <w:p w14:paraId="5F42EA0C"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CH-H-149</w:t>
            </w:r>
          </w:p>
          <w:p w14:paraId="2519C280"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DE-K35-Mu11</w:t>
            </w:r>
          </w:p>
          <w:p w14:paraId="684770CE" w14:textId="77777777" w:rsidR="00F50D9D" w:rsidRPr="00501ECB" w:rsidRDefault="00F50D9D" w:rsidP="006C4573">
            <w:pPr>
              <w:jc w:val="center"/>
              <w:rPr>
                <w:rFonts w:ascii="Times New Roman" w:eastAsia="Times New Roman" w:hAnsi="Times New Roman" w:cs="Times New Roman"/>
                <w:color w:val="222222"/>
                <w:sz w:val="18"/>
                <w:szCs w:val="18"/>
                <w:shd w:val="clear" w:color="auto" w:fill="FFFFFF"/>
                <w:lang w:val="de-DE" w:eastAsia="nl-BE"/>
                <w14:ligatures w14:val="none"/>
              </w:rPr>
            </w:pPr>
            <w:r w:rsidRPr="00501ECB">
              <w:rPr>
                <w:rFonts w:ascii="Times New Roman" w:eastAsia="Times New Roman" w:hAnsi="Times New Roman" w:cs="Times New Roman"/>
                <w:color w:val="222222"/>
                <w:sz w:val="18"/>
                <w:szCs w:val="18"/>
                <w:shd w:val="clear" w:color="auto" w:fill="FFFFFF"/>
                <w:lang w:val="de-DE" w:eastAsia="nl-BE"/>
                <w14:ligatures w14:val="none"/>
              </w:rPr>
              <w:t>RU-YAK1-1</w:t>
            </w:r>
          </w:p>
          <w:p w14:paraId="33A1396F" w14:textId="77777777" w:rsidR="00F50D9D" w:rsidRPr="00C06356" w:rsidRDefault="00F50D9D" w:rsidP="006C4573">
            <w:pPr>
              <w:jc w:val="center"/>
              <w:rPr>
                <w:rFonts w:ascii="Times New Roman" w:eastAsia="Times New Roman" w:hAnsi="Times New Roman" w:cs="Times New Roman"/>
                <w:color w:val="222222"/>
                <w:sz w:val="18"/>
                <w:szCs w:val="18"/>
                <w:shd w:val="clear" w:color="auto" w:fill="FFFFFF"/>
                <w:lang w:val="en-US" w:eastAsia="nl-BE"/>
                <w14:ligatures w14:val="none"/>
              </w:rPr>
            </w:pPr>
            <w:r w:rsidRPr="00C06356">
              <w:rPr>
                <w:rFonts w:ascii="Times New Roman" w:eastAsia="Times New Roman" w:hAnsi="Times New Roman" w:cs="Times New Roman"/>
                <w:color w:val="222222"/>
                <w:sz w:val="18"/>
                <w:szCs w:val="18"/>
                <w:shd w:val="clear" w:color="auto" w:fill="FFFFFF"/>
                <w:lang w:val="en-US" w:eastAsia="nl-BE"/>
                <w14:ligatures w14:val="none"/>
              </w:rPr>
              <w:t>IR-GG1-7</w:t>
            </w:r>
          </w:p>
          <w:p w14:paraId="6B6BFA7B" w14:textId="77777777" w:rsidR="001D46D6" w:rsidRPr="00C06356" w:rsidRDefault="001D46D6" w:rsidP="006C4573">
            <w:pPr>
              <w:jc w:val="center"/>
              <w:rPr>
                <w:rFonts w:ascii="Times New Roman" w:eastAsia="Times New Roman" w:hAnsi="Times New Roman" w:cs="Times New Roman"/>
                <w:color w:val="222222"/>
                <w:sz w:val="18"/>
                <w:szCs w:val="18"/>
                <w:shd w:val="clear" w:color="auto" w:fill="FFFFFF"/>
                <w:lang w:val="en-US" w:eastAsia="nl-BE"/>
                <w14:ligatures w14:val="none"/>
              </w:rPr>
            </w:pPr>
          </w:p>
          <w:p w14:paraId="17BF738B" w14:textId="0E5384BA" w:rsidR="001D46D6" w:rsidRPr="001D46D6" w:rsidRDefault="001D46D6" w:rsidP="006C4573">
            <w:pPr>
              <w:jc w:val="center"/>
              <w:rPr>
                <w:rFonts w:ascii="Times New Roman" w:eastAsia="Times New Roman" w:hAnsi="Times New Roman" w:cs="Times New Roman"/>
                <w:color w:val="000000"/>
                <w:sz w:val="18"/>
                <w:szCs w:val="18"/>
                <w:lang w:val="en-US" w:eastAsia="nl-BE"/>
                <w14:ligatures w14:val="none"/>
              </w:rPr>
            </w:pPr>
            <w:r w:rsidRPr="001D46D6">
              <w:rPr>
                <w:rFonts w:ascii="Times New Roman" w:eastAsia="Times New Roman" w:hAnsi="Times New Roman" w:cs="Times New Roman"/>
                <w:color w:val="222222"/>
                <w:sz w:val="18"/>
                <w:szCs w:val="18"/>
                <w:shd w:val="clear" w:color="auto" w:fill="FFFFFF"/>
                <w:lang w:val="en-US" w:eastAsia="nl-BE"/>
                <w14:ligatures w14:val="none"/>
              </w:rPr>
              <w:t xml:space="preserve">Individual </w:t>
            </w:r>
            <w:r w:rsidRPr="001D46D6">
              <w:rPr>
                <w:rFonts w:ascii="Times New Roman" w:eastAsia="Times New Roman" w:hAnsi="Times New Roman" w:cs="Times New Roman"/>
                <w:color w:val="222222"/>
                <w:sz w:val="18"/>
                <w:szCs w:val="18"/>
                <w:shd w:val="clear" w:color="auto" w:fill="FFFFFF"/>
                <w:lang w:val="en-US" w:eastAsia="nl-BE"/>
                <w14:ligatures w14:val="none"/>
              </w:rPr>
              <w:lastRenderedPageBreak/>
              <w:t>daphnids taken from e</w:t>
            </w:r>
            <w:r>
              <w:rPr>
                <w:rFonts w:ascii="Times New Roman" w:eastAsia="Times New Roman" w:hAnsi="Times New Roman" w:cs="Times New Roman"/>
                <w:color w:val="222222"/>
                <w:sz w:val="18"/>
                <w:szCs w:val="18"/>
                <w:shd w:val="clear" w:color="auto" w:fill="FFFFFF"/>
                <w:lang w:val="en-US" w:eastAsia="nl-BE"/>
                <w14:ligatures w14:val="none"/>
              </w:rPr>
              <w:t>ach sample per clone</w:t>
            </w:r>
          </w:p>
        </w:tc>
        <w:tc>
          <w:tcPr>
            <w:tcW w:w="1093" w:type="dxa"/>
          </w:tcPr>
          <w:p w14:paraId="26C053C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 xml:space="preserve">Combined effect of </w:t>
            </w:r>
            <w:proofErr w:type="spellStart"/>
            <w:r w:rsidRPr="00501ECB">
              <w:rPr>
                <w:rFonts w:ascii="Times New Roman" w:eastAsia="Times New Roman" w:hAnsi="Times New Roman" w:cs="Times New Roman"/>
                <w:color w:val="000000"/>
                <w:sz w:val="18"/>
                <w:szCs w:val="18"/>
                <w:lang w:val="en-US" w:eastAsia="nl-BE"/>
                <w14:ligatures w14:val="none"/>
              </w:rPr>
              <w:t>temperatura</w:t>
            </w:r>
            <w:proofErr w:type="spellEnd"/>
            <w:r w:rsidRPr="00501ECB">
              <w:rPr>
                <w:rFonts w:ascii="Times New Roman" w:eastAsia="Times New Roman" w:hAnsi="Times New Roman" w:cs="Times New Roman"/>
                <w:color w:val="000000"/>
                <w:sz w:val="18"/>
                <w:szCs w:val="18"/>
                <w:lang w:val="en-US" w:eastAsia="nl-BE"/>
                <w14:ligatures w14:val="none"/>
              </w:rPr>
              <w:t xml:space="preserve"> and host clonal line</w:t>
            </w:r>
          </w:p>
        </w:tc>
        <w:tc>
          <w:tcPr>
            <w:tcW w:w="738" w:type="dxa"/>
          </w:tcPr>
          <w:p w14:paraId="3B5A6FD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59F1F53E" w14:textId="77777777" w:rsidR="00F50D9D" w:rsidRPr="00501ECB" w:rsidRDefault="00F50D9D" w:rsidP="006C4573">
            <w:pPr>
              <w:jc w:val="both"/>
              <w:rPr>
                <w:rFonts w:ascii="Times New Roman" w:eastAsia="Times New Roman" w:hAnsi="Times New Roman" w:cs="Times New Roman"/>
                <w:color w:val="000000"/>
                <w:sz w:val="18"/>
                <w:szCs w:val="18"/>
                <w:lang w:val="de-DE" w:eastAsia="nl-BE"/>
                <w14:ligatures w14:val="none"/>
              </w:rPr>
            </w:pPr>
            <w:proofErr w:type="spellStart"/>
            <w:r w:rsidRPr="00501ECB">
              <w:rPr>
                <w:rFonts w:ascii="Times New Roman" w:eastAsia="Times New Roman" w:hAnsi="Times New Roman" w:cs="Times New Roman"/>
                <w:color w:val="000000"/>
                <w:sz w:val="18"/>
                <w:szCs w:val="18"/>
                <w:lang w:val="de-DE" w:eastAsia="nl-BE"/>
                <w14:ligatures w14:val="none"/>
              </w:rPr>
              <w:t>Finland</w:t>
            </w:r>
            <w:proofErr w:type="spellEnd"/>
            <w:r w:rsidRPr="00501ECB">
              <w:rPr>
                <w:rFonts w:ascii="Times New Roman" w:eastAsia="Times New Roman" w:hAnsi="Times New Roman" w:cs="Times New Roman"/>
                <w:color w:val="000000"/>
                <w:sz w:val="18"/>
                <w:szCs w:val="18"/>
                <w:lang w:val="de-DE" w:eastAsia="nl-BE"/>
                <w14:ligatures w14:val="none"/>
              </w:rPr>
              <w:t xml:space="preserve">, Russia, France, </w:t>
            </w:r>
            <w:proofErr w:type="spellStart"/>
            <w:r w:rsidRPr="00501ECB">
              <w:rPr>
                <w:rFonts w:ascii="Times New Roman" w:eastAsia="Times New Roman" w:hAnsi="Times New Roman" w:cs="Times New Roman"/>
                <w:color w:val="000000"/>
                <w:sz w:val="18"/>
                <w:szCs w:val="18"/>
                <w:lang w:val="de-DE" w:eastAsia="nl-BE"/>
                <w14:ligatures w14:val="none"/>
              </w:rPr>
              <w:t>Italy,UK</w:t>
            </w:r>
            <w:proofErr w:type="spellEnd"/>
            <w:r w:rsidRPr="00501ECB">
              <w:rPr>
                <w:rFonts w:ascii="Times New Roman" w:eastAsia="Times New Roman" w:hAnsi="Times New Roman" w:cs="Times New Roman"/>
                <w:color w:val="000000"/>
                <w:sz w:val="18"/>
                <w:szCs w:val="18"/>
                <w:lang w:val="de-DE" w:eastAsia="nl-BE"/>
                <w14:ligatures w14:val="none"/>
              </w:rPr>
              <w:t xml:space="preserve">, </w:t>
            </w:r>
            <w:proofErr w:type="spellStart"/>
            <w:r w:rsidRPr="00501ECB">
              <w:rPr>
                <w:rFonts w:ascii="Times New Roman" w:eastAsia="Times New Roman" w:hAnsi="Times New Roman" w:cs="Times New Roman"/>
                <w:color w:val="000000"/>
                <w:sz w:val="18"/>
                <w:szCs w:val="18"/>
                <w:lang w:val="de-DE" w:eastAsia="nl-BE"/>
                <w14:ligatures w14:val="none"/>
              </w:rPr>
              <w:t>Sweden</w:t>
            </w:r>
            <w:proofErr w:type="spellEnd"/>
            <w:r w:rsidRPr="00501ECB">
              <w:rPr>
                <w:rFonts w:ascii="Times New Roman" w:eastAsia="Times New Roman" w:hAnsi="Times New Roman" w:cs="Times New Roman"/>
                <w:color w:val="000000"/>
                <w:sz w:val="18"/>
                <w:szCs w:val="18"/>
                <w:lang w:val="de-DE" w:eastAsia="nl-BE"/>
                <w14:ligatures w14:val="none"/>
              </w:rPr>
              <w:t xml:space="preserve">, Belarus, Israel, </w:t>
            </w:r>
            <w:proofErr w:type="spellStart"/>
            <w:r w:rsidRPr="00501ECB">
              <w:rPr>
                <w:rFonts w:ascii="Times New Roman" w:eastAsia="Times New Roman" w:hAnsi="Times New Roman" w:cs="Times New Roman"/>
                <w:color w:val="000000"/>
                <w:sz w:val="18"/>
                <w:szCs w:val="18"/>
                <w:lang w:val="de-DE" w:eastAsia="nl-BE"/>
                <w14:ligatures w14:val="none"/>
              </w:rPr>
              <w:t>Belgium</w:t>
            </w:r>
            <w:proofErr w:type="spellEnd"/>
            <w:r w:rsidRPr="00501ECB">
              <w:rPr>
                <w:rFonts w:ascii="Times New Roman" w:eastAsia="Times New Roman" w:hAnsi="Times New Roman" w:cs="Times New Roman"/>
                <w:color w:val="000000"/>
                <w:sz w:val="18"/>
                <w:szCs w:val="18"/>
                <w:lang w:val="de-DE" w:eastAsia="nl-BE"/>
                <w14:ligatures w14:val="none"/>
              </w:rPr>
              <w:t xml:space="preserve">, </w:t>
            </w:r>
            <w:proofErr w:type="spellStart"/>
            <w:r w:rsidRPr="00501ECB">
              <w:rPr>
                <w:rFonts w:ascii="Times New Roman" w:eastAsia="Times New Roman" w:hAnsi="Times New Roman" w:cs="Times New Roman"/>
                <w:color w:val="000000"/>
                <w:sz w:val="18"/>
                <w:szCs w:val="18"/>
                <w:lang w:val="de-DE" w:eastAsia="nl-BE"/>
                <w14:ligatures w14:val="none"/>
              </w:rPr>
              <w:t>Switzerland</w:t>
            </w:r>
            <w:proofErr w:type="spellEnd"/>
            <w:r w:rsidRPr="00501ECB">
              <w:rPr>
                <w:rFonts w:ascii="Times New Roman" w:eastAsia="Times New Roman" w:hAnsi="Times New Roman" w:cs="Times New Roman"/>
                <w:color w:val="000000"/>
                <w:sz w:val="18"/>
                <w:szCs w:val="18"/>
                <w:lang w:val="de-DE" w:eastAsia="nl-BE"/>
                <w14:ligatures w14:val="none"/>
              </w:rPr>
              <w:t>, Iran, Germany</w:t>
            </w:r>
          </w:p>
        </w:tc>
        <w:tc>
          <w:tcPr>
            <w:tcW w:w="1117" w:type="dxa"/>
          </w:tcPr>
          <w:p w14:paraId="325A1F85" w14:textId="77777777" w:rsidR="00F50D9D" w:rsidRPr="00501ECB" w:rsidRDefault="00F50D9D" w:rsidP="006C4573">
            <w:pPr>
              <w:jc w:val="both"/>
              <w:rPr>
                <w:rFonts w:ascii="Times New Roman" w:eastAsia="Times New Roman" w:hAnsi="Times New Roman" w:cs="Times New Roman"/>
                <w:color w:val="000000"/>
                <w:sz w:val="18"/>
                <w:szCs w:val="18"/>
                <w:lang w:val="de-DE" w:eastAsia="nl-BE"/>
                <w14:ligatures w14:val="none"/>
              </w:rPr>
            </w:pPr>
            <w:r w:rsidRPr="00501ECB">
              <w:rPr>
                <w:rFonts w:ascii="Times New Roman" w:eastAsia="Times New Roman" w:hAnsi="Times New Roman" w:cs="Times New Roman"/>
                <w:color w:val="000000"/>
                <w:sz w:val="18"/>
                <w:szCs w:val="18"/>
                <w:lang w:val="de-DE" w:eastAsia="nl-BE"/>
                <w14:ligatures w14:val="none"/>
              </w:rPr>
              <w:t>Laboratory</w:t>
            </w:r>
          </w:p>
        </w:tc>
        <w:tc>
          <w:tcPr>
            <w:tcW w:w="1134" w:type="dxa"/>
          </w:tcPr>
          <w:p w14:paraId="4677FC8B" w14:textId="77777777"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positions</w:t>
            </w:r>
            <w:proofErr w:type="spellEnd"/>
            <w:r w:rsidRPr="00501ECB">
              <w:rPr>
                <w:rFonts w:ascii="Times New Roman" w:eastAsia="Times New Roman" w:hAnsi="Times New Roman" w:cs="Times New Roman"/>
                <w:color w:val="000000"/>
                <w:sz w:val="18"/>
                <w:szCs w:val="18"/>
                <w:lang w:eastAsia="nl-BE"/>
                <w14:ligatures w14:val="none"/>
              </w:rPr>
              <w:t xml:space="preserve"> </w:t>
            </w:r>
          </w:p>
          <w:p w14:paraId="0420486D" w14:textId="77777777" w:rsidR="00F50D9D" w:rsidRPr="00501ECB" w:rsidRDefault="00F50D9D" w:rsidP="006C4573">
            <w:pPr>
              <w:jc w:val="both"/>
              <w:rPr>
                <w:rFonts w:ascii="Times New Roman" w:eastAsia="Times New Roman" w:hAnsi="Times New Roman" w:cs="Times New Roman"/>
                <w:color w:val="000000"/>
                <w:sz w:val="18"/>
                <w:szCs w:val="18"/>
                <w:lang w:val="de-DE" w:eastAsia="nl-BE"/>
                <w14:ligatures w14:val="none"/>
              </w:rPr>
            </w:pPr>
            <w:r w:rsidRPr="00501ECB">
              <w:rPr>
                <w:rFonts w:ascii="Times New Roman" w:eastAsia="Times New Roman" w:hAnsi="Times New Roman" w:cs="Times New Roman"/>
                <w:color w:val="000000"/>
                <w:sz w:val="18"/>
                <w:szCs w:val="18"/>
                <w:lang w:eastAsia="nl-BE"/>
                <w14:ligatures w14:val="none"/>
              </w:rPr>
              <w:t>327–969bp</w:t>
            </w:r>
          </w:p>
        </w:tc>
        <w:tc>
          <w:tcPr>
            <w:tcW w:w="850" w:type="dxa"/>
          </w:tcPr>
          <w:p w14:paraId="65872E9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V3-V5</w:t>
            </w:r>
          </w:p>
        </w:tc>
        <w:tc>
          <w:tcPr>
            <w:tcW w:w="1200" w:type="dxa"/>
          </w:tcPr>
          <w:p w14:paraId="0E139BD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CTAB-based isolation</w:t>
            </w:r>
          </w:p>
        </w:tc>
        <w:tc>
          <w:tcPr>
            <w:tcW w:w="959" w:type="dxa"/>
          </w:tcPr>
          <w:p w14:paraId="214E7567"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454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LibL</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sequencing technology (Roche, Switzerland)</w:t>
            </w:r>
          </w:p>
        </w:tc>
        <w:tc>
          <w:tcPr>
            <w:tcW w:w="1404" w:type="dxa"/>
          </w:tcPr>
          <w:p w14:paraId="06866117" w14:textId="4B6AA282" w:rsidR="00F50D9D" w:rsidRPr="001D46D6" w:rsidRDefault="001D46D6"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Rarefaction depth: </w:t>
            </w:r>
            <w:r w:rsidRPr="001D46D6">
              <w:rPr>
                <w:rFonts w:ascii="Times New Roman" w:eastAsia="Times New Roman" w:hAnsi="Times New Roman" w:cs="Times New Roman"/>
                <w:color w:val="000000"/>
                <w:sz w:val="18"/>
                <w:szCs w:val="18"/>
                <w:lang w:val="en-US" w:eastAsia="nl-BE"/>
                <w14:ligatures w14:val="none"/>
              </w:rPr>
              <w:t>2511 reads per sample </w:t>
            </w:r>
          </w:p>
        </w:tc>
        <w:tc>
          <w:tcPr>
            <w:tcW w:w="1275" w:type="dxa"/>
          </w:tcPr>
          <w:p w14:paraId="59FAB247" w14:textId="49D4DF46"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01964109" w14:textId="1DFB0E87" w:rsidR="00F50D9D" w:rsidRPr="00FD5B65" w:rsidRDefault="00F50D9D" w:rsidP="006C4573">
            <w:pPr>
              <w:jc w:val="both"/>
              <w:rPr>
                <w:rFonts w:ascii="Times New Roman" w:eastAsia="Times New Roman" w:hAnsi="Times New Roman" w:cs="Times New Roman"/>
                <w:color w:val="000000"/>
                <w:sz w:val="18"/>
                <w:szCs w:val="18"/>
                <w:lang w:val="fr-FR" w:eastAsia="nl-BE"/>
                <w14:ligatures w14:val="none"/>
              </w:rPr>
            </w:pPr>
            <w:proofErr w:type="spellStart"/>
            <w:r w:rsidRPr="00FD5B65">
              <w:rPr>
                <w:rFonts w:ascii="Times New Roman" w:eastAsia="Times New Roman" w:hAnsi="Times New Roman" w:cs="Times New Roman"/>
                <w:color w:val="000000"/>
                <w:sz w:val="18"/>
                <w:szCs w:val="18"/>
                <w:lang w:val="fr-FR" w:eastAsia="nl-BE"/>
                <w14:ligatures w14:val="none"/>
              </w:rPr>
              <w:t>Sullam</w:t>
            </w:r>
            <w:proofErr w:type="spellEnd"/>
            <w:r w:rsidRPr="00FD5B65">
              <w:rPr>
                <w:rFonts w:ascii="Times New Roman" w:eastAsia="Times New Roman" w:hAnsi="Times New Roman" w:cs="Times New Roman"/>
                <w:color w:val="000000"/>
                <w:sz w:val="18"/>
                <w:szCs w:val="18"/>
                <w:lang w:val="fr-FR" w:eastAsia="nl-BE"/>
                <w14:ligatures w14:val="none"/>
              </w:rPr>
              <w:t xml:space="preserve"> K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FD5B65">
              <w:rPr>
                <w:rFonts w:ascii="Times New Roman" w:eastAsia="Times New Roman" w:hAnsi="Times New Roman" w:cs="Times New Roman"/>
                <w:color w:val="000000"/>
                <w:sz w:val="18"/>
                <w:szCs w:val="18"/>
                <w:lang w:val="fr-FR" w:eastAsia="nl-BE"/>
                <w14:ligatures w14:val="none"/>
              </w:rPr>
              <w:t xml:space="preserve"> 2017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{"citationID":"QBDfXb2T","properties":{"formattedCitation":"[17]","plainCitation":"[17]","noteIndex":0},"citationItems":[{"id":684,"uris":["http://zotero.org/users/12047481/items/CEU2ADKV"],"itemData":{"id":684,"type":"article-journal","abstract":"Host-associated microbiota vary across host individuals and environmental conditions, but the relative importance of their genetic background versus their environment is difficult to disentangle. We sought to experimentally determine the factors shaping the microbiota of the planktonic Crustacean, Daphnia magna. We used clonal lines from a wide geographic distribution, which had been kept under standardized conditions for over 75 generations. Replicate populations were kept for three generations at 20 and 28 °C. The interaction of the host clonal line and environment (i.e., temperature) influenced microbiota community characteristics, including structure, the relative abundance of common microbial species, and the microbial richness and phylogenetic diversity. We did not find any correlation between host-associated microbiota and the geographic origin of the clones or their temperature tolerance. Our results highlight the prominent effects that host clonal lineage and its interaction with the environment has on host-associated microbiota composition.","container-title":"Microbial Ecology","DOI":"10.1007/s00248-017-1126-4","ISSN":"1432-184X","issue":"2","journalAbbreviation":"Microb Ecol","language":"eng","note":"PMID: 29274070","page":"506-517","source":"PubMed","title":"The Combined Effect of Temperature and Host Clonal Line on the Microbiota of a Planktonic Crustacean","volume":"76","author":[{"family":"Sullam","given":"Karen E."},{"family":"Pichon","given":"Samuel"},{"family":"Schaer","given":"Tobias M. M."},{"family":"Ebert","given":"Dieter"}],"issued":{"date-parts":[["2018",8]]}}}],"schema":"https://github.com/citation-style-language/schema/raw/master/csl-citation.json"}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[17]</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7C49B7AE" w14:textId="1E5EFECA"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716BCB2F" w14:textId="77777777" w:rsidTr="00F50D9D">
        <w:tc>
          <w:tcPr>
            <w:tcW w:w="388" w:type="dxa"/>
          </w:tcPr>
          <w:p w14:paraId="4DA6D20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17.</w:t>
            </w:r>
          </w:p>
        </w:tc>
        <w:tc>
          <w:tcPr>
            <w:tcW w:w="996" w:type="dxa"/>
          </w:tcPr>
          <w:p w14:paraId="13D4B622"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38D7E8E"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CH.H.149</w:t>
            </w:r>
          </w:p>
          <w:p w14:paraId="2B2D9F43" w14:textId="77777777" w:rsidR="001D46D6" w:rsidRPr="00C06356" w:rsidRDefault="001D46D6" w:rsidP="006C4573">
            <w:pPr>
              <w:jc w:val="both"/>
              <w:rPr>
                <w:rFonts w:ascii="Times New Roman" w:eastAsia="Times New Roman" w:hAnsi="Times New Roman" w:cs="Times New Roman"/>
                <w:color w:val="000000"/>
                <w:sz w:val="18"/>
                <w:szCs w:val="18"/>
                <w:lang w:val="en-US" w:eastAsia="nl-BE"/>
                <w14:ligatures w14:val="none"/>
              </w:rPr>
            </w:pPr>
          </w:p>
          <w:p w14:paraId="625BEA6D" w14:textId="7FD15E74" w:rsidR="001D46D6" w:rsidRPr="001D46D6" w:rsidRDefault="001D46D6" w:rsidP="006C4573">
            <w:pPr>
              <w:jc w:val="both"/>
              <w:rPr>
                <w:rFonts w:ascii="Times New Roman" w:eastAsia="Times New Roman" w:hAnsi="Times New Roman" w:cs="Times New Roman"/>
                <w:color w:val="000000"/>
                <w:sz w:val="18"/>
                <w:szCs w:val="18"/>
                <w:lang w:val="en-US" w:eastAsia="nl-BE"/>
                <w14:ligatures w14:val="none"/>
              </w:rPr>
            </w:pPr>
            <w:r w:rsidRPr="001D46D6">
              <w:rPr>
                <w:rFonts w:ascii="Times New Roman" w:eastAsia="Times New Roman" w:hAnsi="Times New Roman" w:cs="Times New Roman"/>
                <w:color w:val="000000"/>
                <w:sz w:val="18"/>
                <w:szCs w:val="18"/>
                <w:lang w:val="en-US" w:eastAsia="nl-BE"/>
                <w14:ligatures w14:val="none"/>
              </w:rPr>
              <w:t xml:space="preserve">Individual daphnids extracted </w:t>
            </w:r>
            <w:r>
              <w:rPr>
                <w:rFonts w:ascii="Times New Roman" w:eastAsia="Times New Roman" w:hAnsi="Times New Roman" w:cs="Times New Roman"/>
                <w:color w:val="000000"/>
                <w:sz w:val="18"/>
                <w:szCs w:val="18"/>
                <w:lang w:val="en-US" w:eastAsia="nl-BE"/>
                <w14:ligatures w14:val="none"/>
              </w:rPr>
              <w:t>per clone per sample</w:t>
            </w:r>
          </w:p>
        </w:tc>
        <w:tc>
          <w:tcPr>
            <w:tcW w:w="1093" w:type="dxa"/>
          </w:tcPr>
          <w:p w14:paraId="7B3D3AA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Temporal dynamics of microbiota before and after host death</w:t>
            </w:r>
          </w:p>
        </w:tc>
        <w:tc>
          <w:tcPr>
            <w:tcW w:w="738" w:type="dxa"/>
          </w:tcPr>
          <w:p w14:paraId="76FFF77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21FC1BA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Switzerland</w:t>
            </w:r>
          </w:p>
        </w:tc>
        <w:tc>
          <w:tcPr>
            <w:tcW w:w="1117" w:type="dxa"/>
          </w:tcPr>
          <w:p w14:paraId="5FBE7F4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2A25D94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341F, 785R</w:t>
            </w:r>
          </w:p>
        </w:tc>
        <w:tc>
          <w:tcPr>
            <w:tcW w:w="850" w:type="dxa"/>
          </w:tcPr>
          <w:p w14:paraId="090D56C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V3-V4</w:t>
            </w:r>
          </w:p>
        </w:tc>
        <w:tc>
          <w:tcPr>
            <w:tcW w:w="1200" w:type="dxa"/>
          </w:tcPr>
          <w:p w14:paraId="5FC5FB6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CTAB-based isolation</w:t>
            </w:r>
          </w:p>
        </w:tc>
        <w:tc>
          <w:tcPr>
            <w:tcW w:w="959" w:type="dxa"/>
          </w:tcPr>
          <w:p w14:paraId="494AC80E" w14:textId="732DE881"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300-bp paired-end run</w:t>
            </w:r>
            <w:r>
              <w:rPr>
                <w:rFonts w:ascii="Times New Roman" w:eastAsia="Times New Roman" w:hAnsi="Times New Roman" w:cs="Times New Roman"/>
                <w:color w:val="212121"/>
                <w:sz w:val="18"/>
                <w:szCs w:val="18"/>
                <w:shd w:val="clear" w:color="auto" w:fill="FFFFFF"/>
                <w:lang w:val="en-US" w:eastAsia="nl-BE"/>
                <w14:ligatures w14:val="none"/>
              </w:rPr>
              <w:t>,</w:t>
            </w: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(440nt)</w:t>
            </w:r>
          </w:p>
        </w:tc>
        <w:tc>
          <w:tcPr>
            <w:tcW w:w="1404" w:type="dxa"/>
          </w:tcPr>
          <w:p w14:paraId="0B79021A" w14:textId="07002548" w:rsidR="00F50D9D" w:rsidRPr="001D46D6" w:rsidRDefault="001D46D6" w:rsidP="00D059B1">
            <w:pPr>
              <w:spacing w:before="100" w:beforeAutospacing="1" w:after="100"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Rarefaction: </w:t>
            </w:r>
            <w:r w:rsidRPr="001D46D6">
              <w:rPr>
                <w:rFonts w:ascii="Times New Roman" w:eastAsia="Times New Roman" w:hAnsi="Times New Roman" w:cs="Times New Roman"/>
                <w:color w:val="000000"/>
                <w:sz w:val="18"/>
                <w:szCs w:val="18"/>
                <w:lang w:val="en-US" w:eastAsia="nl-BE"/>
                <w14:ligatures w14:val="none"/>
              </w:rPr>
              <w:t>15,390 reads each</w:t>
            </w:r>
          </w:p>
        </w:tc>
        <w:tc>
          <w:tcPr>
            <w:tcW w:w="1275" w:type="dxa"/>
          </w:tcPr>
          <w:p w14:paraId="54E9A3EA" w14:textId="6C476EF8" w:rsidR="00F50D9D" w:rsidRPr="00501ECB" w:rsidRDefault="00F50D9D" w:rsidP="006C4573">
            <w:pPr>
              <w:spacing w:before="100" w:beforeAutospacing="1" w:after="100" w:afterAutospacing="1"/>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PRJEB26643</w:t>
            </w:r>
          </w:p>
          <w:p w14:paraId="22423841" w14:textId="77777777" w:rsidR="00F50D9D" w:rsidRPr="00501ECB" w:rsidRDefault="00F50D9D" w:rsidP="006C4573">
            <w:pPr>
              <w:spacing w:before="100" w:beforeAutospacing="1" w:after="100" w:afterAutospacing="1"/>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ERS2473695–ERS2473793</w:t>
            </w:r>
          </w:p>
          <w:p w14:paraId="6174CCD5"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58E3028F" w14:textId="2F0D31EC" w:rsidR="00F50D9D" w:rsidRPr="00FD5B65" w:rsidRDefault="00F50D9D" w:rsidP="006C4573">
            <w:pPr>
              <w:jc w:val="both"/>
              <w:rPr>
                <w:rFonts w:ascii="Times New Roman" w:eastAsia="Times New Roman" w:hAnsi="Times New Roman" w:cs="Times New Roman"/>
                <w:color w:val="000000"/>
                <w:sz w:val="18"/>
                <w:szCs w:val="18"/>
                <w:lang w:eastAsia="nl-BE"/>
                <w14:ligatures w14:val="none"/>
              </w:rPr>
            </w:pPr>
            <w:r w:rsidRPr="00FD5B65">
              <w:rPr>
                <w:rFonts w:ascii="Times New Roman" w:eastAsia="Times New Roman" w:hAnsi="Times New Roman" w:cs="Times New Roman"/>
                <w:color w:val="000000"/>
                <w:sz w:val="18"/>
                <w:szCs w:val="18"/>
                <w:lang w:eastAsia="nl-BE"/>
                <w14:ligatures w14:val="none"/>
              </w:rPr>
              <w:t xml:space="preserve">Preiswerk D </w:t>
            </w:r>
            <w:r w:rsidRPr="00F50612">
              <w:rPr>
                <w:rFonts w:ascii="Times New Roman" w:eastAsia="Times New Roman" w:hAnsi="Times New Roman" w:cs="Times New Roman"/>
                <w:i/>
                <w:iCs/>
                <w:color w:val="000000"/>
                <w:sz w:val="18"/>
                <w:szCs w:val="18"/>
                <w:lang w:eastAsia="nl-BE"/>
                <w14:ligatures w14:val="none"/>
              </w:rPr>
              <w:t>et al.</w:t>
            </w:r>
            <w:r>
              <w:rPr>
                <w:rFonts w:ascii="Times New Roman" w:eastAsia="Times New Roman" w:hAnsi="Times New Roman" w:cs="Times New Roman"/>
                <w:color w:val="000000"/>
                <w:sz w:val="18"/>
                <w:szCs w:val="18"/>
                <w:lang w:eastAsia="nl-BE"/>
                <w14:ligatures w14:val="none"/>
              </w:rPr>
              <w:t>,</w:t>
            </w:r>
            <w:r w:rsidRPr="00FD5B65">
              <w:rPr>
                <w:rFonts w:ascii="Times New Roman" w:eastAsia="Times New Roman" w:hAnsi="Times New Roman" w:cs="Times New Roman"/>
                <w:color w:val="000000"/>
                <w:sz w:val="18"/>
                <w:szCs w:val="18"/>
                <w:lang w:eastAsia="nl-BE"/>
                <w14:ligatures w14:val="none"/>
              </w:rPr>
              <w:t xml:space="preserve"> 2018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eastAsia="nl-BE"/>
                <w14:ligatures w14:val="none"/>
              </w:rPr>
              <w:instrText xml:space="preserve"> ADDIN ZOTERO_ITEM CSL_CITATION {"citationID":"1SHaL2zD","properties":{"formattedCitation":"[18]","plainCitation":"[18]","noteIndex":0},"citationItems":[{"id":463,"uris":["http://zotero.org/users/12047481/items/EETM2ZLD"],"itemData":{"id":463,"type":"webpage","title":"Temporal dynamics of microbiota before and after host death | The ISME Journal | Oxford Academic","URL":"https://academic.oup.com/ismej/article/12/8/2076/7475612?login=false","author":[{"family":"Preiswerk","given":"David"},{"family":"Walser","given":"Jean-Claude"},{"family":"Ebert","given":"Dieter"}],"accessed":{"date-parts":[["2024",10,22]]}}}],"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[18]</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17E6197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2EE543AE" w14:textId="77777777" w:rsidTr="00F50D9D">
        <w:tc>
          <w:tcPr>
            <w:tcW w:w="388" w:type="dxa"/>
          </w:tcPr>
          <w:p w14:paraId="4F5ECBE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18.</w:t>
            </w:r>
          </w:p>
        </w:tc>
        <w:tc>
          <w:tcPr>
            <w:tcW w:w="996" w:type="dxa"/>
          </w:tcPr>
          <w:p w14:paraId="02C214B3"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AA0C31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BE-OHZ-M5,</w:t>
            </w:r>
          </w:p>
          <w:p w14:paraId="3468F55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BE-OHZ-M10,</w:t>
            </w:r>
          </w:p>
          <w:p w14:paraId="3998ECF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QTL-IXF-1,</w:t>
            </w:r>
          </w:p>
          <w:p w14:paraId="3AC86C58" w14:textId="77777777" w:rsidR="00F50D9D" w:rsidRPr="00501ECB" w:rsidRDefault="00F50D9D" w:rsidP="006C4573">
            <w:pPr>
              <w:jc w:val="both"/>
              <w:rPr>
                <w:rFonts w:ascii="Times New Roman" w:eastAsia="Times New Roman" w:hAnsi="Times New Roman" w:cs="Times New Roman"/>
                <w:color w:val="222222"/>
                <w:sz w:val="18"/>
                <w:szCs w:val="18"/>
                <w:shd w:val="clear" w:color="auto" w:fill="FFFFFF"/>
                <w:lang w:val="en-US" w:eastAsia="nl-BE"/>
                <w14:ligatures w14:val="none"/>
              </w:rPr>
            </w:pPr>
            <w:r w:rsidRPr="00501ECB">
              <w:rPr>
                <w:rFonts w:ascii="Times New Roman" w:eastAsia="Times New Roman" w:hAnsi="Times New Roman" w:cs="Times New Roman"/>
                <w:color w:val="222222"/>
                <w:sz w:val="18"/>
                <w:szCs w:val="18"/>
                <w:shd w:val="clear" w:color="auto" w:fill="FFFFFF"/>
                <w:lang w:val="en-US" w:eastAsia="nl-BE"/>
                <w14:ligatures w14:val="none"/>
              </w:rPr>
              <w:t>FI-Xinb3,</w:t>
            </w:r>
          </w:p>
          <w:p w14:paraId="35F13BEB" w14:textId="77777777" w:rsidR="00F50D9D" w:rsidRPr="00501ECB" w:rsidRDefault="00F50D9D" w:rsidP="006C4573">
            <w:pPr>
              <w:jc w:val="both"/>
              <w:rPr>
                <w:rFonts w:ascii="Times New Roman" w:eastAsia="Times New Roman" w:hAnsi="Times New Roman" w:cs="Times New Roman"/>
                <w:color w:val="222222"/>
                <w:sz w:val="18"/>
                <w:szCs w:val="18"/>
                <w:shd w:val="clear" w:color="auto" w:fill="FFFFFF"/>
                <w:lang w:val="en-US" w:eastAsia="nl-BE"/>
                <w14:ligatures w14:val="none"/>
              </w:rPr>
            </w:pPr>
            <w:r w:rsidRPr="00501ECB">
              <w:rPr>
                <w:rFonts w:ascii="Times New Roman" w:eastAsia="Times New Roman" w:hAnsi="Times New Roman" w:cs="Times New Roman"/>
                <w:color w:val="222222"/>
                <w:sz w:val="18"/>
                <w:szCs w:val="18"/>
                <w:shd w:val="clear" w:color="auto" w:fill="FFFFFF"/>
                <w:lang w:val="en-US" w:eastAsia="nl-BE"/>
                <w14:ligatures w14:val="none"/>
              </w:rPr>
              <w:t>DE-K35-Iinb1,</w:t>
            </w:r>
          </w:p>
          <w:p w14:paraId="029478F2" w14:textId="77777777" w:rsidR="00F50D9D" w:rsidRPr="00501ECB" w:rsidRDefault="00F50D9D" w:rsidP="006C4573">
            <w:pPr>
              <w:jc w:val="both"/>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HU-HO-2,</w:t>
            </w:r>
          </w:p>
          <w:p w14:paraId="14F095D6" w14:textId="77777777" w:rsidR="00F50D9D" w:rsidRPr="00501ECB" w:rsidRDefault="00F50D9D" w:rsidP="006C4573">
            <w:pPr>
              <w:jc w:val="both"/>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IR-GG1-1,</w:t>
            </w:r>
          </w:p>
          <w:p w14:paraId="6CB0F5E1" w14:textId="77777777" w:rsidR="00F50D9D" w:rsidRDefault="00F50D9D" w:rsidP="006C4573">
            <w:pPr>
              <w:jc w:val="both"/>
              <w:rPr>
                <w:rFonts w:ascii="Times New Roman" w:eastAsia="Times New Roman" w:hAnsi="Times New Roman" w:cs="Times New Roman"/>
                <w:color w:val="222222"/>
                <w:sz w:val="18"/>
                <w:szCs w:val="18"/>
                <w:shd w:val="clear" w:color="auto" w:fill="FFFFFF"/>
                <w:lang w:val="es-ES" w:eastAsia="nl-BE"/>
                <w14:ligatures w14:val="none"/>
              </w:rPr>
            </w:pPr>
            <w:r w:rsidRPr="00501ECB">
              <w:rPr>
                <w:rFonts w:ascii="Times New Roman" w:eastAsia="Times New Roman" w:hAnsi="Times New Roman" w:cs="Times New Roman"/>
                <w:color w:val="222222"/>
                <w:sz w:val="18"/>
                <w:szCs w:val="18"/>
                <w:shd w:val="clear" w:color="auto" w:fill="FFFFFF"/>
                <w:lang w:val="es-ES" w:eastAsia="nl-BE"/>
                <w14:ligatures w14:val="none"/>
              </w:rPr>
              <w:t>IL-M1-1</w:t>
            </w:r>
          </w:p>
          <w:p w14:paraId="26BA76BB" w14:textId="77777777" w:rsidR="001D46D6" w:rsidRDefault="001D46D6" w:rsidP="006C4573">
            <w:pPr>
              <w:jc w:val="both"/>
              <w:rPr>
                <w:rFonts w:ascii="Times New Roman" w:eastAsia="Times New Roman" w:hAnsi="Times New Roman" w:cs="Times New Roman"/>
                <w:color w:val="222222"/>
                <w:sz w:val="18"/>
                <w:szCs w:val="18"/>
                <w:shd w:val="clear" w:color="auto" w:fill="FFFFFF"/>
                <w:lang w:val="es-ES" w:eastAsia="nl-BE"/>
                <w14:ligatures w14:val="none"/>
              </w:rPr>
            </w:pPr>
          </w:p>
          <w:p w14:paraId="212A1A13" w14:textId="54C359E9" w:rsidR="001D46D6" w:rsidRPr="001D46D6" w:rsidRDefault="001D46D6" w:rsidP="006C4573">
            <w:pPr>
              <w:jc w:val="both"/>
              <w:rPr>
                <w:rFonts w:ascii="Times New Roman" w:eastAsia="Times New Roman" w:hAnsi="Times New Roman" w:cs="Times New Roman"/>
                <w:color w:val="000000"/>
                <w:sz w:val="18"/>
                <w:szCs w:val="18"/>
                <w:lang w:val="en-US" w:eastAsia="nl-BE"/>
                <w14:ligatures w14:val="none"/>
              </w:rPr>
            </w:pPr>
            <w:r w:rsidRPr="001D46D6">
              <w:rPr>
                <w:rFonts w:ascii="Times New Roman" w:eastAsia="Times New Roman" w:hAnsi="Times New Roman" w:cs="Times New Roman"/>
                <w:color w:val="000000"/>
                <w:sz w:val="18"/>
                <w:szCs w:val="18"/>
                <w:lang w:val="en-US" w:eastAsia="nl-BE"/>
                <w14:ligatures w14:val="none"/>
              </w:rPr>
              <w:t>Two daphnids each per genotype</w:t>
            </w:r>
          </w:p>
          <w:p w14:paraId="5BD59FFD" w14:textId="77777777" w:rsidR="00F50D9D" w:rsidRPr="001D46D6"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093" w:type="dxa"/>
          </w:tcPr>
          <w:p w14:paraId="2D67927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Role of gut microbiome in parasitic tolerance (</w:t>
            </w:r>
            <w:r w:rsidRPr="00501ECB">
              <w:rPr>
                <w:rFonts w:ascii="Times New Roman" w:eastAsia="Times New Roman" w:hAnsi="Times New Roman" w:cs="Times New Roman"/>
                <w:i/>
                <w:iCs/>
                <w:color w:val="000000"/>
                <w:sz w:val="18"/>
                <w:szCs w:val="18"/>
                <w:lang w:val="en-US" w:eastAsia="nl-BE"/>
                <w14:ligatures w14:val="none"/>
              </w:rPr>
              <w:t xml:space="preserve">P. </w:t>
            </w:r>
            <w:proofErr w:type="spellStart"/>
            <w:r w:rsidRPr="00501ECB">
              <w:rPr>
                <w:rFonts w:ascii="Times New Roman" w:eastAsia="Times New Roman" w:hAnsi="Times New Roman" w:cs="Times New Roman"/>
                <w:i/>
                <w:iCs/>
                <w:color w:val="000000"/>
                <w:sz w:val="18"/>
                <w:szCs w:val="18"/>
                <w:lang w:val="en-US" w:eastAsia="nl-BE"/>
                <w14:ligatures w14:val="none"/>
              </w:rPr>
              <w:t>ramosa</w:t>
            </w:r>
            <w:proofErr w:type="spellEnd"/>
          </w:p>
        </w:tc>
        <w:tc>
          <w:tcPr>
            <w:tcW w:w="738" w:type="dxa"/>
          </w:tcPr>
          <w:p w14:paraId="7969B13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2D39BD0F" w14:textId="77777777" w:rsidR="00F50D9D" w:rsidRPr="00501ECB" w:rsidRDefault="00F50D9D" w:rsidP="006C4573">
            <w:pPr>
              <w:jc w:val="both"/>
              <w:rPr>
                <w:rFonts w:ascii="Times New Roman" w:eastAsia="Times New Roman" w:hAnsi="Times New Roman" w:cs="Times New Roman"/>
                <w:color w:val="000000"/>
                <w:sz w:val="18"/>
                <w:szCs w:val="18"/>
                <w:lang w:val="de-DE" w:eastAsia="nl-BE"/>
                <w14:ligatures w14:val="none"/>
              </w:rPr>
            </w:pPr>
            <w:proofErr w:type="spellStart"/>
            <w:r w:rsidRPr="00501ECB">
              <w:rPr>
                <w:rFonts w:ascii="Times New Roman" w:eastAsia="Times New Roman" w:hAnsi="Times New Roman" w:cs="Times New Roman"/>
                <w:color w:val="000000"/>
                <w:sz w:val="18"/>
                <w:szCs w:val="18"/>
                <w:lang w:val="de-DE" w:eastAsia="nl-BE"/>
                <w14:ligatures w14:val="none"/>
              </w:rPr>
              <w:t>Belgium</w:t>
            </w:r>
            <w:proofErr w:type="spellEnd"/>
            <w:r w:rsidRPr="00501ECB">
              <w:rPr>
                <w:rFonts w:ascii="Times New Roman" w:eastAsia="Times New Roman" w:hAnsi="Times New Roman" w:cs="Times New Roman"/>
                <w:color w:val="000000"/>
                <w:sz w:val="18"/>
                <w:szCs w:val="18"/>
                <w:lang w:val="de-DE" w:eastAsia="nl-BE"/>
                <w14:ligatures w14:val="none"/>
              </w:rPr>
              <w:t xml:space="preserve">, Germany, </w:t>
            </w:r>
            <w:proofErr w:type="spellStart"/>
            <w:r w:rsidRPr="00501ECB">
              <w:rPr>
                <w:rFonts w:ascii="Times New Roman" w:eastAsia="Times New Roman" w:hAnsi="Times New Roman" w:cs="Times New Roman"/>
                <w:color w:val="000000"/>
                <w:sz w:val="18"/>
                <w:szCs w:val="18"/>
                <w:lang w:val="de-DE" w:eastAsia="nl-BE"/>
                <w14:ligatures w14:val="none"/>
              </w:rPr>
              <w:t>Finland</w:t>
            </w:r>
            <w:proofErr w:type="spellEnd"/>
            <w:r w:rsidRPr="00501ECB">
              <w:rPr>
                <w:rFonts w:ascii="Times New Roman" w:eastAsia="Times New Roman" w:hAnsi="Times New Roman" w:cs="Times New Roman"/>
                <w:color w:val="000000"/>
                <w:sz w:val="18"/>
                <w:szCs w:val="18"/>
                <w:lang w:val="de-DE" w:eastAsia="nl-BE"/>
                <w14:ligatures w14:val="none"/>
              </w:rPr>
              <w:t xml:space="preserve">, </w:t>
            </w:r>
            <w:proofErr w:type="spellStart"/>
            <w:r w:rsidRPr="00501ECB">
              <w:rPr>
                <w:rFonts w:ascii="Times New Roman" w:eastAsia="Times New Roman" w:hAnsi="Times New Roman" w:cs="Times New Roman"/>
                <w:color w:val="000000"/>
                <w:sz w:val="18"/>
                <w:szCs w:val="18"/>
                <w:lang w:val="de-DE" w:eastAsia="nl-BE"/>
                <w14:ligatures w14:val="none"/>
              </w:rPr>
              <w:t>Hungary</w:t>
            </w:r>
            <w:proofErr w:type="spellEnd"/>
            <w:r w:rsidRPr="00501ECB">
              <w:rPr>
                <w:rFonts w:ascii="Times New Roman" w:eastAsia="Times New Roman" w:hAnsi="Times New Roman" w:cs="Times New Roman"/>
                <w:color w:val="000000"/>
                <w:sz w:val="18"/>
                <w:szCs w:val="18"/>
                <w:lang w:val="de-DE" w:eastAsia="nl-BE"/>
                <w14:ligatures w14:val="none"/>
              </w:rPr>
              <w:t>, Iran, Jerusalem,</w:t>
            </w:r>
          </w:p>
          <w:p w14:paraId="1B16AEE2" w14:textId="77777777" w:rsidR="00F50D9D" w:rsidRPr="00501ECB" w:rsidRDefault="00F50D9D" w:rsidP="006C4573">
            <w:pPr>
              <w:jc w:val="both"/>
              <w:rPr>
                <w:rFonts w:ascii="Times New Roman" w:eastAsia="Times New Roman" w:hAnsi="Times New Roman" w:cs="Times New Roman"/>
                <w:color w:val="000000"/>
                <w:sz w:val="18"/>
                <w:szCs w:val="18"/>
                <w:lang w:val="de-DE" w:eastAsia="nl-BE"/>
                <w14:ligatures w14:val="none"/>
              </w:rPr>
            </w:pPr>
            <w:proofErr w:type="spellStart"/>
            <w:r w:rsidRPr="00501ECB">
              <w:rPr>
                <w:rFonts w:ascii="Times New Roman" w:eastAsia="Times New Roman" w:hAnsi="Times New Roman" w:cs="Times New Roman"/>
                <w:color w:val="000000"/>
                <w:sz w:val="18"/>
                <w:szCs w:val="18"/>
                <w:lang w:val="de-DE" w:eastAsia="nl-BE"/>
                <w14:ligatures w14:val="none"/>
              </w:rPr>
              <w:t>Switzerland</w:t>
            </w:r>
            <w:proofErr w:type="spellEnd"/>
          </w:p>
        </w:tc>
        <w:tc>
          <w:tcPr>
            <w:tcW w:w="1117" w:type="dxa"/>
          </w:tcPr>
          <w:p w14:paraId="503FE40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3E1C994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 (5′-ACACGGYCCARACTCCTAC-3′) and R (5′-TTGCWTCGAATTAAWCCAC-3′)</w:t>
            </w:r>
          </w:p>
        </w:tc>
        <w:tc>
          <w:tcPr>
            <w:tcW w:w="850" w:type="dxa"/>
          </w:tcPr>
          <w:p w14:paraId="6A31B28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V3-V5</w:t>
            </w:r>
          </w:p>
        </w:tc>
        <w:tc>
          <w:tcPr>
            <w:tcW w:w="1200" w:type="dxa"/>
          </w:tcPr>
          <w:p w14:paraId="0F9ACE8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Blood and Tissue Kit (Qiagen, Netherlands)</w:t>
            </w:r>
          </w:p>
        </w:tc>
        <w:tc>
          <w:tcPr>
            <w:tcW w:w="959" w:type="dxa"/>
          </w:tcPr>
          <w:p w14:paraId="40F27ABF"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454 GS-FLX instrument with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LibL</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Titanium chemistry (Roche, USA)</w:t>
            </w:r>
          </w:p>
        </w:tc>
        <w:tc>
          <w:tcPr>
            <w:tcW w:w="1404" w:type="dxa"/>
          </w:tcPr>
          <w:p w14:paraId="40A2529C" w14:textId="091B9361" w:rsidR="00F50D9D" w:rsidRPr="00F50D9D" w:rsidRDefault="00B337AA"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proofErr w:type="spellStart"/>
            <w:r>
              <w:rPr>
                <w:rFonts w:ascii="Times New Roman" w:eastAsia="Times New Roman" w:hAnsi="Times New Roman" w:cs="Times New Roman"/>
                <w:color w:val="000000"/>
                <w:sz w:val="18"/>
                <w:szCs w:val="18"/>
                <w:lang w:eastAsia="nl-BE"/>
                <w14:ligatures w14:val="none"/>
              </w:rPr>
              <w:t>Rarefaction</w:t>
            </w:r>
            <w:proofErr w:type="spellEnd"/>
            <w:r>
              <w:rPr>
                <w:rFonts w:ascii="Times New Roman" w:eastAsia="Times New Roman" w:hAnsi="Times New Roman" w:cs="Times New Roman"/>
                <w:color w:val="000000"/>
                <w:sz w:val="18"/>
                <w:szCs w:val="18"/>
                <w:lang w:eastAsia="nl-BE"/>
                <w14:ligatures w14:val="none"/>
              </w:rPr>
              <w:t xml:space="preserve">: </w:t>
            </w:r>
            <w:r w:rsidRPr="00B337AA">
              <w:rPr>
                <w:rFonts w:ascii="Times New Roman" w:eastAsia="Times New Roman" w:hAnsi="Times New Roman" w:cs="Times New Roman"/>
                <w:color w:val="000000"/>
                <w:sz w:val="18"/>
                <w:szCs w:val="18"/>
                <w:lang w:eastAsia="nl-BE"/>
                <w14:ligatures w14:val="none"/>
              </w:rPr>
              <w:t xml:space="preserve">3893 </w:t>
            </w:r>
            <w:proofErr w:type="spellStart"/>
            <w:r w:rsidRPr="00B337AA">
              <w:rPr>
                <w:rFonts w:ascii="Times New Roman" w:eastAsia="Times New Roman" w:hAnsi="Times New Roman" w:cs="Times New Roman"/>
                <w:color w:val="000000"/>
                <w:sz w:val="18"/>
                <w:szCs w:val="18"/>
                <w:lang w:eastAsia="nl-BE"/>
                <w14:ligatures w14:val="none"/>
              </w:rPr>
              <w:t>sequence</w:t>
            </w:r>
            <w:proofErr w:type="spellEnd"/>
            <w:r w:rsidRPr="00B337AA">
              <w:rPr>
                <w:rFonts w:ascii="Times New Roman" w:eastAsia="Times New Roman" w:hAnsi="Times New Roman" w:cs="Times New Roman"/>
                <w:color w:val="000000"/>
                <w:sz w:val="18"/>
                <w:szCs w:val="18"/>
                <w:lang w:eastAsia="nl-BE"/>
                <w14:ligatures w14:val="none"/>
              </w:rPr>
              <w:t xml:space="preserve"> </w:t>
            </w:r>
            <w:proofErr w:type="spellStart"/>
            <w:r w:rsidRPr="00B337AA">
              <w:rPr>
                <w:rFonts w:ascii="Times New Roman" w:eastAsia="Times New Roman" w:hAnsi="Times New Roman" w:cs="Times New Roman"/>
                <w:color w:val="000000"/>
                <w:sz w:val="18"/>
                <w:szCs w:val="18"/>
                <w:lang w:eastAsia="nl-BE"/>
                <w14:ligatures w14:val="none"/>
              </w:rPr>
              <w:t>depth</w:t>
            </w:r>
            <w:proofErr w:type="spellEnd"/>
          </w:p>
        </w:tc>
        <w:tc>
          <w:tcPr>
            <w:tcW w:w="1275" w:type="dxa"/>
          </w:tcPr>
          <w:p w14:paraId="6328D76F" w14:textId="77777777" w:rsidR="00F50D9D" w:rsidRDefault="00F50D9D" w:rsidP="006C4573">
            <w:pPr>
              <w:spacing w:before="100" w:beforeAutospacing="1" w:afterAutospacing="1"/>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PRJNA407858</w:t>
            </w:r>
          </w:p>
          <w:p w14:paraId="315BB978" w14:textId="50F95AC2" w:rsidR="00B337AA" w:rsidRPr="00501ECB" w:rsidRDefault="00B337AA"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26E70065" w14:textId="5D263D71" w:rsidR="00F50D9D" w:rsidRPr="00FD5B65" w:rsidRDefault="00F50D9D" w:rsidP="006C4573">
            <w:pPr>
              <w:jc w:val="both"/>
              <w:rPr>
                <w:rFonts w:ascii="Times New Roman" w:eastAsia="Times New Roman" w:hAnsi="Times New Roman" w:cs="Times New Roman"/>
                <w:color w:val="000000"/>
                <w:sz w:val="18"/>
                <w:szCs w:val="18"/>
                <w:lang w:val="fr-FR" w:eastAsia="nl-BE"/>
                <w14:ligatures w14:val="none"/>
              </w:rPr>
            </w:pPr>
            <w:r w:rsidRPr="00FD5B65">
              <w:rPr>
                <w:rFonts w:ascii="Times New Roman" w:eastAsia="Times New Roman" w:hAnsi="Times New Roman" w:cs="Times New Roman"/>
                <w:color w:val="000000"/>
                <w:sz w:val="18"/>
                <w:szCs w:val="18"/>
                <w:lang w:val="fr-FR" w:eastAsia="nl-BE"/>
                <w14:ligatures w14:val="none"/>
              </w:rPr>
              <w:t>Sison-</w:t>
            </w:r>
            <w:proofErr w:type="spellStart"/>
            <w:r w:rsidRPr="00FD5B65">
              <w:rPr>
                <w:rFonts w:ascii="Times New Roman" w:eastAsia="Times New Roman" w:hAnsi="Times New Roman" w:cs="Times New Roman"/>
                <w:color w:val="000000"/>
                <w:sz w:val="18"/>
                <w:szCs w:val="18"/>
                <w:lang w:val="fr-FR" w:eastAsia="nl-BE"/>
                <w14:ligatures w14:val="none"/>
              </w:rPr>
              <w:t>magnus</w:t>
            </w:r>
            <w:proofErr w:type="spellEnd"/>
            <w:r w:rsidRPr="00FD5B65">
              <w:rPr>
                <w:rFonts w:ascii="Times New Roman" w:eastAsia="Times New Roman" w:hAnsi="Times New Roman" w:cs="Times New Roman"/>
                <w:color w:val="000000"/>
                <w:sz w:val="18"/>
                <w:szCs w:val="18"/>
                <w:lang w:val="fr-FR" w:eastAsia="nl-BE"/>
                <w14:ligatures w14:val="none"/>
              </w:rPr>
              <w:t xml:space="preserve">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FD5B65">
              <w:rPr>
                <w:rFonts w:ascii="Times New Roman" w:eastAsia="Times New Roman" w:hAnsi="Times New Roman" w:cs="Times New Roman"/>
                <w:color w:val="000000"/>
                <w:sz w:val="18"/>
                <w:szCs w:val="18"/>
                <w:lang w:val="fr-FR" w:eastAsia="nl-BE"/>
                <w14:ligatures w14:val="none"/>
              </w:rPr>
              <w:t xml:space="preserve"> 2018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{"citationID":"yyrz8Y7E","properties":{"formattedCitation":"[19]","plainCitation":"[19]","noteIndex":0},"citationItems":[{"id":390,"uris":["http://zotero.org/users/12047481/items/L69XCMND"],"itemData":{"id":390,"type":"article-journal","abstract":"Host-associated microbiota have been claimed to play a role in hosts’ responses to parasitic infections, often protecting the hosts from infection. We tested for such a role in the crustacean Daphnia and the parasitic bacterium Pasteuria ramosa, a widely used model system for host-parasite interactions. We first determined the infection phenotype (i.e., resistotype) of eight clonal D. magna genotypes against four strains of P. ramosa by attachment test, followed by 16 S rDNA amplicon sequencing to determine if their genotype or their parasite resistotype influences the composition of their microbiome. We then reciprocally transplanted the microbiota of two host genotypes with opposite resistotypes to four P. ramosa isolates, followed by a reassessment of their resistotype after transplantation. We found significant differences in microbiome composition and structure between Daphnia genotypes and between Daphnia resistotypes to specific P. ramosa strains. Reciprocal microbiota exchange or making the Daphnia hosts bacteria-free, however, did not influence the resistotypes of the hosts. Thus, in contrary to what has been observed in some taxa, our results suggest that D. magna susceptibility to P. ramosa is strongly dictated by the genetic differences of the hosts and is still dependent on Daphnia’s first line of immune defense against the esophageal attachment of P. ramosa, which appears to be uninfluenced by the host’s microbiota.","container-title":"Scientific Reports","DOI":"10.1038/s41598-018-27681-x","ISSN":"2045-2322","issue":"1","journalAbbreviation":"Sci Rep","language":"en","license":"2018 The Author(s)","note":"publisher: Nature Publishing Group","page":"9407","source":"www-nature-com.kuleuven.e-bronnen.be","title":"Host genotype-specific microbiota do not influence the susceptibility of D. magna to a bacterial pathogen","volume":"8","author":[{"family":"Sison-Mangus","given":"Marilou P."},{"family":"Metzger","given":"César M. J. A."},{"family":"Ebert","given":"Dieter"}],"issued":{"date-parts":[["2018",6,20]]}}}],"schema":"https://github.com/citation-style-language/schema/raw/master/csl-citation.json"}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[19]</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0706E75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75DD6FCE" w14:textId="77777777" w:rsidTr="00F50D9D">
        <w:tc>
          <w:tcPr>
            <w:tcW w:w="388" w:type="dxa"/>
          </w:tcPr>
          <w:p w14:paraId="2C622C9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19.</w:t>
            </w:r>
          </w:p>
        </w:tc>
        <w:tc>
          <w:tcPr>
            <w:tcW w:w="996" w:type="dxa"/>
          </w:tcPr>
          <w:p w14:paraId="4D55C0DF"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2FAC4370"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F2.82, F2.918, BE.OHZ.T10, BE.WE.G59, CZ.N1.1, CZ.N2.6, DE.K35.Mu10,DE.KA.F28, ES.DO1.1, I-F1, NO.V.7, TR.EG.1</w:t>
            </w:r>
          </w:p>
          <w:p w14:paraId="6F7868F4" w14:textId="77777777" w:rsidR="00B337AA" w:rsidRDefault="00B337AA" w:rsidP="006C4573">
            <w:pPr>
              <w:jc w:val="both"/>
              <w:rPr>
                <w:rFonts w:ascii="Times New Roman" w:eastAsia="Times New Roman" w:hAnsi="Times New Roman" w:cs="Times New Roman"/>
                <w:color w:val="000000"/>
                <w:sz w:val="18"/>
                <w:szCs w:val="18"/>
                <w:lang w:val="en-US" w:eastAsia="nl-BE"/>
                <w14:ligatures w14:val="none"/>
              </w:rPr>
            </w:pPr>
          </w:p>
          <w:p w14:paraId="6DD51C4D" w14:textId="074430AE" w:rsidR="00B337AA" w:rsidRPr="00501ECB" w:rsidRDefault="00B337AA"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DNA </w:t>
            </w:r>
            <w:r>
              <w:rPr>
                <w:rFonts w:ascii="Times New Roman" w:eastAsia="Times New Roman" w:hAnsi="Times New Roman" w:cs="Times New Roman"/>
                <w:color w:val="000000"/>
                <w:sz w:val="18"/>
                <w:szCs w:val="18"/>
                <w:lang w:val="en-US" w:eastAsia="nl-BE"/>
                <w14:ligatures w14:val="none"/>
              </w:rPr>
              <w:lastRenderedPageBreak/>
              <w:t>extracted from single animals per clone</w:t>
            </w:r>
          </w:p>
        </w:tc>
        <w:tc>
          <w:tcPr>
            <w:tcW w:w="1093" w:type="dxa"/>
          </w:tcPr>
          <w:p w14:paraId="23ABA864"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lastRenderedPageBreak/>
              <w:t>Exposure</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to</w:t>
            </w:r>
            <w:proofErr w:type="spellEnd"/>
            <w:r w:rsidRPr="00501ECB">
              <w:rPr>
                <w:rFonts w:ascii="Times New Roman" w:eastAsia="Times New Roman" w:hAnsi="Times New Roman" w:cs="Times New Roman"/>
                <w:color w:val="000000"/>
                <w:sz w:val="18"/>
                <w:szCs w:val="18"/>
                <w:lang w:val="es-ES" w:eastAsia="nl-BE"/>
                <w14:ligatures w14:val="none"/>
              </w:rPr>
              <w:t xml:space="preserve"> natural </w:t>
            </w:r>
            <w:proofErr w:type="spellStart"/>
            <w:r w:rsidRPr="00501ECB">
              <w:rPr>
                <w:rFonts w:ascii="Times New Roman" w:eastAsia="Times New Roman" w:hAnsi="Times New Roman" w:cs="Times New Roman"/>
                <w:color w:val="000000"/>
                <w:sz w:val="18"/>
                <w:szCs w:val="18"/>
                <w:lang w:val="es-ES" w:eastAsia="nl-BE"/>
                <w14:ligatures w14:val="none"/>
              </w:rPr>
              <w:t>desiments</w:t>
            </w:r>
            <w:proofErr w:type="spellEnd"/>
          </w:p>
        </w:tc>
        <w:tc>
          <w:tcPr>
            <w:tcW w:w="738" w:type="dxa"/>
          </w:tcPr>
          <w:p w14:paraId="0B67C5E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015EB71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Belgium, Germany, Turkey, Norway, Czech Republic, Spain</w:t>
            </w:r>
          </w:p>
        </w:tc>
        <w:tc>
          <w:tcPr>
            <w:tcW w:w="1117" w:type="dxa"/>
          </w:tcPr>
          <w:p w14:paraId="29A1A8B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39D3694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341F, 785R</w:t>
            </w:r>
          </w:p>
        </w:tc>
        <w:tc>
          <w:tcPr>
            <w:tcW w:w="850" w:type="dxa"/>
          </w:tcPr>
          <w:p w14:paraId="7E7994A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V3-V4</w:t>
            </w:r>
          </w:p>
        </w:tc>
        <w:tc>
          <w:tcPr>
            <w:tcW w:w="1200" w:type="dxa"/>
          </w:tcPr>
          <w:p w14:paraId="1947B48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CTAB based isolation</w:t>
            </w:r>
          </w:p>
        </w:tc>
        <w:tc>
          <w:tcPr>
            <w:tcW w:w="959" w:type="dxa"/>
          </w:tcPr>
          <w:p w14:paraId="6EE4DF20"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Illumina</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w:t>
            </w: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platform</w:t>
            </w:r>
          </w:p>
        </w:tc>
        <w:tc>
          <w:tcPr>
            <w:tcW w:w="1404" w:type="dxa"/>
          </w:tcPr>
          <w:p w14:paraId="1A83370B" w14:textId="0398F81D" w:rsidR="00F50D9D" w:rsidRPr="00B337AA" w:rsidRDefault="00B337AA" w:rsidP="00D059B1">
            <w:pPr>
              <w:spacing w:before="100" w:beforeAutospacing="1" w:afterAutospacing="1"/>
              <w:rPr>
                <w:rFonts w:ascii="Times New Roman" w:eastAsia="Times New Roman" w:hAnsi="Times New Roman" w:cs="Times New Roman"/>
                <w:color w:val="000000" w:themeColor="text1"/>
                <w:sz w:val="18"/>
                <w:szCs w:val="18"/>
                <w:lang w:val="en-US" w:eastAsia="nl-BE"/>
                <w14:ligatures w14:val="none"/>
              </w:rPr>
            </w:pPr>
            <w:r w:rsidRPr="00B337AA">
              <w:rPr>
                <w:rFonts w:ascii="Times New Roman" w:eastAsia="Times New Roman" w:hAnsi="Times New Roman" w:cs="Times New Roman"/>
                <w:color w:val="000000" w:themeColor="text1"/>
                <w:sz w:val="18"/>
                <w:szCs w:val="18"/>
                <w:lang w:val="en-US" w:eastAsia="nl-BE"/>
                <w14:ligatures w14:val="none"/>
              </w:rPr>
              <w:t>Minimum 5,000 total reads per s</w:t>
            </w:r>
            <w:r>
              <w:rPr>
                <w:rFonts w:ascii="Times New Roman" w:eastAsia="Times New Roman" w:hAnsi="Times New Roman" w:cs="Times New Roman"/>
                <w:color w:val="000000" w:themeColor="text1"/>
                <w:sz w:val="18"/>
                <w:szCs w:val="18"/>
                <w:lang w:val="en-US" w:eastAsia="nl-BE"/>
                <w14:ligatures w14:val="none"/>
              </w:rPr>
              <w:t>ample</w:t>
            </w:r>
          </w:p>
        </w:tc>
        <w:tc>
          <w:tcPr>
            <w:tcW w:w="1275" w:type="dxa"/>
          </w:tcPr>
          <w:p w14:paraId="5D50D126" w14:textId="2E47FB5F" w:rsidR="00F50D9D" w:rsidRPr="00824A0E" w:rsidRDefault="00F50D9D" w:rsidP="006C4573">
            <w:pPr>
              <w:spacing w:before="100" w:beforeAutospacing="1" w:afterAutospacing="1"/>
              <w:jc w:val="both"/>
              <w:rPr>
                <w:rFonts w:ascii="Times New Roman" w:eastAsia="Times New Roman" w:hAnsi="Times New Roman" w:cs="Times New Roman"/>
                <w:color w:val="000000" w:themeColor="text1"/>
                <w:sz w:val="18"/>
                <w:szCs w:val="18"/>
                <w:lang w:val="en-US" w:eastAsia="nl-BE"/>
                <w14:ligatures w14:val="none"/>
              </w:rPr>
            </w:pPr>
            <w:r w:rsidRPr="00824A0E">
              <w:rPr>
                <w:rFonts w:ascii="Times New Roman" w:eastAsia="Times New Roman" w:hAnsi="Times New Roman" w:cs="Times New Roman"/>
                <w:color w:val="000000" w:themeColor="text1"/>
                <w:sz w:val="18"/>
                <w:szCs w:val="18"/>
                <w:lang w:eastAsia="nl-BE"/>
                <w14:ligatures w14:val="none"/>
              </w:rPr>
              <w:t>PRJEB30308</w:t>
            </w:r>
          </w:p>
        </w:tc>
        <w:tc>
          <w:tcPr>
            <w:tcW w:w="1134" w:type="dxa"/>
          </w:tcPr>
          <w:p w14:paraId="007488D5" w14:textId="42B0FEA3"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Mushegian</w:t>
            </w:r>
            <w:proofErr w:type="spellEnd"/>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i/>
                <w:iCs/>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2019</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{"citationID":"L8JFoALt","properties":{"formattedCitation":"[20]","plainCitation":"[20]","noteIndex":0},"citationItems":[{"id":686,"uris":["http://zotero.org/users/12047481/items/RT6EY367"],"itemData":{"id":686,"type":"article-journal","abstract":"An animal’s behavior can affect its risk of infection, but it is not well understood how behavior affects microbiome composition. The aquatic crustacean Daphnia exhibits genetic variation in the extent to which it browses in the sediment at the bottoms of ponds. We show that this behavior affects the Daphnia microbiome, indicating that genetic variation among individuals may affect microbiome composition and the movement of bacteria in different environments., In many organisms, host-associated microbial communities are acquired horizontally after birth. This process is believed to be shaped by a combination of environmental and host genetic factors. We examined whether genetic variation in animal behavior could affect the composition of the animal’s microbiota in different environments. The freshwater crustacean Daphnia magna is primarily planktonic but exhibits variation in the degree to which it browses in benthic sediments. We performed an experiment with clonal lines of D. magna showing different levels of sediment-browsing intensity exposed to either bacteria-rich or bacteria-poor sediment or whose access to sediments was prevented. We found that the bacterial composition of the environment and genotype-specific browsing intensity together influence the composition of the Daphnia-associated bacterial community. Exposure to more diverse bacteria did not lead to a more diverse microbiome, but greater abundances of environment-specific bacteria were found associated with host genotypes that exhibited greater browsing behavior. Our results indicate that, although there is a great deal of variation between individuals, behavior can mediate genotype-by-environment interaction effects on microbiome composition., IMPORTANCE An animal’s behavior can affect its risk of infection, but it is not well understood how behavior affects microbiome composition. The aquatic crustacean Daphnia exhibits genetic variation in the extent to which it browses in the sediment at the bottoms of ponds. We show that this behavior affects the Daphnia microbiome, indicating that genetic variation among individuals may affect microbiome composition and the movement of bacteria in different environments.","container-title":"Applied and Environmental Microbiology","DOI":"10.1128/AEM.01547-18","ISSN":"0099-2240","issue":"8","journalAbbreviation":"Appl Environ Microbiol","note":"PMID: 30737344\nPMCID: PMC6450018","page":"e01547-18","source":"PubMed Central","title":"Environmental Sources of Bacteria and Genetic Variation in Behavior Influence Host-Associated Microbiota","volume":"85","author":[{"family":"Mushegian","given":"Alexandra A."},{"family":"Arbore","given":"Roberto"},{"family":"Walser","given":"Jean-Claude"},{"family":"Ebert","given":"Dieter"}],"issued":{"date-parts":[["2019",4,4]]}}}],"schema":"https://github.com/citation-style-language/schema/raw/master/csl-citation.json"}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[20]</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11B207A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D059B1" w14:paraId="6C3191CE" w14:textId="77777777" w:rsidTr="00F50D9D">
        <w:tc>
          <w:tcPr>
            <w:tcW w:w="388" w:type="dxa"/>
          </w:tcPr>
          <w:p w14:paraId="4B17361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20.</w:t>
            </w:r>
          </w:p>
        </w:tc>
        <w:tc>
          <w:tcPr>
            <w:tcW w:w="996" w:type="dxa"/>
          </w:tcPr>
          <w:p w14:paraId="5484244B"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C7133B3"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CAY,</w:t>
            </w:r>
          </w:p>
          <w:p w14:paraId="4DD94DCB" w14:textId="77777777" w:rsidR="00F50D9D" w:rsidRPr="00501ECB"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DE-K35-Iinb1,</w:t>
            </w:r>
          </w:p>
          <w:p w14:paraId="3FD93AF3" w14:textId="77777777" w:rsidR="00F50D9D" w:rsidRDefault="00F50D9D" w:rsidP="006C4573">
            <w:pPr>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FI-Xinb3</w:t>
            </w:r>
          </w:p>
          <w:p w14:paraId="13EE08E2" w14:textId="77777777" w:rsidR="00B337AA" w:rsidRDefault="00B337AA" w:rsidP="006C4573">
            <w:pPr>
              <w:jc w:val="both"/>
              <w:rPr>
                <w:rFonts w:ascii="Times New Roman" w:eastAsia="Times New Roman" w:hAnsi="Times New Roman" w:cs="Times New Roman"/>
                <w:color w:val="000000"/>
                <w:sz w:val="18"/>
                <w:szCs w:val="18"/>
                <w:lang w:eastAsia="nl-BE"/>
                <w14:ligatures w14:val="none"/>
              </w:rPr>
            </w:pPr>
          </w:p>
          <w:p w14:paraId="248A30A7" w14:textId="76348FF7" w:rsidR="00B337AA" w:rsidRPr="00B337AA" w:rsidRDefault="00022A04"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8-10</w:t>
            </w:r>
            <w:r w:rsidR="00B337AA" w:rsidRPr="00B337AA">
              <w:rPr>
                <w:rFonts w:ascii="Times New Roman" w:eastAsia="Times New Roman" w:hAnsi="Times New Roman" w:cs="Times New Roman"/>
                <w:color w:val="000000"/>
                <w:sz w:val="18"/>
                <w:szCs w:val="18"/>
                <w:lang w:val="en-US" w:eastAsia="nl-BE"/>
                <w14:ligatures w14:val="none"/>
              </w:rPr>
              <w:t xml:space="preserve"> individuals per replicate per samp</w:t>
            </w:r>
            <w:r w:rsidR="00B337AA">
              <w:rPr>
                <w:rFonts w:ascii="Times New Roman" w:eastAsia="Times New Roman" w:hAnsi="Times New Roman" w:cs="Times New Roman"/>
                <w:color w:val="000000"/>
                <w:sz w:val="18"/>
                <w:szCs w:val="18"/>
                <w:lang w:val="en-US" w:eastAsia="nl-BE"/>
                <w14:ligatures w14:val="none"/>
              </w:rPr>
              <w:t>le per clone</w:t>
            </w:r>
          </w:p>
        </w:tc>
        <w:tc>
          <w:tcPr>
            <w:tcW w:w="1093" w:type="dxa"/>
          </w:tcPr>
          <w:p w14:paraId="64792A37"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Mercury stress</w:t>
            </w:r>
          </w:p>
        </w:tc>
        <w:tc>
          <w:tcPr>
            <w:tcW w:w="738" w:type="dxa"/>
          </w:tcPr>
          <w:p w14:paraId="17557EF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7143468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USA, Germany, Finland</w:t>
            </w:r>
          </w:p>
        </w:tc>
        <w:tc>
          <w:tcPr>
            <w:tcW w:w="1117" w:type="dxa"/>
          </w:tcPr>
          <w:p w14:paraId="3CF5714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2F07682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515F-806R</w:t>
            </w:r>
          </w:p>
        </w:tc>
        <w:tc>
          <w:tcPr>
            <w:tcW w:w="850" w:type="dxa"/>
          </w:tcPr>
          <w:p w14:paraId="4A33F60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4671BA5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Blood and Tissue Kit (Qiagen, Germantown, MD)</w:t>
            </w:r>
          </w:p>
        </w:tc>
        <w:tc>
          <w:tcPr>
            <w:tcW w:w="959" w:type="dxa"/>
          </w:tcPr>
          <w:p w14:paraId="1407637F"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w:t>
            </w: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Illumina</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w:t>
            </w: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sequencing</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platform</w:t>
            </w:r>
          </w:p>
        </w:tc>
        <w:tc>
          <w:tcPr>
            <w:tcW w:w="1404" w:type="dxa"/>
          </w:tcPr>
          <w:p w14:paraId="4AB6716C" w14:textId="3867877B" w:rsidR="00F50D9D" w:rsidRPr="00501ECB" w:rsidRDefault="00243851" w:rsidP="00D059B1">
            <w:pPr>
              <w:spacing w:before="100" w:beforeAutospacing="1" w:after="100"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eastAsia="nl-BE"/>
                <w14:ligatures w14:val="none"/>
              </w:rPr>
              <w:t>M</w:t>
            </w:r>
            <w:r w:rsidR="00B337AA" w:rsidRPr="00B337AA">
              <w:rPr>
                <w:rFonts w:ascii="Times New Roman" w:eastAsia="Times New Roman" w:hAnsi="Times New Roman" w:cs="Times New Roman"/>
                <w:color w:val="000000"/>
                <w:sz w:val="18"/>
                <w:szCs w:val="18"/>
                <w:lang w:eastAsia="nl-BE"/>
                <w14:ligatures w14:val="none"/>
              </w:rPr>
              <w:t xml:space="preserve">aximum </w:t>
            </w:r>
            <w:proofErr w:type="spellStart"/>
            <w:r w:rsidR="00B337AA" w:rsidRPr="00B337AA">
              <w:rPr>
                <w:rFonts w:ascii="Times New Roman" w:eastAsia="Times New Roman" w:hAnsi="Times New Roman" w:cs="Times New Roman"/>
                <w:color w:val="000000"/>
                <w:sz w:val="18"/>
                <w:szCs w:val="18"/>
                <w:lang w:eastAsia="nl-BE"/>
                <w14:ligatures w14:val="none"/>
              </w:rPr>
              <w:t>depth</w:t>
            </w:r>
            <w:proofErr w:type="spellEnd"/>
            <w:r w:rsidR="00B337AA" w:rsidRPr="00B337AA">
              <w:rPr>
                <w:rFonts w:ascii="Times New Roman" w:eastAsia="Times New Roman" w:hAnsi="Times New Roman" w:cs="Times New Roman"/>
                <w:color w:val="000000"/>
                <w:sz w:val="18"/>
                <w:szCs w:val="18"/>
                <w:lang w:eastAsia="nl-BE"/>
                <w14:ligatures w14:val="none"/>
              </w:rPr>
              <w:t xml:space="preserve"> of 12030 </w:t>
            </w:r>
            <w:proofErr w:type="spellStart"/>
            <w:r w:rsidR="00B337AA" w:rsidRPr="00B337AA">
              <w:rPr>
                <w:rFonts w:ascii="Times New Roman" w:eastAsia="Times New Roman" w:hAnsi="Times New Roman" w:cs="Times New Roman"/>
                <w:color w:val="000000"/>
                <w:sz w:val="18"/>
                <w:szCs w:val="18"/>
                <w:lang w:eastAsia="nl-BE"/>
                <w14:ligatures w14:val="none"/>
              </w:rPr>
              <w:t>sequences</w:t>
            </w:r>
            <w:proofErr w:type="spellEnd"/>
          </w:p>
        </w:tc>
        <w:tc>
          <w:tcPr>
            <w:tcW w:w="1275" w:type="dxa"/>
          </w:tcPr>
          <w:p w14:paraId="7A80AD37" w14:textId="36E35812" w:rsidR="00F50D9D" w:rsidRPr="00501ECB" w:rsidRDefault="00F50D9D" w:rsidP="006C4573">
            <w:pPr>
              <w:spacing w:before="100" w:beforeAutospacing="1" w:after="100"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PRJNA421566</w:t>
            </w:r>
          </w:p>
        </w:tc>
        <w:tc>
          <w:tcPr>
            <w:tcW w:w="1134" w:type="dxa"/>
          </w:tcPr>
          <w:p w14:paraId="35820C05" w14:textId="0A6D6617" w:rsidR="00F50D9D" w:rsidRPr="00FD5B65" w:rsidRDefault="00F50D9D" w:rsidP="006C4573">
            <w:pPr>
              <w:jc w:val="both"/>
              <w:rPr>
                <w:rFonts w:ascii="Times New Roman" w:eastAsia="Times New Roman" w:hAnsi="Times New Roman" w:cs="Times New Roman"/>
                <w:color w:val="000000"/>
                <w:sz w:val="18"/>
                <w:szCs w:val="18"/>
                <w:lang w:val="fr-FR" w:eastAsia="nl-BE"/>
                <w14:ligatures w14:val="none"/>
              </w:rPr>
            </w:pPr>
            <w:r w:rsidRPr="00FD5B65">
              <w:rPr>
                <w:rFonts w:ascii="Times New Roman" w:eastAsia="Times New Roman" w:hAnsi="Times New Roman" w:cs="Times New Roman"/>
                <w:color w:val="000000"/>
                <w:sz w:val="18"/>
                <w:szCs w:val="18"/>
                <w:lang w:val="fr-FR" w:eastAsia="nl-BE"/>
                <w14:ligatures w14:val="none"/>
              </w:rPr>
              <w:t xml:space="preserve">JC </w:t>
            </w:r>
            <w:proofErr w:type="spellStart"/>
            <w:r w:rsidRPr="00FD5B65">
              <w:rPr>
                <w:rFonts w:ascii="Times New Roman" w:eastAsia="Times New Roman" w:hAnsi="Times New Roman" w:cs="Times New Roman"/>
                <w:color w:val="000000"/>
                <w:sz w:val="18"/>
                <w:szCs w:val="18"/>
                <w:lang w:val="fr-FR" w:eastAsia="nl-BE"/>
                <w14:ligatures w14:val="none"/>
              </w:rPr>
              <w:t>Fong</w:t>
            </w:r>
            <w:proofErr w:type="spellEnd"/>
            <w:r w:rsidRPr="00FD5B65">
              <w:rPr>
                <w:rFonts w:ascii="Times New Roman" w:eastAsia="Times New Roman" w:hAnsi="Times New Roman" w:cs="Times New Roman"/>
                <w:color w:val="000000"/>
                <w:sz w:val="18"/>
                <w:szCs w:val="18"/>
                <w:lang w:val="fr-FR" w:eastAsia="nl-BE"/>
                <w14:ligatures w14:val="none"/>
              </w:rPr>
              <w:t xml:space="preserve">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FD5B65">
              <w:rPr>
                <w:rFonts w:ascii="Times New Roman" w:eastAsia="Times New Roman" w:hAnsi="Times New Roman" w:cs="Times New Roman"/>
                <w:color w:val="000000"/>
                <w:sz w:val="18"/>
                <w:szCs w:val="18"/>
                <w:lang w:val="fr-FR" w:eastAsia="nl-BE"/>
                <w14:ligatures w14:val="none"/>
              </w:rPr>
              <w:t xml:space="preserve"> 2019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{"citationID":"C9FTJCXp","properties":{"formattedCitation":"[21]","plainCitation":"[21]","noteIndex":0},"citationItems":[{"id":387,"uris":["http://zotero.org/users/12047481/items/6DB5DEY6"],"itemData":{"id":387,"type":"article-journal","abstract":"Many aquatic organisms can thrive in polluted environments by having the genetic capability to withstand suboptimal conditions. However, the contributions of microbiomes under these stressful environments are poorly understood. We investigated whether a mercury-tolerant microbiota can extend its phenotype to its host by ameliorating host survival and fecundity under mercury-stress. We isolated microbiota members from various clones of Daphnia magna, screened for the mercury-biotransforming merA gene, and determined their mercury tolerance levels. We then introduced the mercury-tolerant microbiota, Pseudomonas-10, to axenic D. magna and quantified its merA gene expression, mercury reduction capability, and measured its impact on host survival and fecundity. The expression of the merA gene was up-regulated in Pseudomonas-10, both in isolation and in host-association with mercury exposure. Pseudomonas-10 is also capable of significantly reducing mercury concentration in the medium. Notably, mercury-exposed daphnids containing only Pseudomonas-10 exhibited higher survival and fecundity than mercury-exposed daphnids supplemented with parental microbiome. Our study showed that zooplankton, such as Daphnia, naturally harbor microbiome members that are eco-responsive and tolerant to mercury exposure and can aid in host survival and maintain host fecundity in a mercury-contaminated environment. This study further demonstrates that under stressful environmental conditions, the fitness of the host can depend on the genotype and the phenotype of its microbiome.","container-title":"Environmental Science &amp; Technology","DOI":"10.1021/acs.est.9b05305","ISSN":"1520-5851","issue":"24","journalAbbreviation":"Environ Sci Technol","language":"eng","note":"PMID: 31747751","page":"14688-14699","source":"PubMed","title":"The Mercury-Tolerant Microbiota of the Zooplankton Daphnia Aids in Host Survival and Maintains Fecundity under Mercury Stress","volume":"53","author":[{"family":"Fong","given":"Jiunn C."},{"family":"De Guzman","given":"Brandon E."},{"family":"Lamborg","given":"Carl H."},{"family":"Sison-Mangus","given":"Marilou P."}],"issued":{"date-parts":[["2019",12,17]]}}}],"schema":"https://github.com/citation-style-language/schema/raw/master/csl-citation.json"}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[21]</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5913EB2A" w14:textId="4C65F734"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Awaiting submission of sequences, no response</w:t>
            </w:r>
            <w:r>
              <w:rPr>
                <w:rFonts w:ascii="Times New Roman" w:eastAsia="Times New Roman" w:hAnsi="Times New Roman" w:cs="Times New Roman"/>
                <w:color w:val="C00000"/>
                <w:sz w:val="18"/>
                <w:szCs w:val="18"/>
                <w:lang w:val="en-US" w:eastAsia="nl-BE"/>
                <w14:ligatures w14:val="none"/>
              </w:rPr>
              <w:t xml:space="preserve"> from author</w:t>
            </w:r>
          </w:p>
        </w:tc>
      </w:tr>
      <w:tr w:rsidR="00F50D9D" w:rsidRPr="00501ECB" w14:paraId="3AFC871D" w14:textId="77777777" w:rsidTr="00F50D9D">
        <w:tc>
          <w:tcPr>
            <w:tcW w:w="388" w:type="dxa"/>
          </w:tcPr>
          <w:p w14:paraId="44B38D1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21.</w:t>
            </w:r>
          </w:p>
        </w:tc>
        <w:tc>
          <w:tcPr>
            <w:tcW w:w="996" w:type="dxa"/>
          </w:tcPr>
          <w:p w14:paraId="37386B92"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0A838D1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FA, FB, FC,</w:t>
            </w:r>
          </w:p>
          <w:p w14:paraId="73C7948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IA, IB, IC,</w:t>
            </w:r>
          </w:p>
          <w:p w14:paraId="32C54D44"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GA, GB, GC</w:t>
            </w:r>
          </w:p>
          <w:p w14:paraId="545D8418" w14:textId="77777777" w:rsidR="00022A04" w:rsidRPr="00C06356" w:rsidRDefault="00022A04" w:rsidP="006C4573">
            <w:pPr>
              <w:jc w:val="both"/>
              <w:rPr>
                <w:rFonts w:ascii="Times New Roman" w:eastAsia="Times New Roman" w:hAnsi="Times New Roman" w:cs="Times New Roman"/>
                <w:color w:val="000000"/>
                <w:sz w:val="18"/>
                <w:szCs w:val="18"/>
                <w:lang w:val="en-US" w:eastAsia="nl-BE"/>
                <w14:ligatures w14:val="none"/>
              </w:rPr>
            </w:pPr>
          </w:p>
          <w:p w14:paraId="4A99C03B" w14:textId="61B1122D" w:rsidR="00022A04" w:rsidRPr="00022A04" w:rsidRDefault="00022A04" w:rsidP="006C4573">
            <w:pPr>
              <w:jc w:val="both"/>
              <w:rPr>
                <w:rFonts w:ascii="Times New Roman" w:eastAsia="Times New Roman" w:hAnsi="Times New Roman" w:cs="Times New Roman"/>
                <w:color w:val="000000"/>
                <w:sz w:val="18"/>
                <w:szCs w:val="18"/>
                <w:lang w:val="en-US" w:eastAsia="nl-BE"/>
                <w14:ligatures w14:val="none"/>
              </w:rPr>
            </w:pPr>
            <w:r w:rsidRPr="00022A04">
              <w:rPr>
                <w:rFonts w:ascii="Times New Roman" w:eastAsia="Times New Roman" w:hAnsi="Times New Roman" w:cs="Times New Roman"/>
                <w:color w:val="000000"/>
                <w:sz w:val="18"/>
                <w:szCs w:val="18"/>
                <w:lang w:val="en-US" w:eastAsia="nl-BE"/>
                <w14:ligatures w14:val="none"/>
              </w:rPr>
              <w:t>Individual animals used for DNA ex</w:t>
            </w:r>
            <w:r>
              <w:rPr>
                <w:rFonts w:ascii="Times New Roman" w:eastAsia="Times New Roman" w:hAnsi="Times New Roman" w:cs="Times New Roman"/>
                <w:color w:val="000000"/>
                <w:sz w:val="18"/>
                <w:szCs w:val="18"/>
                <w:lang w:val="en-US" w:eastAsia="nl-BE"/>
                <w14:ligatures w14:val="none"/>
              </w:rPr>
              <w:t>traction</w:t>
            </w:r>
          </w:p>
        </w:tc>
        <w:tc>
          <w:tcPr>
            <w:tcW w:w="1093" w:type="dxa"/>
          </w:tcPr>
          <w:p w14:paraId="0770727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Temp dependent effects in lab-reared vs native pops.</w:t>
            </w:r>
          </w:p>
        </w:tc>
        <w:tc>
          <w:tcPr>
            <w:tcW w:w="738" w:type="dxa"/>
          </w:tcPr>
          <w:p w14:paraId="7FE45A0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2D55254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Finland, </w:t>
            </w:r>
            <w:proofErr w:type="spellStart"/>
            <w:r w:rsidRPr="00501ECB">
              <w:rPr>
                <w:rFonts w:ascii="Times New Roman" w:eastAsia="Times New Roman" w:hAnsi="Times New Roman" w:cs="Times New Roman"/>
                <w:color w:val="000000"/>
                <w:sz w:val="18"/>
                <w:szCs w:val="18"/>
                <w:lang w:eastAsia="nl-BE"/>
                <w14:ligatures w14:val="none"/>
              </w:rPr>
              <w:t>Israel</w:t>
            </w:r>
            <w:proofErr w:type="spellEnd"/>
            <w:r w:rsidRPr="00501ECB">
              <w:rPr>
                <w:rFonts w:ascii="Times New Roman" w:eastAsia="Times New Roman" w:hAnsi="Times New Roman" w:cs="Times New Roman"/>
                <w:color w:val="000000"/>
                <w:sz w:val="18"/>
                <w:szCs w:val="18"/>
                <w:lang w:eastAsia="nl-BE"/>
                <w14:ligatures w14:val="none"/>
              </w:rPr>
              <w:t>, Germany</w:t>
            </w:r>
          </w:p>
        </w:tc>
        <w:tc>
          <w:tcPr>
            <w:tcW w:w="1117" w:type="dxa"/>
          </w:tcPr>
          <w:p w14:paraId="368448B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0BE5B31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341F-785R</w:t>
            </w:r>
          </w:p>
        </w:tc>
        <w:tc>
          <w:tcPr>
            <w:tcW w:w="850" w:type="dxa"/>
          </w:tcPr>
          <w:p w14:paraId="0613B4A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V3-V4</w:t>
            </w:r>
          </w:p>
        </w:tc>
        <w:tc>
          <w:tcPr>
            <w:tcW w:w="1200" w:type="dxa"/>
          </w:tcPr>
          <w:p w14:paraId="3D06087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Zymo</w:t>
            </w:r>
            <w:proofErr w:type="spellEnd"/>
            <w:r w:rsidRPr="00501ECB">
              <w:rPr>
                <w:rFonts w:ascii="Times New Roman" w:eastAsia="Times New Roman" w:hAnsi="Times New Roman" w:cs="Times New Roman"/>
                <w:color w:val="000000"/>
                <w:sz w:val="18"/>
                <w:szCs w:val="18"/>
                <w:lang w:val="en-US" w:eastAsia="nl-BE"/>
                <w14:ligatures w14:val="none"/>
              </w:rPr>
              <w:t xml:space="preserve"> Research Fungal/Bacterial DNA </w:t>
            </w:r>
            <w:proofErr w:type="spellStart"/>
            <w:r w:rsidRPr="00501ECB">
              <w:rPr>
                <w:rFonts w:ascii="Times New Roman" w:eastAsia="Times New Roman" w:hAnsi="Times New Roman" w:cs="Times New Roman"/>
                <w:color w:val="000000"/>
                <w:sz w:val="18"/>
                <w:szCs w:val="18"/>
                <w:lang w:val="en-US" w:eastAsia="nl-BE"/>
                <w14:ligatures w14:val="none"/>
              </w:rPr>
              <w:t>Microprep</w:t>
            </w:r>
            <w:proofErr w:type="spellEnd"/>
            <w:r w:rsidRPr="00501ECB">
              <w:rPr>
                <w:rFonts w:ascii="Times New Roman" w:eastAsia="Times New Roman" w:hAnsi="Times New Roman" w:cs="Times New Roman"/>
                <w:color w:val="000000"/>
                <w:sz w:val="18"/>
                <w:szCs w:val="18"/>
                <w:lang w:val="en-US" w:eastAsia="nl-BE"/>
                <w14:ligatures w14:val="none"/>
              </w:rPr>
              <w:t xml:space="preserve"> kit (#D6007)</w:t>
            </w:r>
          </w:p>
        </w:tc>
        <w:tc>
          <w:tcPr>
            <w:tcW w:w="959" w:type="dxa"/>
          </w:tcPr>
          <w:p w14:paraId="2B80887D"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V3 PE600 kit,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platform-2 × 250-nt paired-end reads</w:t>
            </w:r>
          </w:p>
          <w:p w14:paraId="7D00FE85"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6CA673B2" w14:textId="688CC7FD" w:rsidR="00F50D9D" w:rsidRPr="00022A04" w:rsidRDefault="00022A04"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Rarefaction depth: </w:t>
            </w:r>
            <w:r w:rsidRPr="00022A04">
              <w:rPr>
                <w:rFonts w:ascii="Times New Roman" w:eastAsia="Times New Roman" w:hAnsi="Times New Roman" w:cs="Times New Roman"/>
                <w:color w:val="000000"/>
                <w:sz w:val="18"/>
                <w:szCs w:val="18"/>
                <w:lang w:val="en-US" w:eastAsia="nl-BE"/>
                <w14:ligatures w14:val="none"/>
              </w:rPr>
              <w:t>15,000 reads per sample</w:t>
            </w:r>
          </w:p>
        </w:tc>
        <w:tc>
          <w:tcPr>
            <w:tcW w:w="1275" w:type="dxa"/>
          </w:tcPr>
          <w:p w14:paraId="2A312FBA" w14:textId="542A0FA1"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3C00AC57" w14:textId="63484939" w:rsidR="00F50D9D" w:rsidRPr="00FD5B65" w:rsidRDefault="00F50D9D" w:rsidP="006C4573">
            <w:pPr>
              <w:jc w:val="both"/>
              <w:rPr>
                <w:rFonts w:ascii="Times New Roman" w:eastAsia="Times New Roman" w:hAnsi="Times New Roman" w:cs="Times New Roman"/>
                <w:color w:val="000000"/>
                <w:sz w:val="18"/>
                <w:szCs w:val="18"/>
                <w:lang w:val="fr-FR" w:eastAsia="nl-BE"/>
                <w14:ligatures w14:val="none"/>
              </w:rPr>
            </w:pPr>
            <w:r w:rsidRPr="00FD5B65">
              <w:rPr>
                <w:rFonts w:ascii="Times New Roman" w:eastAsia="Times New Roman" w:hAnsi="Times New Roman" w:cs="Times New Roman"/>
                <w:color w:val="000000"/>
                <w:sz w:val="18"/>
                <w:szCs w:val="18"/>
                <w:lang w:val="fr-FR" w:eastAsia="nl-BE"/>
                <w14:ligatures w14:val="none"/>
              </w:rPr>
              <w:t xml:space="preserve">JF Bricker </w:t>
            </w:r>
            <w:r w:rsidRPr="00F50612">
              <w:rPr>
                <w:rFonts w:ascii="Times New Roman" w:eastAsia="Times New Roman" w:hAnsi="Times New Roman" w:cs="Times New Roman"/>
                <w:i/>
                <w:iCs/>
                <w:color w:val="000000"/>
                <w:sz w:val="18"/>
                <w:szCs w:val="18"/>
                <w:lang w:val="fr-FR" w:eastAsia="nl-BE"/>
                <w14:ligatures w14:val="none"/>
              </w:rPr>
              <w:t>et al.,</w:t>
            </w:r>
            <w:r w:rsidRPr="00FD5B65">
              <w:rPr>
                <w:rFonts w:ascii="Times New Roman" w:eastAsia="Times New Roman" w:hAnsi="Times New Roman" w:cs="Times New Roman"/>
                <w:color w:val="000000"/>
                <w:sz w:val="18"/>
                <w:szCs w:val="18"/>
                <w:lang w:val="fr-FR" w:eastAsia="nl-BE"/>
                <w14:ligatures w14:val="none"/>
              </w:rPr>
              <w:t xml:space="preserve"> 2020 </w:t>
            </w:r>
            <w:r>
              <w:rPr>
                <w:rFonts w:ascii="Times New Roman" w:eastAsia="Times New Roman" w:hAnsi="Times New Roman" w:cs="Times New Roman"/>
                <w:color w:val="000000"/>
                <w:sz w:val="18"/>
                <w:szCs w:val="18"/>
                <w:lang w:val="fr-FR"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{"citationID":"tTd0PY9x","properties":{"formattedCitation":"[22]","plainCitation":"[22]","noteIndex":0},"citationItems":[{"id":689,"uris":["http://zotero.org/users/12047481/items/DI5TDQX6"],"itemData":{"id":689,"type":"article-journal","abstract":"Studies of how the microbiome varies among individuals, populations, and abiotic conditions are critical for understanding this key component of an organism’s biology and ecology. In the case of Daphnia, aquatic microcrustaceans widely used in population/community ecology and environmental science studies, understanding factors that influence microbiome shifts among individuals is useful for both basic and applied research contexts. In this study, we assess differences in the microbiome among genotypes of D. magna collected from three regions along a large latitudinal gradient (Finland, Germany, and Israel). After being reared in the lab for many years, we sought to characterize any differences in genotype- or population-specific microbial communities, and to assess whether the microbiota varied among temperatures. Our study is similar to a recent comparison of the microbial communities among D. magna genotypes raised in different temperatures published by Sullam et al. (Microb Ecol 76(2):506-517, 2017), and as such represents one of the first examples of a reproducible result in microbiome research. Like the previous study, we find evidence for a strong effect of temperature on the microbiome of D. magna, although across a much smaller temperature range representing potential near-future climates. In addition, we find evidence that the microbiomes of D. magna genotypes from different regions are distinct, even years after being brought into the laboratory. Finally, our results highlight a potentially common finding in the expanding area of microbiome research—differences among treatments are not necessarily observed in the most abundant taxonomic groups. This highlights the importance of considering sampling scheme and depth of coverage when characterizing the microbiome, as different experimental designs can significantly impact taxon-specific results, even when large-scale effects are reproduced.","container-title":"Microbial Ecology","DOI":"10.1007/s00248-019-01412-9","ISSN":"1432-184X","issue":"3","journalAbbreviation":"Microb Ecol","language":"en","license":"2020 The Author(s)","note":"Company: Springer\nDistributor: Springer\nInstitution: Springer\nLabel: Springer\nnumber: 3\npublisher: Springer US","page":"731-742","source":"link-springer-com.kuleuven.e-bronnen.be","title":"Variation in the Microbiota Associated with Daphnia magna Across Genotypes, Populations, and Temperature","volume":"79","author":[{"family":"Frankel-Bricker","given":"Jonas"},{"family":"Song","given":"Michael J."},{"family":"Benner","given":"Maia J."},{"family":"Schaack","given":"Sarah"}],"issued":{"date-parts":[["2020",4,1]]}}}],"schema":"https://github.com/citation-style-language/schema/raw/master/csl-citation.json"} </w:instrText>
            </w:r>
            <w:r>
              <w:rPr>
                <w:rFonts w:ascii="Times New Roman" w:eastAsia="Times New Roman" w:hAnsi="Times New Roman" w:cs="Times New Roman"/>
                <w:color w:val="000000"/>
                <w:sz w:val="18"/>
                <w:szCs w:val="18"/>
                <w:lang w:val="fr-FR" w:eastAsia="nl-BE"/>
                <w14:ligatures w14:val="none"/>
              </w:rPr>
              <w:fldChar w:fldCharType="separate"/>
            </w:r>
            <w:r w:rsidRPr="00B40F84">
              <w:rPr>
                <w:rFonts w:ascii="Times New Roman" w:hAnsi="Times New Roman" w:cs="Times New Roman"/>
                <w:sz w:val="18"/>
              </w:rPr>
              <w:t>[22]</w:t>
            </w:r>
            <w:r>
              <w:rPr>
                <w:rFonts w:ascii="Times New Roman" w:eastAsia="Times New Roman" w:hAnsi="Times New Roman" w:cs="Times New Roman"/>
                <w:color w:val="000000"/>
                <w:sz w:val="18"/>
                <w:szCs w:val="18"/>
                <w:lang w:val="fr-FR" w:eastAsia="nl-BE"/>
                <w14:ligatures w14:val="none"/>
              </w:rPr>
              <w:fldChar w:fldCharType="end"/>
            </w:r>
          </w:p>
        </w:tc>
        <w:tc>
          <w:tcPr>
            <w:tcW w:w="1116" w:type="dxa"/>
          </w:tcPr>
          <w:p w14:paraId="00E0612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54B62AFF" w14:textId="77777777" w:rsidTr="00F50D9D">
        <w:tc>
          <w:tcPr>
            <w:tcW w:w="388" w:type="dxa"/>
          </w:tcPr>
          <w:p w14:paraId="04D82AD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22.</w:t>
            </w:r>
          </w:p>
        </w:tc>
        <w:tc>
          <w:tcPr>
            <w:tcW w:w="996" w:type="dxa"/>
          </w:tcPr>
          <w:p w14:paraId="73F168F4"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F1B1CB3" w14:textId="77777777" w:rsidR="00F50D9D"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Clone 5</w:t>
            </w:r>
          </w:p>
          <w:p w14:paraId="02E8EDCF" w14:textId="77777777" w:rsidR="00022A04" w:rsidRDefault="00022A04" w:rsidP="006C4573">
            <w:pPr>
              <w:jc w:val="both"/>
              <w:rPr>
                <w:rFonts w:ascii="Times New Roman" w:eastAsia="Times New Roman" w:hAnsi="Times New Roman" w:cs="Times New Roman"/>
                <w:color w:val="000000"/>
                <w:sz w:val="18"/>
                <w:szCs w:val="18"/>
                <w:lang w:val="es-ES" w:eastAsia="nl-BE"/>
                <w14:ligatures w14:val="none"/>
              </w:rPr>
            </w:pPr>
          </w:p>
          <w:p w14:paraId="0F543E79" w14:textId="0B902DC2" w:rsidR="00022A04" w:rsidRPr="00501ECB" w:rsidRDefault="00022A04" w:rsidP="006C4573">
            <w:pPr>
              <w:jc w:val="both"/>
              <w:rPr>
                <w:rFonts w:ascii="Times New Roman" w:eastAsia="Times New Roman" w:hAnsi="Times New Roman" w:cs="Times New Roman"/>
                <w:color w:val="000000"/>
                <w:sz w:val="18"/>
                <w:szCs w:val="18"/>
                <w:lang w:val="es-ES" w:eastAsia="nl-BE"/>
                <w14:ligatures w14:val="none"/>
              </w:rPr>
            </w:pPr>
            <w:r>
              <w:rPr>
                <w:rFonts w:ascii="Times New Roman" w:eastAsia="Times New Roman" w:hAnsi="Times New Roman" w:cs="Times New Roman"/>
                <w:color w:val="000000"/>
                <w:sz w:val="18"/>
                <w:szCs w:val="18"/>
                <w:lang w:val="es-ES" w:eastAsia="nl-BE"/>
                <w14:ligatures w14:val="none"/>
              </w:rPr>
              <w:t xml:space="preserve">4 </w:t>
            </w:r>
            <w:proofErr w:type="spellStart"/>
            <w:r>
              <w:rPr>
                <w:rFonts w:ascii="Times New Roman" w:eastAsia="Times New Roman" w:hAnsi="Times New Roman" w:cs="Times New Roman"/>
                <w:color w:val="000000"/>
                <w:sz w:val="18"/>
                <w:szCs w:val="18"/>
                <w:lang w:val="es-ES" w:eastAsia="nl-BE"/>
                <w14:ligatures w14:val="none"/>
              </w:rPr>
              <w:t>individuals</w:t>
            </w:r>
            <w:proofErr w:type="spellEnd"/>
            <w:r>
              <w:rPr>
                <w:rFonts w:ascii="Times New Roman" w:eastAsia="Times New Roman" w:hAnsi="Times New Roman" w:cs="Times New Roman"/>
                <w:color w:val="000000"/>
                <w:sz w:val="18"/>
                <w:szCs w:val="18"/>
                <w:lang w:val="es-ES" w:eastAsia="nl-BE"/>
                <w14:ligatures w14:val="none"/>
              </w:rPr>
              <w:t xml:space="preserve"> </w:t>
            </w:r>
            <w:proofErr w:type="spellStart"/>
            <w:r>
              <w:rPr>
                <w:rFonts w:ascii="Times New Roman" w:eastAsia="Times New Roman" w:hAnsi="Times New Roman" w:cs="Times New Roman"/>
                <w:color w:val="000000"/>
                <w:sz w:val="18"/>
                <w:szCs w:val="18"/>
                <w:lang w:val="es-ES" w:eastAsia="nl-BE"/>
                <w14:ligatures w14:val="none"/>
              </w:rPr>
              <w:t>pooled</w:t>
            </w:r>
            <w:proofErr w:type="spellEnd"/>
            <w:r>
              <w:rPr>
                <w:rFonts w:ascii="Times New Roman" w:eastAsia="Times New Roman" w:hAnsi="Times New Roman" w:cs="Times New Roman"/>
                <w:color w:val="000000"/>
                <w:sz w:val="18"/>
                <w:szCs w:val="18"/>
                <w:lang w:val="es-ES" w:eastAsia="nl-BE"/>
                <w14:ligatures w14:val="none"/>
              </w:rPr>
              <w:t xml:space="preserve"> per </w:t>
            </w:r>
            <w:proofErr w:type="spellStart"/>
            <w:r>
              <w:rPr>
                <w:rFonts w:ascii="Times New Roman" w:eastAsia="Times New Roman" w:hAnsi="Times New Roman" w:cs="Times New Roman"/>
                <w:color w:val="000000"/>
                <w:sz w:val="18"/>
                <w:szCs w:val="18"/>
                <w:lang w:val="es-ES" w:eastAsia="nl-BE"/>
                <w14:ligatures w14:val="none"/>
              </w:rPr>
              <w:t>replicate</w:t>
            </w:r>
            <w:proofErr w:type="spellEnd"/>
          </w:p>
        </w:tc>
        <w:tc>
          <w:tcPr>
            <w:tcW w:w="1093" w:type="dxa"/>
          </w:tcPr>
          <w:p w14:paraId="2DED55BD"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Ciprofloxacin</w:t>
            </w:r>
            <w:proofErr w:type="spellEnd"/>
            <w:r w:rsidRPr="00501ECB">
              <w:rPr>
                <w:rFonts w:ascii="Times New Roman" w:eastAsia="Times New Roman" w:hAnsi="Times New Roman" w:cs="Times New Roman"/>
                <w:color w:val="000000"/>
                <w:sz w:val="18"/>
                <w:szCs w:val="18"/>
                <w:lang w:eastAsia="nl-BE"/>
                <w14:ligatures w14:val="none"/>
              </w:rPr>
              <w:t xml:space="preserve"> exposure</w:t>
            </w:r>
          </w:p>
        </w:tc>
        <w:tc>
          <w:tcPr>
            <w:tcW w:w="738" w:type="dxa"/>
          </w:tcPr>
          <w:p w14:paraId="04FF0CD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4113ED5C" w14:textId="4D8064B8"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Berlin, </w:t>
            </w:r>
            <w:r w:rsidRPr="00501ECB">
              <w:rPr>
                <w:rFonts w:ascii="Times New Roman" w:eastAsia="Times New Roman" w:hAnsi="Times New Roman" w:cs="Times New Roman"/>
                <w:color w:val="000000"/>
                <w:sz w:val="18"/>
                <w:szCs w:val="18"/>
                <w:lang w:val="en-US" w:eastAsia="nl-BE"/>
                <w14:ligatures w14:val="none"/>
              </w:rPr>
              <w:t>Germany</w:t>
            </w:r>
          </w:p>
        </w:tc>
        <w:tc>
          <w:tcPr>
            <w:tcW w:w="1117" w:type="dxa"/>
          </w:tcPr>
          <w:p w14:paraId="3485AD4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075541E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341F, 805R</w:t>
            </w:r>
          </w:p>
        </w:tc>
        <w:tc>
          <w:tcPr>
            <w:tcW w:w="850" w:type="dxa"/>
          </w:tcPr>
          <w:p w14:paraId="6CCD1A5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V3-V4</w:t>
            </w:r>
          </w:p>
        </w:tc>
        <w:tc>
          <w:tcPr>
            <w:tcW w:w="1200" w:type="dxa"/>
          </w:tcPr>
          <w:p w14:paraId="1378985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10% </w:t>
            </w:r>
            <w:proofErr w:type="spellStart"/>
            <w:r w:rsidRPr="00501ECB">
              <w:rPr>
                <w:rFonts w:ascii="Times New Roman" w:eastAsia="Times New Roman" w:hAnsi="Times New Roman" w:cs="Times New Roman"/>
                <w:color w:val="000000"/>
                <w:sz w:val="18"/>
                <w:szCs w:val="18"/>
                <w:lang w:val="en-US" w:eastAsia="nl-BE"/>
                <w14:ligatures w14:val="none"/>
              </w:rPr>
              <w:t>Chelex</w:t>
            </w:r>
            <w:proofErr w:type="spellEnd"/>
            <w:r w:rsidRPr="00501ECB">
              <w:rPr>
                <w:rFonts w:ascii="Times New Roman" w:eastAsia="Times New Roman" w:hAnsi="Times New Roman" w:cs="Times New Roman"/>
                <w:color w:val="000000"/>
                <w:sz w:val="18"/>
                <w:szCs w:val="18"/>
                <w:lang w:val="en-US" w:eastAsia="nl-BE"/>
                <w14:ligatures w14:val="none"/>
              </w:rPr>
              <w:t xml:space="preserve"> extraction</w:t>
            </w:r>
          </w:p>
        </w:tc>
        <w:tc>
          <w:tcPr>
            <w:tcW w:w="959" w:type="dxa"/>
          </w:tcPr>
          <w:p w14:paraId="1479B49A" w14:textId="64883FCF"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V3 reagent kit (600-cycles)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5644909B" w14:textId="55B6B046" w:rsidR="00F50D9D" w:rsidRPr="005B73A1" w:rsidRDefault="005B73A1" w:rsidP="00D059B1">
            <w:pPr>
              <w:spacing w:before="100" w:beforeAutospacing="1" w:afterAutospacing="1"/>
              <w:rPr>
                <w:rFonts w:ascii="Times New Roman" w:eastAsia="Times New Roman" w:hAnsi="Times New Roman" w:cs="Times New Roman"/>
                <w:color w:val="202020"/>
                <w:sz w:val="18"/>
                <w:szCs w:val="18"/>
                <w:shd w:val="clear" w:color="auto" w:fill="FFFFFF"/>
                <w:lang w:val="en-US" w:eastAsia="nl-BE"/>
                <w14:ligatures w14:val="none"/>
              </w:rPr>
            </w:pPr>
            <w:r w:rsidRPr="005B73A1">
              <w:rPr>
                <w:rFonts w:ascii="Times New Roman" w:eastAsia="Times New Roman" w:hAnsi="Times New Roman" w:cs="Times New Roman"/>
                <w:color w:val="202020"/>
                <w:sz w:val="18"/>
                <w:szCs w:val="18"/>
                <w:shd w:val="clear" w:color="auto" w:fill="FFFFFF"/>
                <w:lang w:val="en-US" w:eastAsia="nl-BE"/>
                <w14:ligatures w14:val="none"/>
              </w:rPr>
              <w:t xml:space="preserve">Zhang Huang’s index </w:t>
            </w:r>
            <w:r>
              <w:rPr>
                <w:rFonts w:ascii="Times New Roman" w:eastAsia="Times New Roman" w:hAnsi="Times New Roman" w:cs="Times New Roman"/>
                <w:color w:val="202020"/>
                <w:sz w:val="18"/>
                <w:szCs w:val="18"/>
                <w:shd w:val="clear" w:color="auto" w:fill="FFFFFF"/>
                <w:lang w:val="en-US" w:eastAsia="nl-BE"/>
                <w14:ligatures w14:val="none"/>
              </w:rPr>
              <w:t xml:space="preserve">: </w:t>
            </w:r>
            <w:r w:rsidRPr="005B73A1">
              <w:rPr>
                <w:rFonts w:ascii="Times New Roman" w:eastAsia="Times New Roman" w:hAnsi="Times New Roman" w:cs="Times New Roman"/>
                <w:color w:val="202020"/>
                <w:sz w:val="18"/>
                <w:szCs w:val="18"/>
                <w:shd w:val="clear" w:color="auto" w:fill="FFFFFF"/>
                <w:lang w:val="en-US" w:eastAsia="nl-BE"/>
                <w14:ligatures w14:val="none"/>
              </w:rPr>
              <w:t>(99.8 ± 0.001%, mean ± SD) </w:t>
            </w:r>
          </w:p>
        </w:tc>
        <w:tc>
          <w:tcPr>
            <w:tcW w:w="1275" w:type="dxa"/>
          </w:tcPr>
          <w:p w14:paraId="1C122DBF" w14:textId="48B15632"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202020"/>
                <w:sz w:val="18"/>
                <w:szCs w:val="18"/>
                <w:shd w:val="clear" w:color="auto" w:fill="FFFFFF"/>
                <w:lang w:eastAsia="nl-BE"/>
                <w14:ligatures w14:val="none"/>
              </w:rPr>
              <w:t>PRJNA560134</w:t>
            </w:r>
          </w:p>
        </w:tc>
        <w:tc>
          <w:tcPr>
            <w:tcW w:w="1134" w:type="dxa"/>
          </w:tcPr>
          <w:p w14:paraId="0071BBE7" w14:textId="69091EA6"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Motiei</w:t>
            </w:r>
            <w:proofErr w:type="spellEnd"/>
            <w:r w:rsidRPr="00501ECB">
              <w:rPr>
                <w:rFonts w:ascii="Times New Roman" w:eastAsia="Times New Roman" w:hAnsi="Times New Roman" w:cs="Times New Roman"/>
                <w:color w:val="000000"/>
                <w:sz w:val="18"/>
                <w:szCs w:val="18"/>
                <w:lang w:val="en-US" w:eastAsia="nl-BE"/>
                <w14:ligatures w14:val="none"/>
              </w:rPr>
              <w:t xml:space="preserve">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2020</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{"citationID":"UQhHqHjj","properties":{"formattedCitation":"[23]","plainCitation":"[23]","noteIndex":0},"citationItems":[{"id":392,"uris":["http://zotero.org/users/12047481/items/9QLGR9XV"],"itemData":{"id":392,"type":"article-journal","abstract":"It is a common view that an organism's microbiota has a profound influence on host fitness; however, supporting evidence is lacking in many organisms. We manipulated the gut microbiome of Daphnia magna by chronic exposure to different concentrations of the antibiotic Ciprofloxacin (0.01-1 mg L-1), and evaluated whether this affected the animals fitness and antioxidant capacity. In line with our expectations, antibiotic exposure altered the microbiome in a concentration-dependent manner. However, contrary to these expectations, the reduced diversity of gut bacteria was not associated with any fitness detriment. Moreover, the growth-related parameters correlated negatively with microbial diversity; and, in the daphnids exposed to the lowest Ciprofloxacin concentrations, the antioxidant capacity, growth, and fecundity were even higher than in control animals. These findings suggest that Ciprofloxacin exerts direct stimulatory effects on growth and reproduction in the host, while microbiome- mediated effects are of lesser importance. Thus, although microbiome profiling of Daphnia may be a sensitive tool to identify early effects of antibiotic exposure, disentangling direct and microbiome-mediated effects on the host fitness is not straightforward.","container-title":"PloS One","DOI":"10.1371/journal.pone.0214833","ISSN":"1932-6203","issue":"1","journalAbbreviation":"PLoS One","language":"eng","note":"PMID: 31899775\nPMCID: PMC6941804","page":"e0214833","source":"PubMed","title":"Disparate effects of antibiotic-induced microbiome change and enhanced fitness in Daphnia magna","volume":"15","author":[{"family":"Motiei","given":"Asa"},{"family":"Brindefalk","given":"Björn"},{"family":"Ogonowski","given":"Martin"},{"family":"El-Shehawy","given":"Rehab"},{"family":"Pastuszek","given":"Paulina"},{"family":"Ek","given":"Karin"},{"family":"Liewenborg","given":"Birgitta"},{"family":"Udekwu","given":"Klas"},{"family":"Gorokhova","given":"Elena"}],"issued":{"date-parts":[["2020"]]}}}],"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[23]</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2642334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D059B1" w14:paraId="6609CB52" w14:textId="77777777" w:rsidTr="00F50D9D">
        <w:tc>
          <w:tcPr>
            <w:tcW w:w="388" w:type="dxa"/>
          </w:tcPr>
          <w:p w14:paraId="6B9C55C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23.</w:t>
            </w:r>
          </w:p>
        </w:tc>
        <w:tc>
          <w:tcPr>
            <w:tcW w:w="996" w:type="dxa"/>
          </w:tcPr>
          <w:p w14:paraId="6794CE33"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 xml:space="preserve">D. </w:t>
            </w:r>
            <w:proofErr w:type="spellStart"/>
            <w:r w:rsidRPr="00501ECB">
              <w:rPr>
                <w:rFonts w:ascii="Times New Roman" w:eastAsia="Times New Roman" w:hAnsi="Times New Roman" w:cs="Times New Roman"/>
                <w:i/>
                <w:iCs/>
                <w:color w:val="000000"/>
                <w:sz w:val="18"/>
                <w:szCs w:val="18"/>
                <w:lang w:val="en-US" w:eastAsia="nl-BE"/>
                <w14:ligatures w14:val="none"/>
              </w:rPr>
              <w:t>pulex</w:t>
            </w:r>
            <w:proofErr w:type="spellEnd"/>
          </w:p>
        </w:tc>
        <w:tc>
          <w:tcPr>
            <w:tcW w:w="1184" w:type="dxa"/>
          </w:tcPr>
          <w:p w14:paraId="649FC1F6" w14:textId="77777777" w:rsidR="00F50D9D"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LD33</w:t>
            </w:r>
          </w:p>
          <w:p w14:paraId="53DA11A5" w14:textId="77777777" w:rsidR="005B73A1" w:rsidRDefault="005B73A1" w:rsidP="006C4573">
            <w:pPr>
              <w:jc w:val="both"/>
              <w:rPr>
                <w:rFonts w:ascii="Times New Roman" w:eastAsia="Times New Roman" w:hAnsi="Times New Roman" w:cs="Times New Roman"/>
                <w:color w:val="000000"/>
                <w:sz w:val="18"/>
                <w:szCs w:val="18"/>
                <w:lang w:val="es-ES" w:eastAsia="nl-BE"/>
                <w14:ligatures w14:val="none"/>
              </w:rPr>
            </w:pPr>
          </w:p>
          <w:p w14:paraId="52B758DC" w14:textId="31D76171" w:rsidR="005B73A1" w:rsidRPr="00501ECB" w:rsidRDefault="005B73A1" w:rsidP="006C4573">
            <w:pPr>
              <w:jc w:val="both"/>
              <w:rPr>
                <w:rFonts w:ascii="Times New Roman" w:eastAsia="Times New Roman" w:hAnsi="Times New Roman" w:cs="Times New Roman"/>
                <w:color w:val="000000"/>
                <w:sz w:val="18"/>
                <w:szCs w:val="18"/>
                <w:lang w:val="es-ES" w:eastAsia="nl-BE"/>
                <w14:ligatures w14:val="none"/>
              </w:rPr>
            </w:pPr>
            <w:r>
              <w:rPr>
                <w:rFonts w:ascii="Times New Roman" w:eastAsia="Times New Roman" w:hAnsi="Times New Roman" w:cs="Times New Roman"/>
                <w:color w:val="000000"/>
                <w:sz w:val="18"/>
                <w:szCs w:val="18"/>
                <w:lang w:val="es-ES" w:eastAsia="nl-BE"/>
                <w14:ligatures w14:val="none"/>
              </w:rPr>
              <w:t xml:space="preserve">30 </w:t>
            </w:r>
            <w:proofErr w:type="spellStart"/>
            <w:r>
              <w:rPr>
                <w:rFonts w:ascii="Times New Roman" w:eastAsia="Times New Roman" w:hAnsi="Times New Roman" w:cs="Times New Roman"/>
                <w:color w:val="000000"/>
                <w:sz w:val="18"/>
                <w:szCs w:val="18"/>
                <w:lang w:val="es-ES" w:eastAsia="nl-BE"/>
                <w14:ligatures w14:val="none"/>
              </w:rPr>
              <w:t>individuals</w:t>
            </w:r>
            <w:proofErr w:type="spellEnd"/>
            <w:r>
              <w:rPr>
                <w:rFonts w:ascii="Times New Roman" w:eastAsia="Times New Roman" w:hAnsi="Times New Roman" w:cs="Times New Roman"/>
                <w:color w:val="000000"/>
                <w:sz w:val="18"/>
                <w:szCs w:val="18"/>
                <w:lang w:val="es-ES" w:eastAsia="nl-BE"/>
                <w14:ligatures w14:val="none"/>
              </w:rPr>
              <w:t xml:space="preserve"> per </w:t>
            </w:r>
            <w:proofErr w:type="spellStart"/>
            <w:r>
              <w:rPr>
                <w:rFonts w:ascii="Times New Roman" w:eastAsia="Times New Roman" w:hAnsi="Times New Roman" w:cs="Times New Roman"/>
                <w:color w:val="000000"/>
                <w:sz w:val="18"/>
                <w:szCs w:val="18"/>
                <w:lang w:val="es-ES" w:eastAsia="nl-BE"/>
                <w14:ligatures w14:val="none"/>
              </w:rPr>
              <w:t>treatment</w:t>
            </w:r>
            <w:proofErr w:type="spellEnd"/>
          </w:p>
        </w:tc>
        <w:tc>
          <w:tcPr>
            <w:tcW w:w="1093" w:type="dxa"/>
          </w:tcPr>
          <w:p w14:paraId="5ED8E40F"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Multiple stressor exposure: </w:t>
            </w:r>
            <w:proofErr w:type="spellStart"/>
            <w:r w:rsidRPr="00501ECB">
              <w:rPr>
                <w:rFonts w:ascii="Times New Roman" w:eastAsia="Times New Roman" w:hAnsi="Times New Roman" w:cs="Times New Roman"/>
                <w:color w:val="000000"/>
                <w:sz w:val="18"/>
                <w:szCs w:val="18"/>
                <w:lang w:eastAsia="nl-BE"/>
                <w14:ligatures w14:val="none"/>
              </w:rPr>
              <w:t>Copper</w:t>
            </w:r>
            <w:proofErr w:type="spellEnd"/>
            <w:r w:rsidRPr="00501ECB">
              <w:rPr>
                <w:rFonts w:ascii="Times New Roman" w:eastAsia="Times New Roman" w:hAnsi="Times New Roman" w:cs="Times New Roman"/>
                <w:color w:val="000000"/>
                <w:sz w:val="18"/>
                <w:szCs w:val="18"/>
                <w:lang w:eastAsia="nl-BE"/>
                <w14:ligatures w14:val="none"/>
              </w:rPr>
              <w:t xml:space="preserve">/Predator cues, </w:t>
            </w:r>
            <w:proofErr w:type="spellStart"/>
            <w:r w:rsidRPr="00501ECB">
              <w:rPr>
                <w:rFonts w:ascii="Times New Roman" w:eastAsia="Times New Roman" w:hAnsi="Times New Roman" w:cs="Times New Roman"/>
                <w:color w:val="000000"/>
                <w:sz w:val="18"/>
                <w:szCs w:val="18"/>
                <w:lang w:eastAsia="nl-BE"/>
                <w14:ligatures w14:val="none"/>
              </w:rPr>
              <w:t>antibiotics</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Amp</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Kanamycin</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sulphate</w:t>
            </w:r>
            <w:proofErr w:type="spellEnd"/>
            <w:r w:rsidRPr="00501ECB">
              <w:rPr>
                <w:rFonts w:ascii="Times New Roman" w:eastAsia="Times New Roman" w:hAnsi="Times New Roman" w:cs="Times New Roman"/>
                <w:color w:val="000000"/>
                <w:sz w:val="18"/>
                <w:szCs w:val="18"/>
                <w:lang w:eastAsia="nl-BE"/>
                <w14:ligatures w14:val="none"/>
              </w:rPr>
              <w:t>)</w:t>
            </w:r>
          </w:p>
        </w:tc>
        <w:tc>
          <w:tcPr>
            <w:tcW w:w="738" w:type="dxa"/>
          </w:tcPr>
          <w:p w14:paraId="41B2021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03647B9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UK</w:t>
            </w:r>
          </w:p>
        </w:tc>
        <w:tc>
          <w:tcPr>
            <w:tcW w:w="1117" w:type="dxa"/>
          </w:tcPr>
          <w:p w14:paraId="40E5C66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49F9AEB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0AAFA28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16S </w:t>
            </w:r>
            <w:hyperlink r:id="rId5" w:tooltip="Learn more about rDNA from ScienceDirect's AI-generated Topic Pages" w:history="1">
              <w:r w:rsidRPr="00824A0E">
                <w:rPr>
                  <w:rFonts w:ascii="Times New Roman" w:eastAsia="Times New Roman" w:hAnsi="Times New Roman" w:cs="Times New Roman"/>
                  <w:color w:val="000000" w:themeColor="text1"/>
                  <w:sz w:val="18"/>
                  <w:szCs w:val="18"/>
                  <w:lang w:val="en-US" w:eastAsia="nl-BE"/>
                  <w14:ligatures w14:val="none"/>
                </w:rPr>
                <w:t>rDNA</w:t>
              </w:r>
            </w:hyperlink>
            <w:r w:rsidRPr="00824A0E">
              <w:rPr>
                <w:rFonts w:ascii="Times New Roman" w:eastAsia="Times New Roman" w:hAnsi="Times New Roman" w:cs="Times New Roman"/>
                <w:color w:val="000000" w:themeColor="text1"/>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sequencing (RTL Genomics, Texas, USA)</w:t>
            </w:r>
          </w:p>
        </w:tc>
        <w:tc>
          <w:tcPr>
            <w:tcW w:w="1200" w:type="dxa"/>
          </w:tcPr>
          <w:p w14:paraId="0EF9FF6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959" w:type="dxa"/>
          </w:tcPr>
          <w:p w14:paraId="27C8431A"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205E4889" w14:textId="77777777" w:rsidR="00F50D9D" w:rsidRPr="00501ECB" w:rsidRDefault="00F50D9D"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p>
        </w:tc>
        <w:tc>
          <w:tcPr>
            <w:tcW w:w="1275" w:type="dxa"/>
          </w:tcPr>
          <w:p w14:paraId="48C2FBC2" w14:textId="1F6C7F59"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7B412DF8" w14:textId="2871E8F1" w:rsidR="00F50D9D" w:rsidRPr="00D32A9A" w:rsidRDefault="00F50D9D" w:rsidP="006C4573">
            <w:pPr>
              <w:jc w:val="both"/>
              <w:rPr>
                <w:rFonts w:ascii="Times New Roman" w:eastAsia="Times New Roman" w:hAnsi="Times New Roman" w:cs="Times New Roman"/>
                <w:color w:val="000000"/>
                <w:sz w:val="18"/>
                <w:szCs w:val="18"/>
                <w:lang w:val="fr-FR" w:eastAsia="nl-BE"/>
                <w14:ligatures w14:val="none"/>
              </w:rPr>
            </w:pPr>
            <w:r w:rsidRPr="00D32A9A">
              <w:rPr>
                <w:rFonts w:ascii="Times New Roman" w:eastAsia="Times New Roman" w:hAnsi="Times New Roman" w:cs="Times New Roman"/>
                <w:color w:val="000000"/>
                <w:sz w:val="18"/>
                <w:szCs w:val="18"/>
                <w:lang w:val="fr-FR" w:eastAsia="nl-BE"/>
                <w14:ligatures w14:val="none"/>
              </w:rPr>
              <w:t xml:space="preserve">SA </w:t>
            </w:r>
            <w:proofErr w:type="spellStart"/>
            <w:r w:rsidRPr="00D32A9A">
              <w:rPr>
                <w:rFonts w:ascii="Times New Roman" w:eastAsia="Times New Roman" w:hAnsi="Times New Roman" w:cs="Times New Roman"/>
                <w:color w:val="000000"/>
                <w:sz w:val="18"/>
                <w:szCs w:val="18"/>
                <w:lang w:val="fr-FR" w:eastAsia="nl-BE"/>
                <w14:ligatures w14:val="none"/>
              </w:rPr>
              <w:t>Sadeq</w:t>
            </w:r>
            <w:proofErr w:type="spellEnd"/>
            <w:r w:rsidRPr="00D32A9A">
              <w:rPr>
                <w:rFonts w:ascii="Times New Roman" w:eastAsia="Times New Roman" w:hAnsi="Times New Roman" w:cs="Times New Roman"/>
                <w:color w:val="000000"/>
                <w:sz w:val="18"/>
                <w:szCs w:val="18"/>
                <w:lang w:val="fr-FR" w:eastAsia="nl-BE"/>
                <w14:ligatures w14:val="none"/>
              </w:rPr>
              <w:t xml:space="preserve"> </w:t>
            </w:r>
            <w:r w:rsidRPr="00F50612">
              <w:rPr>
                <w:rFonts w:ascii="Times New Roman" w:eastAsia="Times New Roman" w:hAnsi="Times New Roman" w:cs="Times New Roman"/>
                <w:i/>
                <w:iCs/>
                <w:color w:val="000000"/>
                <w:sz w:val="18"/>
                <w:szCs w:val="18"/>
                <w:lang w:val="fr-FR" w:eastAsia="nl-BE"/>
                <w14:ligatures w14:val="none"/>
              </w:rPr>
              <w:t>et al.,</w:t>
            </w:r>
            <w:r w:rsidRPr="00D32A9A">
              <w:rPr>
                <w:rFonts w:ascii="Times New Roman" w:eastAsia="Times New Roman" w:hAnsi="Times New Roman" w:cs="Times New Roman"/>
                <w:color w:val="000000"/>
                <w:sz w:val="18"/>
                <w:szCs w:val="18"/>
                <w:lang w:val="fr-FR" w:eastAsia="nl-BE"/>
                <w14:ligatures w14:val="none"/>
              </w:rPr>
              <w:t xml:space="preserve"> 2020 </w:t>
            </w:r>
            <w:r>
              <w:rPr>
                <w:rFonts w:ascii="Times New Roman" w:eastAsia="Times New Roman" w:hAnsi="Times New Roman" w:cs="Times New Roman"/>
                <w:color w:val="000000"/>
                <w:sz w:val="18"/>
                <w:szCs w:val="18"/>
                <w:lang w:val="fr-FR"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{"citationID":"41qIiunQ","properties":{"formattedCitation":"[24]","plainCitation":"[24]","noteIndex":0},"citationItems":[{"id":691,"uris":["http://zotero.org/users/12047481/items/E854HVS8"],"itemData":{"id":691,"type":"article-journal","abstract":"Gut microbiota communities are fundamental ecological components in the aquatic food web. Their potential to mediate how organisms respond to multiple environmental stressors remains understudied. Here we explored how manipulations of the gut microbiome of Daphnia pulex, a keystone species in aquatic communities, influenced life history (size at maturity, age at maturity, somatic growth rate and clutch size), morphology (induced defence) and body condition (lipid status deposits) responses to combined anthropogenic (copper) and natural (predation risk) stress. Data from a factorial experiment revealed that the effect of predation risk on traits was often mediated by copper (predation risk and copper interact). These patterns align with theory linking predation risk and copper contamination via digestive physiology. We also found that each stressor, and their combination, was associated with the same community composition of the D. pulex microbiome. However, antibiotic manipulation of the microbiome reversed 7/12 the trait responses across life history, morphology and body condition. This was associated with dramatically different communities to control conditions, with clear and unique patterns of microbiome community composition for each stressor and their combination. Our study revealed that microbiome community composition is highly correlated with the response of organisms to multiple, simultaneous stressors.","container-title":"Science of The Total Environment","DOI":"10.1016/j.scitotenv.2021.145144","ISSN":"0048-9697","journalAbbreviation":"Science of The Total Environment","page":"145144","source":"ScienceDirect","title":"The microbiome mediates the interaction between predation and heavy metals","volume":"775","author":[{"family":"Sadeq","given":"Shlair A."},{"family":"Mills","given":"R. I. Lloyd"},{"family":"Beckerman","given":"Andrew P."}],"issued":{"date-parts":[["2021",6,25]]}}}],"schema":"https://github.com/citation-style-language/schema/raw/master/csl-citation.json"} </w:instrText>
            </w:r>
            <w:r>
              <w:rPr>
                <w:rFonts w:ascii="Times New Roman" w:eastAsia="Times New Roman" w:hAnsi="Times New Roman" w:cs="Times New Roman"/>
                <w:color w:val="000000"/>
                <w:sz w:val="18"/>
                <w:szCs w:val="18"/>
                <w:lang w:val="fr-FR" w:eastAsia="nl-BE"/>
                <w14:ligatures w14:val="none"/>
              </w:rPr>
              <w:fldChar w:fldCharType="separate"/>
            </w:r>
            <w:r w:rsidRPr="00B40F84">
              <w:rPr>
                <w:rFonts w:ascii="Times New Roman" w:hAnsi="Times New Roman" w:cs="Times New Roman"/>
                <w:sz w:val="18"/>
              </w:rPr>
              <w:t>[24]</w:t>
            </w:r>
            <w:r>
              <w:rPr>
                <w:rFonts w:ascii="Times New Roman" w:eastAsia="Times New Roman" w:hAnsi="Times New Roman" w:cs="Times New Roman"/>
                <w:color w:val="000000"/>
                <w:sz w:val="18"/>
                <w:szCs w:val="18"/>
                <w:lang w:val="fr-FR" w:eastAsia="nl-BE"/>
                <w14:ligatures w14:val="none"/>
              </w:rPr>
              <w:fldChar w:fldCharType="end"/>
            </w:r>
          </w:p>
        </w:tc>
        <w:tc>
          <w:tcPr>
            <w:tcW w:w="1116" w:type="dxa"/>
          </w:tcPr>
          <w:p w14:paraId="0E8D83E6" w14:textId="2EC1F70E"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 response from author,</w:t>
            </w:r>
            <w:r w:rsidR="005B73A1">
              <w:rPr>
                <w:rFonts w:ascii="Times New Roman" w:eastAsia="Times New Roman" w:hAnsi="Times New Roman" w:cs="Times New Roman"/>
                <w:color w:val="C00000"/>
                <w:sz w:val="18"/>
                <w:szCs w:val="18"/>
                <w:lang w:val="en-US" w:eastAsia="nl-BE"/>
                <w14:ligatures w14:val="none"/>
              </w:rPr>
              <w:t xml:space="preserve"> </w:t>
            </w: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0CD2994B" w14:textId="77777777" w:rsidTr="00F50D9D">
        <w:tc>
          <w:tcPr>
            <w:tcW w:w="388" w:type="dxa"/>
          </w:tcPr>
          <w:p w14:paraId="20C9EE8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24.</w:t>
            </w:r>
          </w:p>
        </w:tc>
        <w:tc>
          <w:tcPr>
            <w:tcW w:w="996" w:type="dxa"/>
          </w:tcPr>
          <w:p w14:paraId="7DD11798"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3C07FDCA" w14:textId="77777777" w:rsidR="00F50D9D"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LRV3.5_15, LRV13.5_1, </w:t>
            </w:r>
            <w:r w:rsidRPr="00501ECB">
              <w:rPr>
                <w:rFonts w:ascii="Times New Roman" w:eastAsia="Times New Roman" w:hAnsi="Times New Roman" w:cs="Times New Roman"/>
                <w:color w:val="000000"/>
                <w:sz w:val="18"/>
                <w:szCs w:val="18"/>
                <w:lang w:val="en-US" w:eastAsia="nl-BE"/>
                <w14:ligatures w14:val="none"/>
              </w:rPr>
              <w:lastRenderedPageBreak/>
              <w:t>LRV13_2 &amp; P-IT</w:t>
            </w:r>
          </w:p>
          <w:p w14:paraId="29FE14AD" w14:textId="77777777" w:rsidR="005B73A1" w:rsidRDefault="005B73A1" w:rsidP="006C4573">
            <w:pPr>
              <w:jc w:val="both"/>
              <w:rPr>
                <w:rFonts w:ascii="Times New Roman" w:eastAsia="Times New Roman" w:hAnsi="Times New Roman" w:cs="Times New Roman"/>
                <w:color w:val="000000"/>
                <w:sz w:val="18"/>
                <w:szCs w:val="18"/>
                <w:lang w:val="en-US" w:eastAsia="nl-BE"/>
                <w14:ligatures w14:val="none"/>
              </w:rPr>
            </w:pPr>
          </w:p>
          <w:p w14:paraId="59831EE6" w14:textId="57C53B92" w:rsidR="005B73A1" w:rsidRPr="00501ECB" w:rsidRDefault="005B73A1"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20 individuals pooled per genotype</w:t>
            </w:r>
          </w:p>
        </w:tc>
        <w:tc>
          <w:tcPr>
            <w:tcW w:w="1093" w:type="dxa"/>
          </w:tcPr>
          <w:p w14:paraId="164540F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lastRenderedPageBreak/>
              <w:t xml:space="preserve">Effect of </w:t>
            </w:r>
            <w:proofErr w:type="spellStart"/>
            <w:r w:rsidRPr="00501ECB">
              <w:rPr>
                <w:rFonts w:ascii="Times New Roman" w:eastAsia="Times New Roman" w:hAnsi="Times New Roman" w:cs="Times New Roman"/>
                <w:color w:val="000000"/>
                <w:sz w:val="18"/>
                <w:szCs w:val="18"/>
                <w:lang w:eastAsia="nl-BE"/>
                <w14:ligatures w14:val="none"/>
              </w:rPr>
              <w:t>glyphosate</w:t>
            </w:r>
            <w:proofErr w:type="spellEnd"/>
          </w:p>
        </w:tc>
        <w:tc>
          <w:tcPr>
            <w:tcW w:w="738" w:type="dxa"/>
          </w:tcPr>
          <w:p w14:paraId="79DADEC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6335529A" w14:textId="77777777" w:rsidR="00F50D9D" w:rsidRPr="00501ECB" w:rsidRDefault="00F50D9D" w:rsidP="006C4573">
            <w:pPr>
              <w:spacing w:before="100" w:beforeAutospacing="1" w:after="100" w:afterAutospacing="1"/>
              <w:jc w:val="both"/>
              <w:rPr>
                <w:rFonts w:ascii="Times New Roman" w:eastAsia="Times New Roman" w:hAnsi="Times New Roman" w:cs="Times New Roman"/>
                <w:color w:val="000000"/>
                <w:sz w:val="18"/>
                <w:szCs w:val="18"/>
                <w:lang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Denmark,Verbania</w:t>
            </w:r>
            <w:proofErr w:type="spellEnd"/>
            <w:r w:rsidRPr="00501ECB">
              <w:rPr>
                <w:rFonts w:ascii="Times New Roman" w:eastAsia="Times New Roman" w:hAnsi="Times New Roman" w:cs="Times New Roman"/>
                <w:color w:val="000000"/>
                <w:sz w:val="18"/>
                <w:szCs w:val="18"/>
                <w:lang w:eastAsia="nl-BE"/>
                <w14:ligatures w14:val="none"/>
              </w:rPr>
              <w:t xml:space="preserve"> </w:t>
            </w:r>
            <w:r w:rsidRPr="00501ECB">
              <w:rPr>
                <w:rFonts w:ascii="Times New Roman" w:eastAsia="Times New Roman" w:hAnsi="Times New Roman" w:cs="Times New Roman"/>
                <w:color w:val="000000"/>
                <w:sz w:val="18"/>
                <w:szCs w:val="18"/>
                <w:lang w:eastAsia="nl-BE"/>
                <w14:ligatures w14:val="none"/>
              </w:rPr>
              <w:lastRenderedPageBreak/>
              <w:t>Italy</w:t>
            </w:r>
          </w:p>
          <w:p w14:paraId="0FAEBA4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17" w:type="dxa"/>
          </w:tcPr>
          <w:p w14:paraId="3D2C476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Laboratory</w:t>
            </w:r>
          </w:p>
        </w:tc>
        <w:tc>
          <w:tcPr>
            <w:tcW w:w="1134" w:type="dxa"/>
          </w:tcPr>
          <w:p w14:paraId="66BCE51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77AD313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V1 </w:t>
            </w:r>
            <w:proofErr w:type="spellStart"/>
            <w:r w:rsidRPr="00501ECB">
              <w:rPr>
                <w:rFonts w:ascii="Times New Roman" w:eastAsia="Times New Roman" w:hAnsi="Times New Roman" w:cs="Times New Roman"/>
                <w:color w:val="000000"/>
                <w:sz w:val="18"/>
                <w:szCs w:val="18"/>
                <w:lang w:eastAsia="nl-BE"/>
                <w14:ligatures w14:val="none"/>
              </w:rPr>
              <w:t>region</w:t>
            </w:r>
            <w:proofErr w:type="spellEnd"/>
          </w:p>
        </w:tc>
        <w:tc>
          <w:tcPr>
            <w:tcW w:w="1200" w:type="dxa"/>
          </w:tcPr>
          <w:p w14:paraId="4A45FBF9" w14:textId="0C67AC2B"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Power</w:t>
            </w:r>
            <w:r w:rsidR="00C06356">
              <w:rPr>
                <w:rFonts w:ascii="Times New Roman" w:eastAsia="Times New Roman" w:hAnsi="Times New Roman" w:cs="Times New Roman"/>
                <w:color w:val="000000"/>
                <w:sz w:val="18"/>
                <w:szCs w:val="18"/>
                <w:lang w:val="en-US" w:eastAsia="nl-BE"/>
                <w14:ligatures w14:val="none"/>
              </w:rPr>
              <w:t xml:space="preserve"> </w:t>
            </w:r>
            <w:r w:rsidRPr="00501ECB">
              <w:rPr>
                <w:rFonts w:ascii="Times New Roman" w:eastAsia="Times New Roman" w:hAnsi="Times New Roman" w:cs="Times New Roman"/>
                <w:color w:val="000000"/>
                <w:sz w:val="18"/>
                <w:szCs w:val="18"/>
                <w:lang w:val="en-US" w:eastAsia="nl-BE"/>
                <w14:ligatures w14:val="none"/>
              </w:rPr>
              <w:t xml:space="preserve">Soil DNA </w:t>
            </w:r>
            <w:r w:rsidRPr="00501ECB">
              <w:rPr>
                <w:rFonts w:ascii="Times New Roman" w:eastAsia="Times New Roman" w:hAnsi="Times New Roman" w:cs="Times New Roman"/>
                <w:color w:val="000000"/>
                <w:sz w:val="18"/>
                <w:szCs w:val="18"/>
                <w:lang w:val="en-US" w:eastAsia="nl-BE"/>
                <w14:ligatures w14:val="none"/>
              </w:rPr>
              <w:lastRenderedPageBreak/>
              <w:t>Isolation Kit MoBio (</w:t>
            </w:r>
            <w:proofErr w:type="spellStart"/>
            <w:r w:rsidRPr="00501ECB">
              <w:rPr>
                <w:rFonts w:ascii="Times New Roman" w:eastAsia="Times New Roman" w:hAnsi="Times New Roman" w:cs="Times New Roman"/>
                <w:color w:val="000000"/>
                <w:sz w:val="18"/>
                <w:szCs w:val="18"/>
                <w:lang w:val="en-US" w:eastAsia="nl-BE"/>
                <w14:ligatures w14:val="none"/>
              </w:rPr>
              <w:t>Thermo</w:t>
            </w:r>
            <w:proofErr w:type="spellEnd"/>
            <w:r w:rsidRPr="00501ECB">
              <w:rPr>
                <w:rFonts w:ascii="Times New Roman" w:eastAsia="Times New Roman" w:hAnsi="Times New Roman" w:cs="Times New Roman"/>
                <w:color w:val="000000"/>
                <w:sz w:val="18"/>
                <w:szCs w:val="18"/>
                <w:lang w:val="en-US" w:eastAsia="nl-BE"/>
                <w14:ligatures w14:val="none"/>
              </w:rPr>
              <w:t xml:space="preserve"> Fisher Scientific)</w:t>
            </w:r>
          </w:p>
        </w:tc>
        <w:tc>
          <w:tcPr>
            <w:tcW w:w="959" w:type="dxa"/>
          </w:tcPr>
          <w:p w14:paraId="79E055FF" w14:textId="0AD9E73A"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250 bp sequencin</w:t>
            </w:r>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g</w:t>
            </w:r>
            <w:r>
              <w:rPr>
                <w:rFonts w:ascii="Times New Roman" w:eastAsia="Times New Roman" w:hAnsi="Times New Roman" w:cs="Times New Roman"/>
                <w:color w:val="212121"/>
                <w:sz w:val="18"/>
                <w:szCs w:val="18"/>
                <w:shd w:val="clear" w:color="auto" w:fill="FFFFFF"/>
                <w:lang w:val="en-US" w:eastAsia="nl-BE"/>
                <w14:ligatures w14:val="none"/>
              </w:rPr>
              <w:t xml:space="preserve">, </w:t>
            </w: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221099F3" w14:textId="0BB94906" w:rsidR="00F50D9D" w:rsidRPr="005B73A1" w:rsidRDefault="005B73A1"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lastRenderedPageBreak/>
              <w:t xml:space="preserve">Rarefaction depth: </w:t>
            </w:r>
            <w:r w:rsidRPr="005B73A1">
              <w:rPr>
                <w:rFonts w:ascii="Times New Roman" w:eastAsia="Times New Roman" w:hAnsi="Times New Roman" w:cs="Times New Roman"/>
                <w:color w:val="000000"/>
                <w:sz w:val="18"/>
                <w:szCs w:val="18"/>
                <w:lang w:val="en-US" w:eastAsia="nl-BE"/>
                <w14:ligatures w14:val="none"/>
              </w:rPr>
              <w:t xml:space="preserve">13,439 </w:t>
            </w:r>
            <w:r w:rsidRPr="005B73A1">
              <w:rPr>
                <w:rFonts w:ascii="Times New Roman" w:eastAsia="Times New Roman" w:hAnsi="Times New Roman" w:cs="Times New Roman"/>
                <w:color w:val="000000"/>
                <w:sz w:val="18"/>
                <w:szCs w:val="18"/>
                <w:lang w:val="en-US" w:eastAsia="nl-BE"/>
                <w14:ligatures w14:val="none"/>
              </w:rPr>
              <w:lastRenderedPageBreak/>
              <w:t>reads per s</w:t>
            </w:r>
            <w:r>
              <w:rPr>
                <w:rFonts w:ascii="Times New Roman" w:eastAsia="Times New Roman" w:hAnsi="Times New Roman" w:cs="Times New Roman"/>
                <w:color w:val="000000"/>
                <w:sz w:val="18"/>
                <w:szCs w:val="18"/>
                <w:lang w:val="en-US" w:eastAsia="nl-BE"/>
                <w14:ligatures w14:val="none"/>
              </w:rPr>
              <w:t>ample</w:t>
            </w:r>
          </w:p>
        </w:tc>
        <w:tc>
          <w:tcPr>
            <w:tcW w:w="1275" w:type="dxa"/>
          </w:tcPr>
          <w:p w14:paraId="2E500FF9" w14:textId="5C116305"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lastRenderedPageBreak/>
              <w:t>PRJNA606209-</w:t>
            </w:r>
          </w:p>
        </w:tc>
        <w:tc>
          <w:tcPr>
            <w:tcW w:w="1134" w:type="dxa"/>
          </w:tcPr>
          <w:p w14:paraId="50819281" w14:textId="2DDA23F5" w:rsidR="00F50D9D" w:rsidRPr="00D32A9A" w:rsidRDefault="00F50D9D" w:rsidP="006C4573">
            <w:pPr>
              <w:jc w:val="both"/>
              <w:rPr>
                <w:rFonts w:ascii="Times New Roman" w:eastAsia="Times New Roman" w:hAnsi="Times New Roman" w:cs="Times New Roman"/>
                <w:color w:val="000000"/>
                <w:sz w:val="18"/>
                <w:szCs w:val="18"/>
                <w:lang w:val="fr-FR" w:eastAsia="nl-BE"/>
                <w14:ligatures w14:val="none"/>
              </w:rPr>
            </w:pPr>
            <w:r w:rsidRPr="00D32A9A">
              <w:rPr>
                <w:rFonts w:ascii="Times New Roman" w:eastAsia="Times New Roman" w:hAnsi="Times New Roman" w:cs="Times New Roman"/>
                <w:color w:val="000000"/>
                <w:sz w:val="18"/>
                <w:szCs w:val="18"/>
                <w:lang w:val="fr-FR" w:eastAsia="nl-BE"/>
                <w14:ligatures w14:val="none"/>
              </w:rPr>
              <w:t xml:space="preserve">A </w:t>
            </w:r>
            <w:proofErr w:type="spellStart"/>
            <w:r w:rsidRPr="00D32A9A">
              <w:rPr>
                <w:rFonts w:ascii="Times New Roman" w:eastAsia="Times New Roman" w:hAnsi="Times New Roman" w:cs="Times New Roman"/>
                <w:color w:val="000000"/>
                <w:sz w:val="18"/>
                <w:szCs w:val="18"/>
                <w:lang w:val="fr-FR" w:eastAsia="nl-BE"/>
                <w14:ligatures w14:val="none"/>
              </w:rPr>
              <w:t>Suppa</w:t>
            </w:r>
            <w:proofErr w:type="spellEnd"/>
            <w:r w:rsidRPr="00D32A9A">
              <w:rPr>
                <w:rFonts w:ascii="Times New Roman" w:eastAsia="Times New Roman" w:hAnsi="Times New Roman" w:cs="Times New Roman"/>
                <w:color w:val="000000"/>
                <w:sz w:val="18"/>
                <w:szCs w:val="18"/>
                <w:lang w:val="fr-FR" w:eastAsia="nl-BE"/>
                <w14:ligatures w14:val="none"/>
              </w:rPr>
              <w:t xml:space="preserve">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D32A9A">
              <w:rPr>
                <w:rFonts w:ascii="Times New Roman" w:eastAsia="Times New Roman" w:hAnsi="Times New Roman" w:cs="Times New Roman"/>
                <w:color w:val="000000"/>
                <w:sz w:val="18"/>
                <w:szCs w:val="18"/>
                <w:lang w:val="fr-FR" w:eastAsia="nl-BE"/>
                <w14:ligatures w14:val="none"/>
              </w:rPr>
              <w:t xml:space="preserve"> 2020 </w:t>
            </w:r>
            <w:r>
              <w:rPr>
                <w:rFonts w:ascii="Times New Roman" w:eastAsia="Times New Roman" w:hAnsi="Times New Roman" w:cs="Times New Roman"/>
                <w:color w:val="000000"/>
                <w:sz w:val="18"/>
                <w:szCs w:val="18"/>
                <w:lang w:val="en-US" w:eastAsia="nl-BE"/>
                <w14:ligatures w14:val="none"/>
              </w:rPr>
              <w:lastRenderedPageBreak/>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{"citationID":"q5EVV4FQ","properties":{"formattedCitation":"[25]","plainCitation":"[25]","noteIndex":0},"citationItems":[{"id":694,"uris":["http://zotero.org/users/12047481/items/VBQPP4XB"],"itemData":{"id":694,"type":"article-journal","abstract":"Research around the weedkiller Roundup is among the most contentious of the twenty-first century. Scientists have provided inconclusive evidence that the weedkiller causes cancer and other life-threatening diseases, while industry-paid research reports that the weedkiller has no adverse effect on humans or animals. Much of the controversial evidence on Roundup is rooted in the approach used to determine safe use of chemicals, defined by outdated toxicity tests. We apply a system biology approach to the biomedical and ecological model species Daphnia to quantify the impact of glyphosate and of its commercial formula, Roundup, on fitness, genome-wide transcription and gut microbiota, taking full advantage of clonal reproduction in Daphnia. We then apply machine learning-based statistical analysis to identify and prioritize correlations between genome-wide transcriptional and microbiota changes.","container-title":"Microbiome","DOI":"10.1186/s40168-020-00943-5","ISSN":"2049-2618","issue":"1","journalAbbreviation":"Microbiome","page":"170","source":"BioMed Central","title":"Roundup causes embryonic development failure and alters metabolic pathways and gut microbiota functionality in non-target species","volume":"8","author":[{"family":"Suppa","given":"Antonio"},{"family":"Kvist","given":"Jouni"},{"family":"Li","given":"Xiaojing"},{"family":"Dhandapani","given":"Vignesh"},{"family":"Almulla","given":"Hanan"},{"family":"Tian","given":"Antoine Y."},{"family":"Kissane","given":"Stephen"},{"family":"Zhou","given":"Jiarui"},{"family":"Perotti","given":"Alessio"},{"family":"Mangelson","given":"Hayley"},{"family":"Langford","given":"Kyle"},{"family":"Rossi","given":"Valeria"},{"family":"Brown","given":"James B."},{"family":"Orsini","given":"Luisa"}],"issued":{"date-parts":[["2020",12,15]]}}}],"schema":"https://github.com/citation-style-language/schema/raw/master/csl-citation.json"}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[25]</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15DE50E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lastRenderedPageBreak/>
              <w:t>Not selected</w:t>
            </w:r>
          </w:p>
        </w:tc>
      </w:tr>
      <w:tr w:rsidR="00F50D9D" w:rsidRPr="00501ECB" w14:paraId="2833CB3E" w14:textId="77777777" w:rsidTr="00F50D9D">
        <w:tc>
          <w:tcPr>
            <w:tcW w:w="388" w:type="dxa"/>
          </w:tcPr>
          <w:p w14:paraId="064F90E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25.</w:t>
            </w:r>
          </w:p>
        </w:tc>
        <w:tc>
          <w:tcPr>
            <w:tcW w:w="996" w:type="dxa"/>
          </w:tcPr>
          <w:p w14:paraId="3576289C"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456B7DBF"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Strauss</w:t>
            </w:r>
          </w:p>
          <w:p w14:paraId="41D5F0B7" w14:textId="77777777" w:rsidR="0046547B" w:rsidRPr="00C06356" w:rsidRDefault="0046547B" w:rsidP="006C4573">
            <w:pPr>
              <w:jc w:val="both"/>
              <w:rPr>
                <w:rFonts w:ascii="Times New Roman" w:eastAsia="Times New Roman" w:hAnsi="Times New Roman" w:cs="Times New Roman"/>
                <w:color w:val="000000"/>
                <w:sz w:val="18"/>
                <w:szCs w:val="18"/>
                <w:lang w:val="en-US" w:eastAsia="nl-BE"/>
                <w14:ligatures w14:val="none"/>
              </w:rPr>
            </w:pPr>
          </w:p>
          <w:p w14:paraId="1100C1D7" w14:textId="5D0C35D7" w:rsidR="0046547B" w:rsidRPr="0046547B" w:rsidRDefault="0046547B" w:rsidP="006C4573">
            <w:pPr>
              <w:jc w:val="both"/>
              <w:rPr>
                <w:rFonts w:ascii="Times New Roman" w:eastAsia="Times New Roman" w:hAnsi="Times New Roman" w:cs="Times New Roman"/>
                <w:color w:val="000000"/>
                <w:sz w:val="18"/>
                <w:szCs w:val="18"/>
                <w:lang w:val="en-US" w:eastAsia="nl-BE"/>
                <w14:ligatures w14:val="none"/>
              </w:rPr>
            </w:pPr>
            <w:r w:rsidRPr="0046547B">
              <w:rPr>
                <w:rFonts w:ascii="Times New Roman" w:eastAsia="Times New Roman" w:hAnsi="Times New Roman" w:cs="Times New Roman"/>
                <w:color w:val="000000"/>
                <w:sz w:val="18"/>
                <w:szCs w:val="18"/>
                <w:lang w:val="en-US" w:eastAsia="nl-BE"/>
                <w14:ligatures w14:val="none"/>
              </w:rPr>
              <w:t>15 individuals per replicate per treatment</w:t>
            </w:r>
          </w:p>
        </w:tc>
        <w:tc>
          <w:tcPr>
            <w:tcW w:w="1093" w:type="dxa"/>
          </w:tcPr>
          <w:p w14:paraId="65190E6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Effect of poor vs rich diet and, antibiotic exposure (tetracycline HCl)</w:t>
            </w:r>
          </w:p>
        </w:tc>
        <w:tc>
          <w:tcPr>
            <w:tcW w:w="738" w:type="dxa"/>
          </w:tcPr>
          <w:p w14:paraId="0D4B43B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6E6E3E5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China</w:t>
            </w:r>
          </w:p>
        </w:tc>
        <w:tc>
          <w:tcPr>
            <w:tcW w:w="1117" w:type="dxa"/>
          </w:tcPr>
          <w:p w14:paraId="1659E22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1144B5B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338F, 806R</w:t>
            </w:r>
          </w:p>
        </w:tc>
        <w:tc>
          <w:tcPr>
            <w:tcW w:w="850" w:type="dxa"/>
          </w:tcPr>
          <w:p w14:paraId="13FC5AB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V3-V4</w:t>
            </w:r>
          </w:p>
        </w:tc>
        <w:tc>
          <w:tcPr>
            <w:tcW w:w="1200" w:type="dxa"/>
          </w:tcPr>
          <w:p w14:paraId="5330F68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E.Z.N.A.® soil DNA Kit (Omega Bio-</w:t>
            </w:r>
            <w:proofErr w:type="spellStart"/>
            <w:r w:rsidRPr="00501ECB">
              <w:rPr>
                <w:rFonts w:ascii="Times New Roman" w:eastAsia="Times New Roman" w:hAnsi="Times New Roman" w:cs="Times New Roman"/>
                <w:color w:val="000000"/>
                <w:sz w:val="18"/>
                <w:szCs w:val="18"/>
                <w:lang w:val="en-US" w:eastAsia="nl-BE"/>
                <w14:ligatures w14:val="none"/>
              </w:rPr>
              <w:t>tek</w:t>
            </w:r>
            <w:proofErr w:type="spellEnd"/>
            <w:r w:rsidRPr="00501ECB">
              <w:rPr>
                <w:rFonts w:ascii="Times New Roman" w:eastAsia="Times New Roman" w:hAnsi="Times New Roman" w:cs="Times New Roman"/>
                <w:color w:val="000000"/>
                <w:sz w:val="18"/>
                <w:szCs w:val="18"/>
                <w:lang w:val="en-US" w:eastAsia="nl-BE"/>
                <w14:ligatures w14:val="none"/>
              </w:rPr>
              <w:t>, Norcross, GA, U.S.)</w:t>
            </w:r>
          </w:p>
        </w:tc>
        <w:tc>
          <w:tcPr>
            <w:tcW w:w="959" w:type="dxa"/>
          </w:tcPr>
          <w:p w14:paraId="186E3691" w14:textId="5FD9EE2E"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V3 reagent kit (600-cycles)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6F157338"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eastAsia="nl-BE"/>
                <w14:ligatures w14:val="none"/>
              </w:rPr>
            </w:pPr>
          </w:p>
        </w:tc>
        <w:tc>
          <w:tcPr>
            <w:tcW w:w="1275" w:type="dxa"/>
          </w:tcPr>
          <w:p w14:paraId="573021E1" w14:textId="71EEBEAA"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PRJNA561047</w:t>
            </w:r>
          </w:p>
        </w:tc>
        <w:tc>
          <w:tcPr>
            <w:tcW w:w="1134" w:type="dxa"/>
          </w:tcPr>
          <w:p w14:paraId="6C90A055" w14:textId="7CB728A9"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S. Akbar </w:t>
            </w:r>
            <w:r w:rsidRPr="00F50612">
              <w:rPr>
                <w:rFonts w:ascii="Times New Roman" w:eastAsia="Times New Roman" w:hAnsi="Times New Roman" w:cs="Times New Roman"/>
                <w:i/>
                <w:iCs/>
                <w:color w:val="000000"/>
                <w:sz w:val="18"/>
                <w:szCs w:val="18"/>
                <w:lang w:eastAsia="nl-BE"/>
                <w14:ligatures w14:val="none"/>
              </w:rPr>
              <w:t>et al</w:t>
            </w:r>
            <w:r>
              <w:rPr>
                <w:rFonts w:ascii="Times New Roman" w:eastAsia="Times New Roman" w:hAnsi="Times New Roman" w:cs="Times New Roman"/>
                <w:color w:val="000000"/>
                <w:sz w:val="18"/>
                <w:szCs w:val="18"/>
                <w:lang w:eastAsia="nl-BE"/>
                <w14:ligatures w14:val="none"/>
              </w:rPr>
              <w:t>.,</w:t>
            </w:r>
            <w:r w:rsidRPr="00501ECB">
              <w:rPr>
                <w:rFonts w:ascii="Times New Roman" w:eastAsia="Times New Roman" w:hAnsi="Times New Roman" w:cs="Times New Roman"/>
                <w:color w:val="000000"/>
                <w:sz w:val="18"/>
                <w:szCs w:val="18"/>
                <w:lang w:eastAsia="nl-BE"/>
                <w14:ligatures w14:val="none"/>
              </w:rPr>
              <w:t xml:space="preserve"> 2020</w:t>
            </w:r>
            <w:r>
              <w:rPr>
                <w:rFonts w:ascii="Times New Roman" w:eastAsia="Times New Roman" w:hAnsi="Times New Roman" w:cs="Times New Roman"/>
                <w:color w:val="000000"/>
                <w:sz w:val="18"/>
                <w:szCs w:val="18"/>
                <w:lang w:eastAsia="nl-BE"/>
                <w14:ligatures w14:val="none"/>
              </w:rPr>
              <w:t xml:space="preserve"> </w:t>
            </w:r>
            <w:r>
              <w:rPr>
                <w:rFonts w:ascii="Times New Roman" w:eastAsia="Times New Roman" w:hAnsi="Times New Roman" w:cs="Times New Roman"/>
                <w:color w:val="000000"/>
                <w:sz w:val="18"/>
                <w:szCs w:val="18"/>
                <w:lang w:eastAsia="nl-BE"/>
                <w14:ligatures w14:val="none"/>
              </w:rPr>
              <w:fldChar w:fldCharType="begin"/>
            </w:r>
            <w:r>
              <w:rPr>
                <w:rFonts w:ascii="Times New Roman" w:eastAsia="Times New Roman" w:hAnsi="Times New Roman" w:cs="Times New Roman"/>
                <w:color w:val="000000"/>
                <w:sz w:val="18"/>
                <w:szCs w:val="18"/>
                <w:lang w:eastAsia="nl-BE"/>
                <w14:ligatures w14:val="none"/>
              </w:rPr>
              <w:instrText xml:space="preserve"> ADDIN ZOTERO_ITEM CSL_CITATION {"citationID":"g9CxjEbr","properties":{"formattedCitation":"[26]","plainCitation":"[26]","noteIndex":0},"citationItems":[{"id":395,"uris":["http://zotero.org/users/12047481/items/4EIYPRJW"],"itemData":{"id":395,"type":"article-journal","abstract":"The gut microbiota has a crucial role in host physiology and fitness. Host-microbiota relationships can be disrupted by environmental stressors, which further affect host growth and survival. However, the link between host performance and the gut microbiota composition shaped by increasing antibiotic pollution under different food conditions is not clearly understood. In the present study, we used Daphnia magna as a model organism to investigate the interactive effects of diets (Chlorella with or without Microcystis) and antibiotics on its life history traits, gut microbiota alterations, and their relationship. The results showed that poor diet consumption by D. magna at low and high antibiotic concentrations reduced reproduction and survival. Under good diet conditions, the fitness was reduced only at a high antibiotic concentration. Under good diet conditions, high concentration of antibiotics reduced the abundance of Comamonadaceae and increased the abundance of Pseudomonadaceae, whereas under poor diet conditions, both low and high concentrations of antibiotics increased the abundance of Pseudomonadaceae. Performances of life history traits were positively correlated with an increased abundance of Comamonadaceae but were negatively correlated with increased Pseudomonadaceae abundance. The results of this study revealed the interactive effects of diet and antibiotics on D. magna fitness and correlations between bacterial abundance and life history traits, which has important implications for understanding the effects of pollutants on host-microbiota interactions through changes in phenotypes.","container-title":"Science of The Total Environment","DOI":"10.1016/j.scitotenv.2019.135827","ISSN":"0048-9697","journalAbbreviation":"Science of The Total Environment","page":"135827","source":"ScienceDirect","title":"Changes in the life history traits of &lt;i&gt;Daphnia magna&lt;/i&gt; are associated with the gut microbiota composition shaped by diet and antibiotics","volume":"705","author":[{"family":"Akbar","given":"Siddiq"},{"family":"Gu","given":"Lei"},{"family":"Sun","given":"Yunfei"},{"family":"Zhou","given":"Qiming"},{"family":"Zhang","given":"Lu"},{"family":"Lyu","given":"Kai"},{"family":"Huang","given":"Yuan"},{"family":"Yang","given":"Zhou"}],"issued":{"date-parts":[["2020",2,25]]}}}],"schema":"https://github.com/citation-style-language/schema/raw/master/csl-citation.json"} </w:instrText>
            </w:r>
            <w:r>
              <w:rPr>
                <w:rFonts w:ascii="Times New Roman" w:eastAsia="Times New Roman" w:hAnsi="Times New Roman" w:cs="Times New Roman"/>
                <w:color w:val="000000"/>
                <w:sz w:val="18"/>
                <w:szCs w:val="18"/>
                <w:lang w:eastAsia="nl-BE"/>
                <w14:ligatures w14:val="none"/>
              </w:rPr>
              <w:fldChar w:fldCharType="separate"/>
            </w:r>
            <w:r w:rsidRPr="00B40F84">
              <w:rPr>
                <w:rFonts w:ascii="Times New Roman" w:hAnsi="Times New Roman" w:cs="Times New Roman"/>
                <w:sz w:val="18"/>
              </w:rPr>
              <w:t>[26]</w:t>
            </w:r>
            <w:r>
              <w:rPr>
                <w:rFonts w:ascii="Times New Roman" w:eastAsia="Times New Roman" w:hAnsi="Times New Roman" w:cs="Times New Roman"/>
                <w:color w:val="000000"/>
                <w:sz w:val="18"/>
                <w:szCs w:val="18"/>
                <w:lang w:eastAsia="nl-BE"/>
                <w14:ligatures w14:val="none"/>
              </w:rPr>
              <w:fldChar w:fldCharType="end"/>
            </w:r>
          </w:p>
        </w:tc>
        <w:tc>
          <w:tcPr>
            <w:tcW w:w="1116" w:type="dxa"/>
          </w:tcPr>
          <w:p w14:paraId="0363D6C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D059B1" w14:paraId="21A876EA" w14:textId="77777777" w:rsidTr="00F50D9D">
        <w:tc>
          <w:tcPr>
            <w:tcW w:w="388" w:type="dxa"/>
          </w:tcPr>
          <w:p w14:paraId="6608C46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26.</w:t>
            </w:r>
          </w:p>
        </w:tc>
        <w:tc>
          <w:tcPr>
            <w:tcW w:w="996" w:type="dxa"/>
          </w:tcPr>
          <w:p w14:paraId="79640DDE"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3808E418" w14:textId="77777777" w:rsidR="00F50D9D"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NIES</w:t>
            </w:r>
          </w:p>
          <w:p w14:paraId="0A9361EE" w14:textId="77777777" w:rsidR="00B95E0D" w:rsidRDefault="00B95E0D" w:rsidP="006C4573">
            <w:pPr>
              <w:jc w:val="both"/>
              <w:rPr>
                <w:rFonts w:ascii="Times New Roman" w:eastAsia="Times New Roman" w:hAnsi="Times New Roman" w:cs="Times New Roman"/>
                <w:color w:val="000000"/>
                <w:sz w:val="18"/>
                <w:szCs w:val="18"/>
                <w:lang w:val="es-ES" w:eastAsia="nl-BE"/>
                <w14:ligatures w14:val="none"/>
              </w:rPr>
            </w:pPr>
          </w:p>
          <w:p w14:paraId="0E74E50E" w14:textId="7E7D73CF" w:rsidR="00B95E0D" w:rsidRPr="00501ECB" w:rsidRDefault="00B95E0D" w:rsidP="006C4573">
            <w:pPr>
              <w:jc w:val="both"/>
              <w:rPr>
                <w:rFonts w:ascii="Times New Roman" w:eastAsia="Times New Roman" w:hAnsi="Times New Roman" w:cs="Times New Roman"/>
                <w:color w:val="000000"/>
                <w:sz w:val="18"/>
                <w:szCs w:val="18"/>
                <w:lang w:val="es-ES" w:eastAsia="nl-BE"/>
                <w14:ligatures w14:val="none"/>
              </w:rPr>
            </w:pPr>
            <w:r>
              <w:rPr>
                <w:rFonts w:ascii="Times New Roman" w:eastAsia="Times New Roman" w:hAnsi="Times New Roman" w:cs="Times New Roman"/>
                <w:color w:val="000000"/>
                <w:sz w:val="18"/>
                <w:szCs w:val="18"/>
                <w:lang w:val="es-ES" w:eastAsia="nl-BE"/>
                <w14:ligatures w14:val="none"/>
              </w:rPr>
              <w:t xml:space="preserve">5 </w:t>
            </w:r>
            <w:proofErr w:type="spellStart"/>
            <w:r>
              <w:rPr>
                <w:rFonts w:ascii="Times New Roman" w:eastAsia="Times New Roman" w:hAnsi="Times New Roman" w:cs="Times New Roman"/>
                <w:color w:val="000000"/>
                <w:sz w:val="18"/>
                <w:szCs w:val="18"/>
                <w:lang w:val="es-ES" w:eastAsia="nl-BE"/>
                <w14:ligatures w14:val="none"/>
              </w:rPr>
              <w:t>individuals</w:t>
            </w:r>
            <w:proofErr w:type="spellEnd"/>
            <w:r>
              <w:rPr>
                <w:rFonts w:ascii="Times New Roman" w:eastAsia="Times New Roman" w:hAnsi="Times New Roman" w:cs="Times New Roman"/>
                <w:color w:val="000000"/>
                <w:sz w:val="18"/>
                <w:szCs w:val="18"/>
                <w:lang w:val="es-ES" w:eastAsia="nl-BE"/>
                <w14:ligatures w14:val="none"/>
              </w:rPr>
              <w:t xml:space="preserve"> per </w:t>
            </w:r>
            <w:proofErr w:type="spellStart"/>
            <w:r>
              <w:rPr>
                <w:rFonts w:ascii="Times New Roman" w:eastAsia="Times New Roman" w:hAnsi="Times New Roman" w:cs="Times New Roman"/>
                <w:color w:val="000000"/>
                <w:sz w:val="18"/>
                <w:szCs w:val="18"/>
                <w:lang w:val="es-ES" w:eastAsia="nl-BE"/>
                <w14:ligatures w14:val="none"/>
              </w:rPr>
              <w:t>treatment</w:t>
            </w:r>
            <w:proofErr w:type="spellEnd"/>
          </w:p>
        </w:tc>
        <w:tc>
          <w:tcPr>
            <w:tcW w:w="1093" w:type="dxa"/>
          </w:tcPr>
          <w:p w14:paraId="3583F0AD"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eastAsia="nl-BE"/>
                <w14:ligatures w14:val="none"/>
              </w:rPr>
              <w:t xml:space="preserve">Exposure </w:t>
            </w:r>
            <w:proofErr w:type="spellStart"/>
            <w:r w:rsidRPr="00501ECB">
              <w:rPr>
                <w:rFonts w:ascii="Times New Roman" w:eastAsia="Times New Roman" w:hAnsi="Times New Roman" w:cs="Times New Roman"/>
                <w:color w:val="000000"/>
                <w:sz w:val="18"/>
                <w:szCs w:val="18"/>
                <w:lang w:eastAsia="nl-BE"/>
                <w14:ligatures w14:val="none"/>
              </w:rPr>
              <w:t>to</w:t>
            </w:r>
            <w:proofErr w:type="spellEnd"/>
            <w:r w:rsidRPr="00501ECB">
              <w:rPr>
                <w:rFonts w:ascii="Times New Roman" w:eastAsia="Times New Roman" w:hAnsi="Times New Roman" w:cs="Times New Roman"/>
                <w:color w:val="000000"/>
                <w:sz w:val="18"/>
                <w:szCs w:val="18"/>
                <w:lang w:eastAsia="nl-BE"/>
                <w14:ligatures w14:val="none"/>
              </w:rPr>
              <w:t xml:space="preserve"> dragonfruit </w:t>
            </w:r>
            <w:proofErr w:type="spellStart"/>
            <w:r w:rsidRPr="00501ECB">
              <w:rPr>
                <w:rFonts w:ascii="Times New Roman" w:eastAsia="Times New Roman" w:hAnsi="Times New Roman" w:cs="Times New Roman"/>
                <w:color w:val="000000"/>
                <w:sz w:val="18"/>
                <w:szCs w:val="18"/>
                <w:lang w:eastAsia="nl-BE"/>
                <w14:ligatures w14:val="none"/>
              </w:rPr>
              <w:t>oligosaccharides</w:t>
            </w:r>
            <w:proofErr w:type="spellEnd"/>
          </w:p>
        </w:tc>
        <w:tc>
          <w:tcPr>
            <w:tcW w:w="738" w:type="dxa"/>
          </w:tcPr>
          <w:p w14:paraId="21B4E53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13" w:type="dxa"/>
          </w:tcPr>
          <w:p w14:paraId="0643CC8A" w14:textId="60BD3266"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Tsukuba</w:t>
            </w:r>
            <w:proofErr w:type="spellEnd"/>
            <w:r w:rsidRPr="00501ECB">
              <w:rPr>
                <w:rFonts w:ascii="Times New Roman" w:eastAsia="Times New Roman" w:hAnsi="Times New Roman" w:cs="Times New Roman"/>
                <w:color w:val="000000"/>
                <w:sz w:val="18"/>
                <w:szCs w:val="18"/>
                <w:lang w:val="en-US" w:eastAsia="nl-BE"/>
                <w14:ligatures w14:val="none"/>
              </w:rPr>
              <w:t xml:space="preserve"> Japan</w:t>
            </w:r>
          </w:p>
        </w:tc>
        <w:tc>
          <w:tcPr>
            <w:tcW w:w="1117" w:type="dxa"/>
          </w:tcPr>
          <w:p w14:paraId="720A8DC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34" w:type="dxa"/>
          </w:tcPr>
          <w:p w14:paraId="19EE7F6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6D9AB0E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00" w:type="dxa"/>
          </w:tcPr>
          <w:p w14:paraId="6280FB2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959" w:type="dxa"/>
          </w:tcPr>
          <w:p w14:paraId="09312AB2"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78F9318D"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eastAsia="nl-BE"/>
                <w14:ligatures w14:val="none"/>
              </w:rPr>
            </w:pPr>
          </w:p>
        </w:tc>
        <w:tc>
          <w:tcPr>
            <w:tcW w:w="1275" w:type="dxa"/>
          </w:tcPr>
          <w:p w14:paraId="3E3FA25D" w14:textId="24F2281A"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PRJNA597416</w:t>
            </w:r>
          </w:p>
        </w:tc>
        <w:tc>
          <w:tcPr>
            <w:tcW w:w="1134" w:type="dxa"/>
          </w:tcPr>
          <w:p w14:paraId="2A44B05D" w14:textId="199FD3F5" w:rsidR="00F50D9D" w:rsidRPr="00501ECB" w:rsidRDefault="00F50D9D" w:rsidP="00F50612">
            <w:pPr>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Sangkuanun</w:t>
            </w:r>
            <w:proofErr w:type="spellEnd"/>
            <w:r w:rsidRPr="00501ECB">
              <w:rPr>
                <w:rFonts w:ascii="Times New Roman" w:eastAsia="Times New Roman" w:hAnsi="Times New Roman" w:cs="Times New Roman"/>
                <w:color w:val="000000"/>
                <w:sz w:val="18"/>
                <w:szCs w:val="18"/>
                <w:lang w:eastAsia="nl-BE"/>
                <w14:ligatures w14:val="none"/>
              </w:rPr>
              <w:t xml:space="preserve"> </w:t>
            </w:r>
            <w:r w:rsidRPr="00F50612">
              <w:rPr>
                <w:rFonts w:ascii="Times New Roman" w:eastAsia="Times New Roman" w:hAnsi="Times New Roman" w:cs="Times New Roman"/>
                <w:i/>
                <w:iCs/>
                <w:color w:val="000000"/>
                <w:sz w:val="18"/>
                <w:szCs w:val="18"/>
                <w:lang w:eastAsia="nl-BE"/>
                <w14:ligatures w14:val="none"/>
              </w:rPr>
              <w:t>et al.</w:t>
            </w:r>
            <w:r w:rsidRPr="00501ECB">
              <w:rPr>
                <w:rFonts w:ascii="Times New Roman" w:eastAsia="Times New Roman" w:hAnsi="Times New Roman" w:cs="Times New Roman"/>
                <w:color w:val="000000"/>
                <w:sz w:val="18"/>
                <w:szCs w:val="18"/>
                <w:lang w:eastAsia="nl-BE"/>
                <w14:ligatures w14:val="none"/>
              </w:rPr>
              <w:t>, 2020</w:t>
            </w:r>
            <w:r>
              <w:rPr>
                <w:rFonts w:ascii="Times New Roman" w:eastAsia="Times New Roman" w:hAnsi="Times New Roman" w:cs="Times New Roman"/>
                <w:color w:val="000000"/>
                <w:sz w:val="18"/>
                <w:szCs w:val="18"/>
                <w:lang w:eastAsia="nl-BE"/>
                <w14:ligatures w14:val="none"/>
              </w:rPr>
              <w:t xml:space="preserve"> </w:t>
            </w:r>
            <w:r>
              <w:rPr>
                <w:rFonts w:ascii="Times New Roman" w:eastAsia="Times New Roman" w:hAnsi="Times New Roman" w:cs="Times New Roman"/>
                <w:color w:val="000000"/>
                <w:sz w:val="18"/>
                <w:szCs w:val="18"/>
                <w:lang w:eastAsia="nl-BE"/>
                <w14:ligatures w14:val="none"/>
              </w:rPr>
              <w:fldChar w:fldCharType="begin"/>
            </w:r>
            <w:r>
              <w:rPr>
                <w:rFonts w:ascii="Times New Roman" w:eastAsia="Times New Roman" w:hAnsi="Times New Roman" w:cs="Times New Roman"/>
                <w:color w:val="000000"/>
                <w:sz w:val="18"/>
                <w:szCs w:val="18"/>
                <w:lang w:eastAsia="nl-BE"/>
                <w14:ligatures w14:val="none"/>
              </w:rPr>
              <w:instrText xml:space="preserve"> ADDIN ZOTERO_ITEM CSL_CITATION {"citationID":"d9mYEHWr","properties":{"formattedCitation":"[27]","plainCitation":"[27]","noteIndex":0},"citationItems":[{"id":697,"uris":["http://zotero.org/users/12047481/items/AHXY9DK5"],"itemData":{"id":697,"type":"article-journal","abstract":"Dragon fruit oligosaccharide (DFO) is an indigestible prebiotic. In this study, we aimed to investigate the effects of DFO on gut microbiota, oxidative stress and immune-related gene expression in Daphnia magna. The 10-day-old D. magna were treated with 0, 9, and 27 mg l-1 DFO for 85 h. The gut bacterial communities, superoxide dismutase (SOD) activity, lipid peroxidation and the expressions of genes in Toll signaling pathway were observed. The results showed that D. magna treated with 9 and 27 mg l-1 DFO altered gut microbiota composition by increasing Limnohabitans and Lactobacillus, and significantly increased SOD activity and reduced lipid peroxidation. Moreover, the expressions of Toll2, Toll3, Toll5, Toll7 and Pelle genes were significantly increased in D. magna treated with 9 and 27 mg l-1 DFO. Our results suggested that DFO changed the composition of the gut microbiota of D. magna by increasing the beneficial bacteria. DFO also had the ability to stimulate innate immunity in D. magna by increasing SOD activity, reducing lipid peroxidation, and increasing the expression of immune-related genes.","container-title":"Fish &amp; Shellfish Immunology","DOI":"10.1016/j.fsi.2020.04.046","ISSN":"1095-9947","journalAbbreviation":"Fish Shellfish Immunol","language":"eng","note":"PMID: 32335314","page":"126-134","source":"PubMed","title":"Oligosaccharides derived from dragon fruit modulate gut microbiota, reduce oxidative stress and stimulate toll-pathway related gene expression in freshwater crustacean Daphnia magna","volume":"103","author":[{"family":"Sangkuanun","given":"Thanwarat"},{"family":"Wichienchot","given":"Santad"},{"family":"Kato","given":"Yasuhiko"},{"family":"Watanabe","given":"Hajime"},{"family":"Peerakietkhajorn","given":"Saranya"}],"issued":{"date-parts":[["2020",8]]}}}],"schema":"https://github.com/citation-style-language/schema/raw/master/csl-citation.json"} </w:instrText>
            </w:r>
            <w:r>
              <w:rPr>
                <w:rFonts w:ascii="Times New Roman" w:eastAsia="Times New Roman" w:hAnsi="Times New Roman" w:cs="Times New Roman"/>
                <w:color w:val="000000"/>
                <w:sz w:val="18"/>
                <w:szCs w:val="18"/>
                <w:lang w:eastAsia="nl-BE"/>
                <w14:ligatures w14:val="none"/>
              </w:rPr>
              <w:fldChar w:fldCharType="separate"/>
            </w:r>
            <w:r w:rsidRPr="00B40F84">
              <w:rPr>
                <w:rFonts w:ascii="Times New Roman" w:hAnsi="Times New Roman" w:cs="Times New Roman"/>
                <w:sz w:val="18"/>
              </w:rPr>
              <w:t>[27]</w:t>
            </w:r>
            <w:r>
              <w:rPr>
                <w:rFonts w:ascii="Times New Roman" w:eastAsia="Times New Roman" w:hAnsi="Times New Roman" w:cs="Times New Roman"/>
                <w:color w:val="000000"/>
                <w:sz w:val="18"/>
                <w:szCs w:val="18"/>
                <w:lang w:eastAsia="nl-BE"/>
                <w14:ligatures w14:val="none"/>
              </w:rPr>
              <w:fldChar w:fldCharType="end"/>
            </w:r>
          </w:p>
        </w:tc>
        <w:tc>
          <w:tcPr>
            <w:tcW w:w="1116" w:type="dxa"/>
          </w:tcPr>
          <w:p w14:paraId="282EACD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 xml:space="preserve">No response from </w:t>
            </w:r>
            <w:proofErr w:type="spellStart"/>
            <w:r w:rsidRPr="00501ECB">
              <w:rPr>
                <w:rFonts w:ascii="Times New Roman" w:eastAsia="Times New Roman" w:hAnsi="Times New Roman" w:cs="Times New Roman"/>
                <w:color w:val="C00000"/>
                <w:sz w:val="18"/>
                <w:szCs w:val="18"/>
                <w:lang w:val="en-US" w:eastAsia="nl-BE"/>
                <w14:ligatures w14:val="none"/>
              </w:rPr>
              <w:t>author,Not</w:t>
            </w:r>
            <w:proofErr w:type="spellEnd"/>
            <w:r w:rsidRPr="00501ECB">
              <w:rPr>
                <w:rFonts w:ascii="Times New Roman" w:eastAsia="Times New Roman" w:hAnsi="Times New Roman" w:cs="Times New Roman"/>
                <w:color w:val="C00000"/>
                <w:sz w:val="18"/>
                <w:szCs w:val="18"/>
                <w:lang w:val="en-US" w:eastAsia="nl-BE"/>
                <w14:ligatures w14:val="none"/>
              </w:rPr>
              <w:t xml:space="preserve"> selected</w:t>
            </w:r>
          </w:p>
        </w:tc>
      </w:tr>
      <w:tr w:rsidR="00F50D9D" w:rsidRPr="00501ECB" w14:paraId="0146D207" w14:textId="77777777" w:rsidTr="00F50D9D">
        <w:tc>
          <w:tcPr>
            <w:tcW w:w="388" w:type="dxa"/>
          </w:tcPr>
          <w:p w14:paraId="56E6B03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27.</w:t>
            </w:r>
          </w:p>
        </w:tc>
        <w:tc>
          <w:tcPr>
            <w:tcW w:w="996" w:type="dxa"/>
          </w:tcPr>
          <w:p w14:paraId="6B02490D"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201D574"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Laboratory reared clones</w:t>
            </w:r>
          </w:p>
          <w:p w14:paraId="2EF3C911" w14:textId="77777777" w:rsidR="00B95E0D" w:rsidRPr="00C06356" w:rsidRDefault="00B95E0D" w:rsidP="006C4573">
            <w:pPr>
              <w:jc w:val="both"/>
              <w:rPr>
                <w:rFonts w:ascii="Times New Roman" w:eastAsia="Times New Roman" w:hAnsi="Times New Roman" w:cs="Times New Roman"/>
                <w:color w:val="000000"/>
                <w:sz w:val="18"/>
                <w:szCs w:val="18"/>
                <w:lang w:val="en-US" w:eastAsia="nl-BE"/>
                <w14:ligatures w14:val="none"/>
              </w:rPr>
            </w:pPr>
          </w:p>
          <w:p w14:paraId="51B95E39" w14:textId="05DCBDF1" w:rsidR="00B95E0D" w:rsidRPr="00B95E0D" w:rsidRDefault="00B95E0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20-25</w:t>
            </w:r>
            <w:r w:rsidRPr="00B95E0D">
              <w:rPr>
                <w:rFonts w:ascii="Times New Roman" w:eastAsia="Times New Roman" w:hAnsi="Times New Roman" w:cs="Times New Roman"/>
                <w:color w:val="000000"/>
                <w:sz w:val="18"/>
                <w:szCs w:val="18"/>
                <w:lang w:val="en-US" w:eastAsia="nl-BE"/>
                <w14:ligatures w14:val="none"/>
              </w:rPr>
              <w:t xml:space="preserve"> guts were isolated for each sample</w:t>
            </w:r>
          </w:p>
        </w:tc>
        <w:tc>
          <w:tcPr>
            <w:tcW w:w="1093" w:type="dxa"/>
          </w:tcPr>
          <w:p w14:paraId="4F609D2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Effect of predator kairomone exposure</w:t>
            </w:r>
          </w:p>
        </w:tc>
        <w:tc>
          <w:tcPr>
            <w:tcW w:w="738" w:type="dxa"/>
          </w:tcPr>
          <w:p w14:paraId="4878CE7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429F029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China</w:t>
            </w:r>
          </w:p>
        </w:tc>
        <w:tc>
          <w:tcPr>
            <w:tcW w:w="1117" w:type="dxa"/>
          </w:tcPr>
          <w:p w14:paraId="6934628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19B3D96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27F-1492R</w:t>
            </w:r>
          </w:p>
        </w:tc>
        <w:tc>
          <w:tcPr>
            <w:tcW w:w="850" w:type="dxa"/>
          </w:tcPr>
          <w:p w14:paraId="23A8763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16S rRNA</w:t>
            </w:r>
          </w:p>
        </w:tc>
        <w:tc>
          <w:tcPr>
            <w:tcW w:w="1200" w:type="dxa"/>
          </w:tcPr>
          <w:p w14:paraId="10CC43D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HiPure</w:t>
            </w:r>
            <w:proofErr w:type="spellEnd"/>
            <w:r w:rsidRPr="00501ECB">
              <w:rPr>
                <w:rFonts w:ascii="Times New Roman" w:eastAsia="Times New Roman" w:hAnsi="Times New Roman" w:cs="Times New Roman"/>
                <w:color w:val="000000"/>
                <w:sz w:val="18"/>
                <w:szCs w:val="18"/>
                <w:lang w:eastAsia="nl-BE"/>
                <w14:ligatures w14:val="none"/>
              </w:rPr>
              <w:t xml:space="preserve"> </w:t>
            </w:r>
            <w:proofErr w:type="spellStart"/>
            <w:r w:rsidRPr="00501ECB">
              <w:rPr>
                <w:rFonts w:ascii="Times New Roman" w:eastAsia="Times New Roman" w:hAnsi="Times New Roman" w:cs="Times New Roman"/>
                <w:color w:val="000000"/>
                <w:sz w:val="18"/>
                <w:szCs w:val="18"/>
                <w:lang w:eastAsia="nl-BE"/>
                <w14:ligatures w14:val="none"/>
              </w:rPr>
              <w:t>Soil</w:t>
            </w:r>
            <w:proofErr w:type="spellEnd"/>
            <w:r w:rsidRPr="00501ECB">
              <w:rPr>
                <w:rFonts w:ascii="Times New Roman" w:eastAsia="Times New Roman" w:hAnsi="Times New Roman" w:cs="Times New Roman"/>
                <w:color w:val="000000"/>
                <w:sz w:val="18"/>
                <w:szCs w:val="18"/>
                <w:lang w:eastAsia="nl-BE"/>
                <w14:ligatures w14:val="none"/>
              </w:rPr>
              <w:t xml:space="preserve"> DNA Kits (Magen, Guangzhou, China)</w:t>
            </w:r>
          </w:p>
        </w:tc>
        <w:tc>
          <w:tcPr>
            <w:tcW w:w="959" w:type="dxa"/>
          </w:tcPr>
          <w:p w14:paraId="0752A456"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PacBio</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w:t>
            </w: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Sequel</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platform</w:t>
            </w:r>
          </w:p>
        </w:tc>
        <w:tc>
          <w:tcPr>
            <w:tcW w:w="1404" w:type="dxa"/>
          </w:tcPr>
          <w:p w14:paraId="0BE175E7" w14:textId="482BC25B"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275" w:type="dxa"/>
          </w:tcPr>
          <w:p w14:paraId="087730F1" w14:textId="0AEEF2B3"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Pre-print</w:t>
            </w:r>
          </w:p>
        </w:tc>
        <w:tc>
          <w:tcPr>
            <w:tcW w:w="1134" w:type="dxa"/>
          </w:tcPr>
          <w:p w14:paraId="5F9D3BC8" w14:textId="5D939C06"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Liu </w:t>
            </w:r>
            <w:r w:rsidRPr="00F50612">
              <w:rPr>
                <w:rFonts w:ascii="Times New Roman" w:eastAsia="Times New Roman" w:hAnsi="Times New Roman" w:cs="Times New Roman"/>
                <w:i/>
                <w:iCs/>
                <w:color w:val="000000"/>
                <w:sz w:val="18"/>
                <w:szCs w:val="18"/>
                <w:lang w:val="en-US" w:eastAsia="nl-BE"/>
                <w14:ligatures w14:val="none"/>
              </w:rPr>
              <w:t>et al</w:t>
            </w:r>
            <w:r>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 xml:space="preserve"> 2021</w:t>
            </w:r>
            <w:r>
              <w:rPr>
                <w:rFonts w:ascii="Times New Roman" w:eastAsia="Times New Roman" w:hAnsi="Times New Roman" w:cs="Times New Roman"/>
                <w:color w:val="000000"/>
                <w:sz w:val="18"/>
                <w:szCs w:val="18"/>
                <w:lang w:val="en-US" w:eastAsia="nl-BE"/>
                <w14:ligatures w14:val="none"/>
              </w:rPr>
              <w:t xml:space="preserve">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en-US" w:eastAsia="nl-BE"/>
                <w14:ligatures w14:val="none"/>
              </w:rPr>
              <w:instrText xml:space="preserve"> ADDIN ZOTERO_ITEM CSL_CITATION {"citationID":"ZJtK9W7A","properties":{"formattedCitation":"[28]","plainCitation":"[28]","noteIndex":0},"citationItems":[{"id":699,"uris":["http://zotero.org/users/12047481/items/YDSFA3WI"],"itemData":{"id":699,"type":"article","abstract":"Background: Gut microbiota plays an important role in host physiology and fitness. The gut microbiota can promote host health by influencing life history traits, especially in arthropods. However, it is not clear whether the performance of host defense traits in response to predator pressure in natural food webs is related to their gut microbiota composition. In this study, we used Daphnia magna as a model organism to investigate the relationship of D. magna life history traits and gut microbiota alterations under predator kairomone based on 16S rRNA amplicon sequencing.Result: We showed that the microbiota composition of D. magna was significantly affected by their predator risk and development stage. The relative abundance of Comamonadaceae (mainly Limnohabitans sp.) significantly decreased in the presence of predator kairomone. Furthermore, the presence of predator kairomone significantly reduced the α diversity of gut microbiota in D. magna with the increase of instar. Among them, the OTUs belonged to Epsilonbacteraeota and Firmicutes in the presence of predator kairomone were significantly higher than those in the control group. The results of functional predictions showed that predation pressure promote the metabolic function of gut microbiota, such as metabolism of energy, cofactors, and vitamins. By analyzing the correlation between the induced defense traits of D. magna and the relative abundance of bacteria, we found that the increased abundance of Comamonadaceae, Moraxellaceae, and Flavobacteriaceae were linearly correlated with the partial defense traits of D. magna. Specifically speaking, body size was positively correlated with an increased abundance of Comamonadaceae, whereas spine length was negatively correlated with an increased abundance of Comamonadaceae but was positively correlated with increased Flavobacteriaceae abundance. Conclusions: Our results suggested that predation risk can affect the composition of the gut microbiota in D. magna, which may indirectly induce the production of defensive traits in D. magna. The results of this study revealed an important role of gut microbiota in the development of defensive traits of Daphnia in response to fish predators. The correlation between microbial abundance and defense traits is of great significance for further understanding the effect of host-microbiota interaction on individual anti-predation defense.","DOI":"10.21203/rs.3.rs-757585/v1","note":"ISSN: 2693-5015","publisher":"Research Square","source":"Research Square","title":"Anti-predation Defense Traits of Daphnia are Associated With the Gut Microbiota Composition Shaped by Fish Kairomone","URL":"https://www.researchsquare.com/article/rs-757585/v1","author":[{"family":"Liu","given":"Qi"},{"family":"Akbar","given":"Siddiq"},{"family":"Ding","given":"Zihao"},{"family":"Zhou","given":"Qiming"},{"family":"Gu","given":"Lei"},{"family":"Sun","given":"Yunfei"},{"family":"Yang","given":"Zhou"}],"accessed":{"date-parts":[["2025",1,22]]},"issued":{"date-parts":[["2021",8,3]]}}}],"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[28]</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2E0B444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5A12AA48" w14:textId="77777777" w:rsidTr="00F50D9D">
        <w:tc>
          <w:tcPr>
            <w:tcW w:w="388" w:type="dxa"/>
          </w:tcPr>
          <w:p w14:paraId="14F40A8C"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28.</w:t>
            </w:r>
          </w:p>
        </w:tc>
        <w:tc>
          <w:tcPr>
            <w:tcW w:w="996" w:type="dxa"/>
          </w:tcPr>
          <w:p w14:paraId="71455295"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0B7E0C8A" w14:textId="099E33ED" w:rsidR="00F50D9D" w:rsidRPr="00B95E0D" w:rsidRDefault="00B95E0D" w:rsidP="006C4573">
            <w:pPr>
              <w:jc w:val="both"/>
              <w:rPr>
                <w:rFonts w:ascii="Times New Roman" w:eastAsia="Times New Roman" w:hAnsi="Times New Roman" w:cs="Times New Roman"/>
                <w:color w:val="000000"/>
                <w:sz w:val="18"/>
                <w:szCs w:val="18"/>
                <w:lang w:val="en-US" w:eastAsia="nl-BE"/>
                <w14:ligatures w14:val="none"/>
              </w:rPr>
            </w:pPr>
            <w:r w:rsidRPr="00B95E0D">
              <w:rPr>
                <w:rFonts w:ascii="Times New Roman" w:eastAsia="Times New Roman" w:hAnsi="Times New Roman" w:cs="Times New Roman"/>
                <w:color w:val="000000"/>
                <w:sz w:val="18"/>
                <w:szCs w:val="18"/>
                <w:lang w:val="en-US" w:eastAsia="nl-BE"/>
                <w14:ligatures w14:val="none"/>
              </w:rPr>
              <w:t>260 guts of</w:t>
            </w:r>
            <w:r>
              <w:rPr>
                <w:rFonts w:ascii="Times New Roman" w:eastAsia="Times New Roman" w:hAnsi="Times New Roman" w:cs="Times New Roman"/>
                <w:color w:val="000000"/>
                <w:sz w:val="18"/>
                <w:szCs w:val="18"/>
                <w:lang w:val="en-US" w:eastAsia="nl-BE"/>
                <w14:ligatures w14:val="none"/>
              </w:rPr>
              <w:t xml:space="preserve"> </w:t>
            </w:r>
            <w:r w:rsidRPr="00B95E0D">
              <w:rPr>
                <w:rFonts w:ascii="Times New Roman" w:eastAsia="Times New Roman" w:hAnsi="Times New Roman" w:cs="Times New Roman"/>
                <w:i/>
                <w:iCs/>
                <w:color w:val="000000"/>
                <w:sz w:val="18"/>
                <w:szCs w:val="18"/>
                <w:lang w:val="en-US" w:eastAsia="nl-BE"/>
                <w14:ligatures w14:val="none"/>
              </w:rPr>
              <w:t>D. magna</w:t>
            </w:r>
            <w:r>
              <w:rPr>
                <w:rFonts w:ascii="Times New Roman" w:eastAsia="Times New Roman" w:hAnsi="Times New Roman" w:cs="Times New Roman"/>
                <w:color w:val="000000"/>
                <w:sz w:val="18"/>
                <w:szCs w:val="18"/>
                <w:lang w:val="en-US" w:eastAsia="nl-BE"/>
                <w14:ligatures w14:val="none"/>
              </w:rPr>
              <w:t xml:space="preserve"> </w:t>
            </w:r>
            <w:r w:rsidRPr="00B95E0D">
              <w:rPr>
                <w:rFonts w:ascii="Times New Roman" w:eastAsia="Times New Roman" w:hAnsi="Times New Roman" w:cs="Times New Roman"/>
                <w:color w:val="000000"/>
                <w:sz w:val="18"/>
                <w:szCs w:val="18"/>
                <w:lang w:val="en-US" w:eastAsia="nl-BE"/>
                <w14:ligatures w14:val="none"/>
              </w:rPr>
              <w:t>from each experimental group were extracted</w:t>
            </w:r>
          </w:p>
        </w:tc>
        <w:tc>
          <w:tcPr>
            <w:tcW w:w="1093" w:type="dxa"/>
          </w:tcPr>
          <w:p w14:paraId="7DB3C34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Exposure to nutrient imbalanced algal diet</w:t>
            </w:r>
          </w:p>
        </w:tc>
        <w:tc>
          <w:tcPr>
            <w:tcW w:w="738" w:type="dxa"/>
          </w:tcPr>
          <w:p w14:paraId="7458518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49135EE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Hong Kong</w:t>
            </w:r>
          </w:p>
        </w:tc>
        <w:tc>
          <w:tcPr>
            <w:tcW w:w="1117" w:type="dxa"/>
          </w:tcPr>
          <w:p w14:paraId="072B82D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2B46D57C"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333333"/>
                <w:sz w:val="18"/>
                <w:szCs w:val="18"/>
                <w:lang w:eastAsia="nl-BE"/>
                <w14:ligatures w14:val="none"/>
              </w:rPr>
              <w:t>341F, 787R</w:t>
            </w:r>
          </w:p>
          <w:p w14:paraId="5778C10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4E92E2BE"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333333"/>
                <w:sz w:val="18"/>
                <w:szCs w:val="18"/>
                <w:lang w:eastAsia="nl-BE"/>
                <w14:ligatures w14:val="none"/>
              </w:rPr>
              <w:t>V3-V4</w:t>
            </w:r>
          </w:p>
          <w:p w14:paraId="741176C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00" w:type="dxa"/>
          </w:tcPr>
          <w:p w14:paraId="5D059AE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333333"/>
                <w:sz w:val="18"/>
                <w:szCs w:val="18"/>
                <w:shd w:val="clear" w:color="auto" w:fill="FFFFFF"/>
                <w:lang w:val="en-US" w:eastAsia="nl-BE"/>
                <w14:ligatures w14:val="none"/>
              </w:rPr>
              <w:t>PureLink</w:t>
            </w:r>
            <w:proofErr w:type="spellEnd"/>
            <w:r w:rsidRPr="00501ECB">
              <w:rPr>
                <w:rFonts w:ascii="Times New Roman" w:eastAsia="Times New Roman" w:hAnsi="Times New Roman" w:cs="Times New Roman"/>
                <w:color w:val="333333"/>
                <w:sz w:val="18"/>
                <w:szCs w:val="18"/>
                <w:shd w:val="clear" w:color="auto" w:fill="FFFFFF"/>
                <w:lang w:val="en-US" w:eastAsia="nl-BE"/>
                <w14:ligatures w14:val="none"/>
              </w:rPr>
              <w:t xml:space="preserve"> Genomic DNA kit (Invitrogen)</w:t>
            </w:r>
          </w:p>
        </w:tc>
        <w:tc>
          <w:tcPr>
            <w:tcW w:w="959" w:type="dxa"/>
          </w:tcPr>
          <w:p w14:paraId="3B13C91D" w14:textId="77777777" w:rsidR="00F50D9D" w:rsidRPr="00501ECB" w:rsidRDefault="00F50D9D" w:rsidP="006C4573">
            <w:pPr>
              <w:rPr>
                <w:rFonts w:ascii="Times New Roman" w:eastAsia="Times New Roman" w:hAnsi="Times New Roman" w:cs="Times New Roman"/>
                <w:sz w:val="18"/>
                <w:szCs w:val="18"/>
                <w:lang w:val="en-US" w:eastAsia="nl-BE"/>
                <w14:ligatures w14:val="none"/>
              </w:rPr>
            </w:pPr>
            <w:r w:rsidRPr="00501ECB">
              <w:rPr>
                <w:rFonts w:ascii="Times New Roman" w:eastAsia="Times New Roman" w:hAnsi="Times New Roman" w:cs="Times New Roman"/>
                <w:color w:val="333333"/>
                <w:sz w:val="18"/>
                <w:szCs w:val="18"/>
                <w:shd w:val="clear" w:color="auto" w:fill="FFFFFF"/>
                <w:lang w:val="en-US" w:eastAsia="nl-BE"/>
                <w14:ligatures w14:val="none"/>
              </w:rPr>
              <w:t xml:space="preserve">Illumina </w:t>
            </w:r>
            <w:proofErr w:type="spellStart"/>
            <w:r w:rsidRPr="00501ECB">
              <w:rPr>
                <w:rFonts w:ascii="Times New Roman" w:eastAsia="Times New Roman" w:hAnsi="Times New Roman" w:cs="Times New Roman"/>
                <w:color w:val="333333"/>
                <w:sz w:val="18"/>
                <w:szCs w:val="18"/>
                <w:shd w:val="clear" w:color="auto" w:fill="FFFFFF"/>
                <w:lang w:val="en-US" w:eastAsia="nl-BE"/>
                <w14:ligatures w14:val="none"/>
              </w:rPr>
              <w:t>Hiseq</w:t>
            </w:r>
            <w:proofErr w:type="spellEnd"/>
            <w:r w:rsidRPr="00501ECB">
              <w:rPr>
                <w:rFonts w:ascii="Times New Roman" w:eastAsia="Times New Roman" w:hAnsi="Times New Roman" w:cs="Times New Roman"/>
                <w:color w:val="333333"/>
                <w:sz w:val="18"/>
                <w:szCs w:val="18"/>
                <w:shd w:val="clear" w:color="auto" w:fill="FFFFFF"/>
                <w:lang w:val="en-US" w:eastAsia="nl-BE"/>
                <w14:ligatures w14:val="none"/>
              </w:rPr>
              <w:t xml:space="preserve"> 2500 System-2× 250 bp paired-end reads</w:t>
            </w:r>
          </w:p>
          <w:p w14:paraId="01171E6D"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
        </w:tc>
        <w:tc>
          <w:tcPr>
            <w:tcW w:w="1404" w:type="dxa"/>
          </w:tcPr>
          <w:p w14:paraId="12F1E74A" w14:textId="51CBF52C" w:rsidR="00F50D9D" w:rsidRPr="00D963EC" w:rsidRDefault="00D963EC" w:rsidP="00D059B1">
            <w:pPr>
              <w:spacing w:before="100" w:beforeAutospacing="1" w:afterAutospacing="1"/>
              <w:rPr>
                <w:rFonts w:ascii="Times New Roman" w:eastAsia="Times New Roman" w:hAnsi="Times New Roman" w:cs="Times New Roman"/>
                <w:color w:val="333333"/>
                <w:sz w:val="18"/>
                <w:szCs w:val="18"/>
                <w:lang w:val="en-US" w:eastAsia="nl-BE"/>
                <w14:ligatures w14:val="none"/>
              </w:rPr>
            </w:pPr>
            <w:r w:rsidRPr="00D963EC">
              <w:rPr>
                <w:rFonts w:ascii="Times New Roman" w:eastAsia="Times New Roman" w:hAnsi="Times New Roman" w:cs="Times New Roman"/>
                <w:color w:val="000000"/>
                <w:sz w:val="18"/>
                <w:szCs w:val="18"/>
                <w:lang w:val="en-US" w:eastAsia="nl-BE"/>
                <w14:ligatures w14:val="none"/>
              </w:rPr>
              <w:t>26,418 to 47,344 reads across all samples</w:t>
            </w:r>
          </w:p>
        </w:tc>
        <w:tc>
          <w:tcPr>
            <w:tcW w:w="1275" w:type="dxa"/>
          </w:tcPr>
          <w:p w14:paraId="6EF6FA9C" w14:textId="6374CD39"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333333"/>
                <w:sz w:val="18"/>
                <w:szCs w:val="18"/>
                <w:lang w:eastAsia="nl-BE"/>
                <w14:ligatures w14:val="none"/>
              </w:rPr>
              <w:t>PRJNA597965</w:t>
            </w:r>
          </w:p>
        </w:tc>
        <w:tc>
          <w:tcPr>
            <w:tcW w:w="1134" w:type="dxa"/>
          </w:tcPr>
          <w:p w14:paraId="13F929AA" w14:textId="5407A62C" w:rsidR="00F50D9D" w:rsidRPr="00501ECB" w:rsidRDefault="00F50D9D" w:rsidP="006C4573">
            <w:pPr>
              <w:jc w:val="both"/>
              <w:rPr>
                <w:rFonts w:ascii="Times New Roman" w:eastAsia="Times New Roman" w:hAnsi="Times New Roman" w:cs="Times New Roman"/>
                <w:color w:val="000000"/>
                <w:sz w:val="18"/>
                <w:szCs w:val="18"/>
                <w:lang w:val="fr-FR" w:eastAsia="nl-BE"/>
                <w14:ligatures w14:val="none"/>
              </w:rPr>
            </w:pPr>
            <w:r w:rsidRPr="00501ECB">
              <w:rPr>
                <w:rFonts w:ascii="Times New Roman" w:eastAsia="Times New Roman" w:hAnsi="Times New Roman" w:cs="Times New Roman"/>
                <w:color w:val="000000"/>
                <w:sz w:val="18"/>
                <w:szCs w:val="18"/>
                <w:lang w:val="fr-FR" w:eastAsia="nl-BE"/>
                <w14:ligatures w14:val="none"/>
              </w:rPr>
              <w:t>Y</w:t>
            </w:r>
            <w:r>
              <w:rPr>
                <w:rFonts w:ascii="Times New Roman" w:eastAsia="Times New Roman" w:hAnsi="Times New Roman" w:cs="Times New Roman"/>
                <w:color w:val="000000"/>
                <w:sz w:val="18"/>
                <w:szCs w:val="18"/>
                <w:lang w:val="fr-FR" w:eastAsia="nl-BE"/>
                <w14:ligatures w14:val="none"/>
              </w:rPr>
              <w:t>i</w:t>
            </w:r>
            <w:r w:rsidRPr="00501ECB">
              <w:rPr>
                <w:rFonts w:ascii="Times New Roman" w:eastAsia="Times New Roman" w:hAnsi="Times New Roman" w:cs="Times New Roman"/>
                <w:color w:val="000000"/>
                <w:sz w:val="18"/>
                <w:szCs w:val="18"/>
                <w:lang w:val="fr-FR" w:eastAsia="nl-BE"/>
                <w14:ligatures w14:val="none"/>
              </w:rPr>
              <w:t xml:space="preserve">ng Dong Li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501ECB">
              <w:rPr>
                <w:rFonts w:ascii="Times New Roman" w:eastAsia="Times New Roman" w:hAnsi="Times New Roman" w:cs="Times New Roman"/>
                <w:color w:val="000000"/>
                <w:sz w:val="18"/>
                <w:szCs w:val="18"/>
                <w:lang w:val="fr-FR" w:eastAsia="nl-BE"/>
                <w14:ligatures w14:val="none"/>
              </w:rPr>
              <w:t xml:space="preserve"> 2021</w:t>
            </w:r>
            <w:r>
              <w:rPr>
                <w:rFonts w:ascii="Times New Roman" w:eastAsia="Times New Roman" w:hAnsi="Times New Roman" w:cs="Times New Roman"/>
                <w:color w:val="000000"/>
                <w:sz w:val="18"/>
                <w:szCs w:val="18"/>
                <w:lang w:val="fr-FR" w:eastAsia="nl-BE"/>
                <w14:ligatures w14:val="none"/>
              </w:rPr>
              <w:t xml:space="preserve"> </w:t>
            </w:r>
            <w:r>
              <w:rPr>
                <w:rFonts w:ascii="Times New Roman" w:eastAsia="Times New Roman" w:hAnsi="Times New Roman" w:cs="Times New Roman"/>
                <w:color w:val="000000"/>
                <w:sz w:val="18"/>
                <w:szCs w:val="18"/>
                <w:lang w:val="fr-FR"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{"citationID":"6AuJgjWN","properties":{"formattedCitation":"[29]","plainCitation":"[29]","noteIndex":0},"citationItems":[{"id":701,"uris":["http://zotero.org/users/12047481/items/XJEYDC6H"],"itemData":{"id":701,"type":"article-journal","abstract":"Background\nNutrient stoichiometry of phytoplankton frequently changes with aquatic ambient nutrient concentrations, which is mainly influenced by anthropogenic water treatment and the ecosystem dynamics. Consequently, the stoichiometry of phytoplankton can markedly alter the metabolism and growth of zooplankton. However, the effects of nutrient-imbalanced prey on the interplay between zooplankton and their gut microbiota remain unknown. Using metatranscriptome, a 16 s rRNA amplicon-based neutral community model (NCM) and experimental validation, we investigated the interactions between Daphnia magna and its gut microbiota in a nutrient-imbalanced algal diet.\n\nResults\nOur results showed that in nutrient-depleted water, the nutrient-enriched zooplankton gut stimulated the accumulation of microbial polyphosphate in fecal pellets under phosphorus limitation and the microbial assimilation of ammonia under nitrogen limitation. Compared with the nutrient replete group, both N and P limitation markedly promoted the gene expression of the gut microbiome for organic matter degradation but repressed that for anaerobic metabolisms. In the nutrient limited diet, the gut microbial community exhibited a higher fit to NCM (R2 = 0.624 and 0.781, for N- and P-limitation, respectively) when compared with the Control group (R2 = 0.542), suggesting increased ambient-gut exchange process favored by compensatory feeding. Further, an additional axenic grazing experiment revealed that the growth of D. magna can still benefit from gut microbiota under a nutrient-imbalanced diet.\n\nConclusions\nTogether, these results demonstrated that under a nutrient-imbalanced diet, the microbes not only benefit themselves by absorbing excess nutrients inside the zooplankton gut but also help zooplankton to survive during nutrient limitation.\n\nSupplementary Information\nThe online version contains supplementary material available at 10.1186/s12864-020-07333-z.","container-title":"BMC Genomics","DOI":"10.1186/s12864-020-07333-z","ISSN":"1471-2164","journalAbbreviation":"BMC Genomics","note":"PMID: 33413098\nPMCID: PMC7791863","page":"37","source":"PubMed Central","title":"Nutrient-imbalanced conditions shift the interplay between zooplankton and gut microbiota","volume":"22","author":[{"family":"Li","given":"Yingdong"},{"family":"Xu","given":"Zhimeng"},{"family":"Liu","given":"Hongbin"}],"issued":{"date-parts":[["2021",1,7]]}}}],"schema":"https://github.com/citation-style-language/schema/raw/master/csl-citation.json"} </w:instrText>
            </w:r>
            <w:r>
              <w:rPr>
                <w:rFonts w:ascii="Times New Roman" w:eastAsia="Times New Roman" w:hAnsi="Times New Roman" w:cs="Times New Roman"/>
                <w:color w:val="000000"/>
                <w:sz w:val="18"/>
                <w:szCs w:val="18"/>
                <w:lang w:val="fr-FR" w:eastAsia="nl-BE"/>
                <w14:ligatures w14:val="none"/>
              </w:rPr>
              <w:fldChar w:fldCharType="separate"/>
            </w:r>
            <w:r w:rsidRPr="00B40F84">
              <w:rPr>
                <w:rFonts w:ascii="Times New Roman" w:hAnsi="Times New Roman" w:cs="Times New Roman"/>
                <w:sz w:val="18"/>
              </w:rPr>
              <w:t>[29]</w:t>
            </w:r>
            <w:r>
              <w:rPr>
                <w:rFonts w:ascii="Times New Roman" w:eastAsia="Times New Roman" w:hAnsi="Times New Roman" w:cs="Times New Roman"/>
                <w:color w:val="000000"/>
                <w:sz w:val="18"/>
                <w:szCs w:val="18"/>
                <w:lang w:val="fr-FR" w:eastAsia="nl-BE"/>
                <w14:ligatures w14:val="none"/>
              </w:rPr>
              <w:fldChar w:fldCharType="end"/>
            </w:r>
          </w:p>
        </w:tc>
        <w:tc>
          <w:tcPr>
            <w:tcW w:w="1116" w:type="dxa"/>
          </w:tcPr>
          <w:p w14:paraId="58C0087E" w14:textId="77777777" w:rsidR="00F50D9D" w:rsidRPr="00501ECB" w:rsidRDefault="00F50D9D" w:rsidP="006C4573">
            <w:pPr>
              <w:jc w:val="both"/>
              <w:rPr>
                <w:rFonts w:ascii="Times New Roman" w:eastAsia="Times New Roman" w:hAnsi="Times New Roman" w:cs="Times New Roman"/>
                <w:color w:val="000000"/>
                <w:sz w:val="18"/>
                <w:szCs w:val="18"/>
                <w:lang w:val="fr-FR"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159A4560" w14:textId="77777777" w:rsidTr="00F50D9D">
        <w:tc>
          <w:tcPr>
            <w:tcW w:w="388" w:type="dxa"/>
          </w:tcPr>
          <w:p w14:paraId="191B643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29.</w:t>
            </w:r>
          </w:p>
        </w:tc>
        <w:tc>
          <w:tcPr>
            <w:tcW w:w="996" w:type="dxa"/>
          </w:tcPr>
          <w:p w14:paraId="4ADFBC69"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43C3896E"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CH</w:t>
            </w:r>
          </w:p>
          <w:p w14:paraId="044BF7B7" w14:textId="070F58A9" w:rsidR="00D963EC" w:rsidRPr="00D963EC" w:rsidRDefault="00D963EC"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15-18</w:t>
            </w:r>
            <w:r w:rsidRPr="00D963EC">
              <w:rPr>
                <w:rFonts w:ascii="Times New Roman" w:eastAsia="Times New Roman" w:hAnsi="Times New Roman" w:cs="Times New Roman"/>
                <w:color w:val="000000"/>
                <w:sz w:val="18"/>
                <w:szCs w:val="18"/>
                <w:lang w:val="en-US" w:eastAsia="nl-BE"/>
                <w14:ligatures w14:val="none"/>
              </w:rPr>
              <w:t xml:space="preserve"> guts were isolated for each sample in triplicate</w:t>
            </w:r>
          </w:p>
        </w:tc>
        <w:tc>
          <w:tcPr>
            <w:tcW w:w="1093" w:type="dxa"/>
          </w:tcPr>
          <w:p w14:paraId="716AECB6"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Elevated</w:t>
            </w:r>
            <w:proofErr w:type="spellEnd"/>
            <w:r w:rsidRPr="00501ECB">
              <w:rPr>
                <w:rFonts w:ascii="Times New Roman" w:eastAsia="Times New Roman" w:hAnsi="Times New Roman" w:cs="Times New Roman"/>
                <w:color w:val="000000"/>
                <w:sz w:val="18"/>
                <w:szCs w:val="18"/>
                <w:lang w:eastAsia="nl-BE"/>
                <w14:ligatures w14:val="none"/>
              </w:rPr>
              <w:t xml:space="preserve"> temp, </w:t>
            </w:r>
            <w:proofErr w:type="spellStart"/>
            <w:r w:rsidRPr="00501ECB">
              <w:rPr>
                <w:rFonts w:ascii="Times New Roman" w:eastAsia="Times New Roman" w:hAnsi="Times New Roman" w:cs="Times New Roman"/>
                <w:i/>
                <w:iCs/>
                <w:color w:val="000000"/>
                <w:sz w:val="18"/>
                <w:szCs w:val="18"/>
                <w:lang w:eastAsia="nl-BE"/>
                <w14:ligatures w14:val="none"/>
              </w:rPr>
              <w:t>Microcystis</w:t>
            </w:r>
            <w:proofErr w:type="spellEnd"/>
            <w:r w:rsidRPr="00501ECB">
              <w:rPr>
                <w:rFonts w:ascii="Times New Roman" w:eastAsia="Times New Roman" w:hAnsi="Times New Roman" w:cs="Times New Roman"/>
                <w:i/>
                <w:iCs/>
                <w:color w:val="000000"/>
                <w:sz w:val="18"/>
                <w:szCs w:val="18"/>
                <w:lang w:eastAsia="nl-BE"/>
                <w14:ligatures w14:val="none"/>
              </w:rPr>
              <w:t xml:space="preserve"> </w:t>
            </w:r>
            <w:r w:rsidRPr="00501ECB">
              <w:rPr>
                <w:rFonts w:ascii="Times New Roman" w:eastAsia="Times New Roman" w:hAnsi="Times New Roman" w:cs="Times New Roman"/>
                <w:color w:val="000000"/>
                <w:sz w:val="18"/>
                <w:szCs w:val="18"/>
                <w:lang w:eastAsia="nl-BE"/>
                <w14:ligatures w14:val="none"/>
              </w:rPr>
              <w:t>exposure</w:t>
            </w:r>
          </w:p>
        </w:tc>
        <w:tc>
          <w:tcPr>
            <w:tcW w:w="738" w:type="dxa"/>
          </w:tcPr>
          <w:p w14:paraId="2E07FC0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09EB0A5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China</w:t>
            </w:r>
          </w:p>
        </w:tc>
        <w:tc>
          <w:tcPr>
            <w:tcW w:w="1117" w:type="dxa"/>
          </w:tcPr>
          <w:p w14:paraId="18F7701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6792D6D9"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338F, 806R</w:t>
            </w:r>
          </w:p>
          <w:p w14:paraId="0749362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1EAF183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V3-V4</w:t>
            </w:r>
          </w:p>
        </w:tc>
        <w:tc>
          <w:tcPr>
            <w:tcW w:w="1200" w:type="dxa"/>
          </w:tcPr>
          <w:p w14:paraId="3E3FAEB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Georgia" w:eastAsia="Times New Roman" w:hAnsi="Georgia" w:cs="Times New Roman"/>
                <w:color w:val="2E2E2E"/>
                <w:sz w:val="18"/>
                <w:szCs w:val="18"/>
                <w:lang w:val="en-US" w:eastAsia="nl-BE"/>
                <w14:ligatures w14:val="none"/>
              </w:rPr>
              <w:t>E.Z.N.A.® soil DNA Kit (Omega Bio-</w:t>
            </w:r>
            <w:proofErr w:type="spellStart"/>
            <w:r w:rsidRPr="00501ECB">
              <w:rPr>
                <w:rFonts w:ascii="Georgia" w:eastAsia="Times New Roman" w:hAnsi="Georgia" w:cs="Times New Roman"/>
                <w:color w:val="2E2E2E"/>
                <w:sz w:val="18"/>
                <w:szCs w:val="18"/>
                <w:lang w:val="en-US" w:eastAsia="nl-BE"/>
                <w14:ligatures w14:val="none"/>
              </w:rPr>
              <w:t>tek</w:t>
            </w:r>
            <w:proofErr w:type="spellEnd"/>
            <w:r w:rsidRPr="00501ECB">
              <w:rPr>
                <w:rFonts w:ascii="Georgia" w:eastAsia="Times New Roman" w:hAnsi="Georgia" w:cs="Times New Roman"/>
                <w:color w:val="2E2E2E"/>
                <w:sz w:val="18"/>
                <w:szCs w:val="18"/>
                <w:lang w:val="en-US" w:eastAsia="nl-BE"/>
                <w14:ligatures w14:val="none"/>
              </w:rPr>
              <w:t>)</w:t>
            </w:r>
          </w:p>
        </w:tc>
        <w:tc>
          <w:tcPr>
            <w:tcW w:w="959" w:type="dxa"/>
          </w:tcPr>
          <w:p w14:paraId="2C1FAFE7" w14:textId="5A2F338F"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V3 reagent kit (600-cycles)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4D81A195"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eastAsia="nl-BE"/>
                <w14:ligatures w14:val="none"/>
              </w:rPr>
            </w:pPr>
          </w:p>
        </w:tc>
        <w:tc>
          <w:tcPr>
            <w:tcW w:w="1275" w:type="dxa"/>
          </w:tcPr>
          <w:p w14:paraId="56ABF494" w14:textId="6542C4B8"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t>PRJNA660107</w:t>
            </w:r>
          </w:p>
        </w:tc>
        <w:tc>
          <w:tcPr>
            <w:tcW w:w="1134" w:type="dxa"/>
          </w:tcPr>
          <w:p w14:paraId="1DD2AC6E" w14:textId="4F7A9457" w:rsidR="00F50D9D" w:rsidRPr="001A1368" w:rsidRDefault="00F50D9D" w:rsidP="006C4573">
            <w:pPr>
              <w:jc w:val="both"/>
              <w:rPr>
                <w:rFonts w:ascii="Times New Roman" w:eastAsia="Times New Roman" w:hAnsi="Times New Roman" w:cs="Times New Roman"/>
                <w:color w:val="000000"/>
                <w:sz w:val="18"/>
                <w:szCs w:val="18"/>
                <w:lang w:eastAsia="nl-BE"/>
                <w14:ligatures w14:val="none"/>
              </w:rPr>
            </w:pPr>
            <w:r w:rsidRPr="001A1368">
              <w:rPr>
                <w:rFonts w:ascii="Times New Roman" w:eastAsia="Times New Roman" w:hAnsi="Times New Roman" w:cs="Times New Roman"/>
                <w:color w:val="000000"/>
                <w:sz w:val="18"/>
                <w:szCs w:val="18"/>
                <w:lang w:eastAsia="nl-BE"/>
                <w14:ligatures w14:val="none"/>
              </w:rPr>
              <w:t xml:space="preserve">S Akbar </w:t>
            </w:r>
            <w:r w:rsidRPr="00F50612">
              <w:rPr>
                <w:rFonts w:ascii="Times New Roman" w:eastAsia="Times New Roman" w:hAnsi="Times New Roman" w:cs="Times New Roman"/>
                <w:i/>
                <w:iCs/>
                <w:color w:val="000000"/>
                <w:sz w:val="18"/>
                <w:szCs w:val="18"/>
                <w:lang w:eastAsia="nl-BE"/>
                <w14:ligatures w14:val="none"/>
              </w:rPr>
              <w:t>et al</w:t>
            </w:r>
            <w:r>
              <w:rPr>
                <w:rFonts w:ascii="Times New Roman" w:eastAsia="Times New Roman" w:hAnsi="Times New Roman" w:cs="Times New Roman"/>
                <w:color w:val="000000"/>
                <w:sz w:val="18"/>
                <w:szCs w:val="18"/>
                <w:lang w:eastAsia="nl-BE"/>
                <w14:ligatures w14:val="none"/>
              </w:rPr>
              <w:t>.,</w:t>
            </w:r>
            <w:r w:rsidRPr="001A1368">
              <w:rPr>
                <w:rFonts w:ascii="Times New Roman" w:eastAsia="Times New Roman" w:hAnsi="Times New Roman" w:cs="Times New Roman"/>
                <w:color w:val="000000"/>
                <w:sz w:val="18"/>
                <w:szCs w:val="18"/>
                <w:lang w:eastAsia="nl-BE"/>
                <w14:ligatures w14:val="none"/>
              </w:rPr>
              <w:t xml:space="preserve"> 2021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eastAsia="nl-BE"/>
                <w14:ligatures w14:val="none"/>
              </w:rPr>
              <w:instrText xml:space="preserve"> ADDIN ZOTERO_ITEM CSL_CITATION {"citationID":"AGbUnA5M","properties":{"formattedCitation":"[30]","plainCitation":"[30]","noteIndex":0},"citationItems":[{"id":425,"uris":["http://zotero.org/users/12047481/items/QSXWJ57K"],"itemData":{"id":425,"type":"article-journal","abstract":"The gut microbiota has been increasingly recognized to regulate host fitness, which in turn is dependent on stability of community structure and composition. Many biotic and abiotic factors have been demonstrated to shape gut microbiota of cladocerans. However, the interactive effects of these variables on cladocerans fitness due to alteration of gut microbiota and their linkage with life history parameters are poorly understood. Here, we investigated the responses of Daphnia magna gut microbiota to the combined effects of toxic Microcystis aeruginosa and high temperature and its associations with fitness. We found that under good food regime, the temperature has no effect on the composition of the gut microbiota, whereas under high proportion of toxic M. aeruginosa and high temperature conditions, D. magna lost their symbionts. High proportion of toxic M. aeruginosa and high temperature had synergistically negative effects on D. magna performance due to altered gut microbiota. The high abundance of symbiotic Comamonadaceae and good food increased D. magna fitness. The present study illustrates that understanding life history strategies in response to multiple stressors related to changes in the gut microbiota diversity and composition requires integrated approaches that incorporate multiple linked traits and tether them to one another.","container-title":"Environmental Pollution","DOI":"10.1016/j.envpol.2020.116409","ISSN":"0269-7491","journalAbbreviation":"Environmental Pollution","page":"116409","source":"ScienceDirect","title":"Elevated temperature and toxic &lt;i&gt;Microcystis&lt;/i&gt; reduce &lt;i&gt;Daphnia&lt;/i&gt; fitness and modulate gut microbiota","volume":"271","author":[{"family":"Akbar","given":"Siddiq"},{"family":"Huang","given":"Jing"},{"family":"Zhou","given":"Qiming"},{"family":"Gu","given":"Lei"},{"family":"Sun","given":"Yunfei"},{"family":"Zhang","given":"Lu"},{"family":"Lyu","given":"Kai"},{"family":"Yang","given":"Zhou"}],"issued":{"date-parts":[["2021",2,15]]}}}],"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[30]</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362DC98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03E78BDC" w14:textId="77777777" w:rsidTr="00F50D9D">
        <w:tc>
          <w:tcPr>
            <w:tcW w:w="388" w:type="dxa"/>
          </w:tcPr>
          <w:p w14:paraId="5A641FDB"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w:t>
            </w:r>
            <w:r w:rsidRPr="00501ECB">
              <w:rPr>
                <w:rFonts w:ascii="Times New Roman" w:eastAsia="Times New Roman" w:hAnsi="Times New Roman" w:cs="Times New Roman"/>
                <w:color w:val="000000"/>
                <w:sz w:val="18"/>
                <w:szCs w:val="18"/>
                <w:lang w:val="en-US" w:eastAsia="nl-BE"/>
                <w14:ligatures w14:val="none"/>
              </w:rPr>
              <w:lastRenderedPageBreak/>
              <w:t>0.</w:t>
            </w:r>
          </w:p>
        </w:tc>
        <w:tc>
          <w:tcPr>
            <w:tcW w:w="996" w:type="dxa"/>
          </w:tcPr>
          <w:p w14:paraId="4E27064D"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lastRenderedPageBreak/>
              <w:t>D. magna</w:t>
            </w:r>
          </w:p>
        </w:tc>
        <w:tc>
          <w:tcPr>
            <w:tcW w:w="1184" w:type="dxa"/>
          </w:tcPr>
          <w:p w14:paraId="255C31E0" w14:textId="77777777" w:rsidR="00F50D9D" w:rsidRPr="00C06356" w:rsidRDefault="00F50D9D" w:rsidP="006C4573">
            <w:pPr>
              <w:jc w:val="both"/>
              <w:rPr>
                <w:rFonts w:ascii="Times New Roman" w:eastAsia="Times New Roman" w:hAnsi="Times New Roman" w:cs="Times New Roman"/>
                <w:color w:val="000000"/>
                <w:sz w:val="18"/>
                <w:szCs w:val="18"/>
                <w:lang w:val="en-US" w:eastAsia="nl-BE"/>
                <w14:ligatures w14:val="none"/>
              </w:rPr>
            </w:pPr>
            <w:r w:rsidRPr="00C06356">
              <w:rPr>
                <w:rFonts w:ascii="Times New Roman" w:eastAsia="Times New Roman" w:hAnsi="Times New Roman" w:cs="Times New Roman"/>
                <w:color w:val="000000"/>
                <w:sz w:val="18"/>
                <w:szCs w:val="18"/>
                <w:lang w:val="en-US" w:eastAsia="nl-BE"/>
                <w14:ligatures w14:val="none"/>
              </w:rPr>
              <w:t>G1, G2</w:t>
            </w:r>
          </w:p>
          <w:p w14:paraId="4A298779" w14:textId="70DC4A85" w:rsidR="00D963EC" w:rsidRPr="00D963EC" w:rsidRDefault="00D963EC" w:rsidP="006C4573">
            <w:pPr>
              <w:jc w:val="both"/>
              <w:rPr>
                <w:rFonts w:ascii="Times New Roman" w:eastAsia="Times New Roman" w:hAnsi="Times New Roman" w:cs="Times New Roman"/>
                <w:color w:val="000000"/>
                <w:sz w:val="18"/>
                <w:szCs w:val="18"/>
                <w:lang w:val="en-US" w:eastAsia="nl-BE"/>
                <w14:ligatures w14:val="none"/>
              </w:rPr>
            </w:pPr>
            <w:r w:rsidRPr="00D963EC">
              <w:rPr>
                <w:rFonts w:ascii="Times New Roman" w:eastAsia="Times New Roman" w:hAnsi="Times New Roman" w:cs="Times New Roman"/>
                <w:color w:val="000000"/>
                <w:sz w:val="18"/>
                <w:szCs w:val="18"/>
                <w:lang w:val="en-US" w:eastAsia="nl-BE"/>
                <w14:ligatures w14:val="none"/>
              </w:rPr>
              <w:lastRenderedPageBreak/>
              <w:t xml:space="preserve">20 guts were isolated </w:t>
            </w:r>
            <w:r>
              <w:rPr>
                <w:rFonts w:ascii="Times New Roman" w:eastAsia="Times New Roman" w:hAnsi="Times New Roman" w:cs="Times New Roman"/>
                <w:color w:val="000000"/>
                <w:sz w:val="18"/>
                <w:szCs w:val="18"/>
                <w:lang w:val="en-US" w:eastAsia="nl-BE"/>
                <w14:ligatures w14:val="none"/>
              </w:rPr>
              <w:t xml:space="preserve">per replicate treatment </w:t>
            </w:r>
            <w:r w:rsidRPr="00D963EC">
              <w:rPr>
                <w:rFonts w:ascii="Times New Roman" w:eastAsia="Times New Roman" w:hAnsi="Times New Roman" w:cs="Times New Roman"/>
                <w:color w:val="000000"/>
                <w:sz w:val="18"/>
                <w:szCs w:val="18"/>
                <w:lang w:val="en-US" w:eastAsia="nl-BE"/>
                <w14:ligatures w14:val="none"/>
              </w:rPr>
              <w:t>for microbiome analysis</w:t>
            </w:r>
          </w:p>
        </w:tc>
        <w:tc>
          <w:tcPr>
            <w:tcW w:w="1093" w:type="dxa"/>
          </w:tcPr>
          <w:p w14:paraId="363EFC1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 xml:space="preserve">Diet and </w:t>
            </w:r>
            <w:proofErr w:type="spellStart"/>
            <w:r w:rsidRPr="00501ECB">
              <w:rPr>
                <w:rFonts w:ascii="Times New Roman" w:eastAsia="Times New Roman" w:hAnsi="Times New Roman" w:cs="Times New Roman"/>
                <w:color w:val="000000"/>
                <w:sz w:val="18"/>
                <w:szCs w:val="18"/>
                <w:lang w:val="en-US" w:eastAsia="nl-BE"/>
                <w14:ligatures w14:val="none"/>
              </w:rPr>
              <w:lastRenderedPageBreak/>
              <w:t>médium</w:t>
            </w:r>
            <w:proofErr w:type="spellEnd"/>
            <w:r w:rsidRPr="00501ECB">
              <w:rPr>
                <w:rFonts w:ascii="Times New Roman" w:eastAsia="Times New Roman" w:hAnsi="Times New Roman" w:cs="Times New Roman"/>
                <w:color w:val="000000"/>
                <w:sz w:val="18"/>
                <w:szCs w:val="18"/>
                <w:lang w:val="en-US" w:eastAsia="nl-BE"/>
                <w14:ligatures w14:val="none"/>
              </w:rPr>
              <w:t xml:space="preserve"> associated microbes</w:t>
            </w:r>
          </w:p>
        </w:tc>
        <w:tc>
          <w:tcPr>
            <w:tcW w:w="738" w:type="dxa"/>
          </w:tcPr>
          <w:p w14:paraId="29598447"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lastRenderedPageBreak/>
              <w:t>Gut</w:t>
            </w:r>
          </w:p>
        </w:tc>
        <w:tc>
          <w:tcPr>
            <w:tcW w:w="1113" w:type="dxa"/>
          </w:tcPr>
          <w:p w14:paraId="753AF09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China</w:t>
            </w:r>
          </w:p>
        </w:tc>
        <w:tc>
          <w:tcPr>
            <w:tcW w:w="1117" w:type="dxa"/>
          </w:tcPr>
          <w:p w14:paraId="712CA17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83BB03E"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338F, 806R</w:t>
            </w:r>
          </w:p>
          <w:p w14:paraId="04E51C2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6475F801"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eastAsia="nl-BE"/>
                <w14:ligatures w14:val="none"/>
              </w:rPr>
              <w:lastRenderedPageBreak/>
              <w:t>V3-V4</w:t>
            </w:r>
          </w:p>
        </w:tc>
        <w:tc>
          <w:tcPr>
            <w:tcW w:w="1200" w:type="dxa"/>
          </w:tcPr>
          <w:p w14:paraId="1CB8378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Georgia" w:eastAsia="Times New Roman" w:hAnsi="Georgia" w:cs="Times New Roman"/>
                <w:color w:val="2E2E2E"/>
                <w:sz w:val="18"/>
                <w:szCs w:val="18"/>
                <w:lang w:val="en-US" w:eastAsia="nl-BE"/>
                <w14:ligatures w14:val="none"/>
              </w:rPr>
              <w:t xml:space="preserve">E.Z.N.A.® </w:t>
            </w:r>
            <w:r w:rsidRPr="00501ECB">
              <w:rPr>
                <w:rFonts w:ascii="Georgia" w:eastAsia="Times New Roman" w:hAnsi="Georgia" w:cs="Times New Roman"/>
                <w:color w:val="2E2E2E"/>
                <w:sz w:val="18"/>
                <w:szCs w:val="18"/>
                <w:lang w:val="en-US" w:eastAsia="nl-BE"/>
                <w14:ligatures w14:val="none"/>
              </w:rPr>
              <w:lastRenderedPageBreak/>
              <w:t>soil DNA Kit (Omega Bio-</w:t>
            </w:r>
            <w:proofErr w:type="spellStart"/>
            <w:r w:rsidRPr="00501ECB">
              <w:rPr>
                <w:rFonts w:ascii="Georgia" w:eastAsia="Times New Roman" w:hAnsi="Georgia" w:cs="Times New Roman"/>
                <w:color w:val="2E2E2E"/>
                <w:sz w:val="18"/>
                <w:szCs w:val="18"/>
                <w:lang w:val="en-US" w:eastAsia="nl-BE"/>
                <w14:ligatures w14:val="none"/>
              </w:rPr>
              <w:t>tek</w:t>
            </w:r>
            <w:proofErr w:type="spellEnd"/>
            <w:r w:rsidRPr="00501ECB">
              <w:rPr>
                <w:rFonts w:ascii="Georgia" w:eastAsia="Times New Roman" w:hAnsi="Georgia" w:cs="Times New Roman"/>
                <w:color w:val="2E2E2E"/>
                <w:sz w:val="18"/>
                <w:szCs w:val="18"/>
                <w:lang w:val="en-US" w:eastAsia="nl-BE"/>
                <w14:ligatures w14:val="none"/>
              </w:rPr>
              <w:t>)</w:t>
            </w:r>
          </w:p>
        </w:tc>
        <w:tc>
          <w:tcPr>
            <w:tcW w:w="959" w:type="dxa"/>
          </w:tcPr>
          <w:p w14:paraId="6236DE81" w14:textId="1C8CA1FD"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w:t>
            </w:r>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 xml:space="preserve">V3 reagent kit (600-cycles) </w:t>
            </w:r>
            <w:r>
              <w:rPr>
                <w:rFonts w:ascii="Times New Roman" w:eastAsia="Times New Roman" w:hAnsi="Times New Roman" w:cs="Times New Roman"/>
                <w:color w:val="212121"/>
                <w:sz w:val="18"/>
                <w:szCs w:val="18"/>
                <w:shd w:val="clear" w:color="auto" w:fill="FFFFFF"/>
                <w:lang w:val="en-US" w:eastAsia="nl-BE"/>
                <w14:ligatures w14:val="none"/>
              </w:rPr>
              <w:t>,</w:t>
            </w: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5D1ADFF6" w14:textId="77777777" w:rsidR="00F50D9D" w:rsidRPr="00501ECB" w:rsidRDefault="00F50D9D" w:rsidP="006C4573">
            <w:pPr>
              <w:spacing w:before="100" w:beforeAutospacing="1" w:afterAutospacing="1"/>
              <w:jc w:val="both"/>
              <w:rPr>
                <w:rFonts w:ascii="Times New Roman" w:eastAsia="Times New Roman" w:hAnsi="Times New Roman" w:cs="Times New Roman"/>
                <w:color w:val="333333"/>
                <w:sz w:val="18"/>
                <w:szCs w:val="18"/>
                <w:shd w:val="clear" w:color="auto" w:fill="FCFCFC"/>
                <w:lang w:eastAsia="nl-BE"/>
                <w14:ligatures w14:val="none"/>
              </w:rPr>
            </w:pPr>
          </w:p>
        </w:tc>
        <w:tc>
          <w:tcPr>
            <w:tcW w:w="1275" w:type="dxa"/>
          </w:tcPr>
          <w:p w14:paraId="6E02D7FF" w14:textId="0120A9B3"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333333"/>
                <w:sz w:val="18"/>
                <w:szCs w:val="18"/>
                <w:shd w:val="clear" w:color="auto" w:fill="FCFCFC"/>
                <w:lang w:eastAsia="nl-BE"/>
                <w14:ligatures w14:val="none"/>
              </w:rPr>
              <w:t>PRJNA73710</w:t>
            </w:r>
            <w:r w:rsidRPr="00501ECB">
              <w:rPr>
                <w:rFonts w:ascii="Times New Roman" w:eastAsia="Times New Roman" w:hAnsi="Times New Roman" w:cs="Times New Roman"/>
                <w:color w:val="333333"/>
                <w:sz w:val="18"/>
                <w:szCs w:val="18"/>
                <w:shd w:val="clear" w:color="auto" w:fill="FCFCFC"/>
                <w:lang w:eastAsia="nl-BE"/>
                <w14:ligatures w14:val="none"/>
              </w:rPr>
              <w:lastRenderedPageBreak/>
              <w:t>9</w:t>
            </w:r>
          </w:p>
        </w:tc>
        <w:tc>
          <w:tcPr>
            <w:tcW w:w="1134" w:type="dxa"/>
          </w:tcPr>
          <w:p w14:paraId="7E25495E" w14:textId="208B11A1" w:rsidR="00F50D9D" w:rsidRPr="001A1368" w:rsidRDefault="00F50D9D" w:rsidP="006C4573">
            <w:pPr>
              <w:jc w:val="both"/>
              <w:rPr>
                <w:rFonts w:ascii="Times New Roman" w:eastAsia="Times New Roman" w:hAnsi="Times New Roman" w:cs="Times New Roman"/>
                <w:color w:val="000000"/>
                <w:sz w:val="18"/>
                <w:szCs w:val="18"/>
                <w:lang w:eastAsia="nl-BE"/>
                <w14:ligatures w14:val="none"/>
              </w:rPr>
            </w:pPr>
            <w:r w:rsidRPr="001A1368">
              <w:rPr>
                <w:rFonts w:ascii="Times New Roman" w:eastAsia="Times New Roman" w:hAnsi="Times New Roman" w:cs="Times New Roman"/>
                <w:color w:val="000000"/>
                <w:sz w:val="18"/>
                <w:szCs w:val="18"/>
                <w:lang w:eastAsia="nl-BE"/>
                <w14:ligatures w14:val="none"/>
              </w:rPr>
              <w:lastRenderedPageBreak/>
              <w:t xml:space="preserve">S Akbar </w:t>
            </w:r>
            <w:r w:rsidRPr="00F50612">
              <w:rPr>
                <w:rFonts w:ascii="Times New Roman" w:eastAsia="Times New Roman" w:hAnsi="Times New Roman" w:cs="Times New Roman"/>
                <w:i/>
                <w:iCs/>
                <w:color w:val="000000"/>
                <w:sz w:val="18"/>
                <w:szCs w:val="18"/>
                <w:lang w:eastAsia="nl-BE"/>
                <w14:ligatures w14:val="none"/>
              </w:rPr>
              <w:t xml:space="preserve">et </w:t>
            </w:r>
            <w:r w:rsidRPr="00F50612">
              <w:rPr>
                <w:rFonts w:ascii="Times New Roman" w:eastAsia="Times New Roman" w:hAnsi="Times New Roman" w:cs="Times New Roman"/>
                <w:i/>
                <w:iCs/>
                <w:color w:val="000000"/>
                <w:sz w:val="18"/>
                <w:szCs w:val="18"/>
                <w:lang w:eastAsia="nl-BE"/>
                <w14:ligatures w14:val="none"/>
              </w:rPr>
              <w:lastRenderedPageBreak/>
              <w:t>al</w:t>
            </w:r>
            <w:r>
              <w:rPr>
                <w:rFonts w:ascii="Times New Roman" w:eastAsia="Times New Roman" w:hAnsi="Times New Roman" w:cs="Times New Roman"/>
                <w:color w:val="000000"/>
                <w:sz w:val="18"/>
                <w:szCs w:val="18"/>
                <w:lang w:eastAsia="nl-BE"/>
                <w14:ligatures w14:val="none"/>
              </w:rPr>
              <w:t>.,</w:t>
            </w:r>
            <w:r w:rsidRPr="001A1368">
              <w:rPr>
                <w:rFonts w:ascii="Times New Roman" w:eastAsia="Times New Roman" w:hAnsi="Times New Roman" w:cs="Times New Roman"/>
                <w:color w:val="000000"/>
                <w:sz w:val="18"/>
                <w:szCs w:val="18"/>
                <w:lang w:eastAsia="nl-BE"/>
                <w14:ligatures w14:val="none"/>
              </w:rPr>
              <w:t xml:space="preserve"> 2021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eastAsia="nl-BE"/>
                <w14:ligatures w14:val="none"/>
              </w:rPr>
              <w:instrText xml:space="preserve"> ADDIN ZOTERO_ITEM CSL_CITATION {"citationID":"Akdbp8H9","properties":{"formattedCitation":"[31]","plainCitation":"[31]","noteIndex":0},"citationItems":[{"id":430,"uris":["http://zotero.org/users/12047481/items/HCFEF8CZ"],"itemData":{"id":430,"type":"article-journal","abstract":"Host genotype and environment are considered crucial factors in shaping Daphnia gut microbiome composition. Among the environmental factors, diet is an important factor that regulates Daphnia microbiome. Most of the studies only focused on the use of axenic diet and non-sterile medium to investigate their effects on Daphnia microbiome. However, in natural environment, Daphnia diets such as phytoplankton are associated with microbes and could affect Daphnia microbiome composition and fitness, but remain relatively poorly understood compared to that of axenic diet. To test this, we cultured two Daphnia magna genotypes (genotype-1 and genotype-2) in sterile medium and fed with axenic diet. To check the effects of algal diet-associated microbes versus free water-related microbes, Daphnia were respectively inoculated with three different inoculums: medium microbial inoculum, diet-associated microbial inoculum, and medium and diet-mixed microbial inoculum. Daphnia were cultured for 3 weeks and their gut microbiome and life history traits were recorded. Results showed that Daphnia inoculated with medium microbial inoculum were dominated by Comamonadaceae in both genotypes. In Daphnia inoculated with mixed inoculum, genotype-1 microbiome was highly changed, whereas genotype-2 microbiome was slightly altered. Daphnia inoculated with diet microbial inoculum has almost the same microbiome in both genotypes. The total number of neonates and body size were significantly reduced in Daphnia inoculated with diet microbial inoculum regardless of genotype compared to all other treatments. Overall, this study shows that the microbiome of Daphnia is flexible and varies with genotype and diet- and medium-associated microbes, but not every bacteria is beneficial to Daphnia, and only symbionts can increase Daphnia performance.","container-title":"Microbial Ecology","DOI":"10.1007/s00248-021-01900-x","ISSN":"1432-184X","issue":"3","journalAbbreviation":"Microb Ecol","language":"en","page":"911-921","source":"Springer Link","title":"Disentangling Diet- and Medium-Associated Microbes in Shaping Daphnia Gut Microbiome","volume":"84","author":[{"family":"Akbar","given":"Siddiq"},{"family":"Li","given":"Xianxian"},{"family":"Ding","given":"Zihao"},{"family":"Liu","given":"Qi"},{"family":"Huang","given":"Jing"},{"family":"Zhou","given":"Qiming"},{"family":"Gu","given":"Lei"},{"family":"Yang","given":"Zhou"}],"issued":{"date-parts":[["2022",10,1]]}}}],"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[31]</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777CA58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lastRenderedPageBreak/>
              <w:t>Not selected</w:t>
            </w:r>
          </w:p>
        </w:tc>
      </w:tr>
      <w:tr w:rsidR="00F50D9D" w:rsidRPr="00501ECB" w14:paraId="5431A8F2" w14:textId="77777777" w:rsidTr="00F50D9D">
        <w:tc>
          <w:tcPr>
            <w:tcW w:w="388" w:type="dxa"/>
          </w:tcPr>
          <w:p w14:paraId="64ED199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31.</w:t>
            </w:r>
          </w:p>
        </w:tc>
        <w:tc>
          <w:tcPr>
            <w:tcW w:w="996" w:type="dxa"/>
          </w:tcPr>
          <w:p w14:paraId="76FC79B1"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3E2FE624" w14:textId="77777777" w:rsidR="00F50D9D"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Strauss</w:t>
            </w:r>
          </w:p>
          <w:p w14:paraId="4ED57D73" w14:textId="077BC227" w:rsidR="00243851" w:rsidRPr="00501ECB" w:rsidRDefault="00243851" w:rsidP="006C4573">
            <w:pPr>
              <w:jc w:val="both"/>
              <w:rPr>
                <w:rFonts w:ascii="Times New Roman" w:eastAsia="Times New Roman" w:hAnsi="Times New Roman" w:cs="Times New Roman"/>
                <w:color w:val="000000"/>
                <w:sz w:val="18"/>
                <w:szCs w:val="18"/>
                <w:lang w:val="es-ES" w:eastAsia="nl-BE"/>
                <w14:ligatures w14:val="none"/>
              </w:rPr>
            </w:pPr>
            <w:r w:rsidRPr="00243851">
              <w:rPr>
                <w:rFonts w:ascii="Times New Roman" w:eastAsia="Times New Roman" w:hAnsi="Times New Roman" w:cs="Times New Roman"/>
                <w:color w:val="000000"/>
                <w:sz w:val="18"/>
                <w:szCs w:val="18"/>
                <w:lang w:val="es-ES" w:eastAsia="nl-BE"/>
                <w14:ligatures w14:val="none"/>
              </w:rPr>
              <w:t xml:space="preserve">7 </w:t>
            </w:r>
            <w:proofErr w:type="spellStart"/>
            <w:r w:rsidRPr="00243851">
              <w:rPr>
                <w:rFonts w:ascii="Times New Roman" w:eastAsia="Times New Roman" w:hAnsi="Times New Roman" w:cs="Times New Roman"/>
                <w:color w:val="000000"/>
                <w:sz w:val="18"/>
                <w:szCs w:val="18"/>
                <w:lang w:val="es-ES" w:eastAsia="nl-BE"/>
                <w14:ligatures w14:val="none"/>
              </w:rPr>
              <w:t>to</w:t>
            </w:r>
            <w:proofErr w:type="spellEnd"/>
            <w:r w:rsidRPr="00243851">
              <w:rPr>
                <w:rFonts w:ascii="Times New Roman" w:eastAsia="Times New Roman" w:hAnsi="Times New Roman" w:cs="Times New Roman"/>
                <w:color w:val="000000"/>
                <w:sz w:val="18"/>
                <w:szCs w:val="18"/>
                <w:lang w:val="es-ES" w:eastAsia="nl-BE"/>
                <w14:ligatures w14:val="none"/>
              </w:rPr>
              <w:t xml:space="preserve"> 10 </w:t>
            </w:r>
            <w:proofErr w:type="spellStart"/>
            <w:r w:rsidRPr="00243851">
              <w:rPr>
                <w:rFonts w:ascii="Times New Roman" w:eastAsia="Times New Roman" w:hAnsi="Times New Roman" w:cs="Times New Roman"/>
                <w:color w:val="000000"/>
                <w:sz w:val="18"/>
                <w:szCs w:val="18"/>
                <w:lang w:val="es-ES" w:eastAsia="nl-BE"/>
                <w14:ligatures w14:val="none"/>
              </w:rPr>
              <w:t>guts</w:t>
            </w:r>
            <w:proofErr w:type="spellEnd"/>
            <w:r w:rsidRPr="00243851">
              <w:rPr>
                <w:rFonts w:ascii="Times New Roman" w:eastAsia="Times New Roman" w:hAnsi="Times New Roman" w:cs="Times New Roman"/>
                <w:color w:val="000000"/>
                <w:sz w:val="18"/>
                <w:szCs w:val="18"/>
                <w:lang w:val="es-ES" w:eastAsia="nl-BE"/>
                <w14:ligatures w14:val="none"/>
              </w:rPr>
              <w:t>/</w:t>
            </w:r>
            <w:proofErr w:type="spellStart"/>
            <w:r w:rsidRPr="00243851">
              <w:rPr>
                <w:rFonts w:ascii="Times New Roman" w:eastAsia="Times New Roman" w:hAnsi="Times New Roman" w:cs="Times New Roman"/>
                <w:color w:val="000000"/>
                <w:sz w:val="18"/>
                <w:szCs w:val="18"/>
                <w:lang w:val="es-ES" w:eastAsia="nl-BE"/>
                <w14:ligatures w14:val="none"/>
              </w:rPr>
              <w:t>sample</w:t>
            </w:r>
            <w:proofErr w:type="spellEnd"/>
          </w:p>
        </w:tc>
        <w:tc>
          <w:tcPr>
            <w:tcW w:w="1093" w:type="dxa"/>
          </w:tcPr>
          <w:p w14:paraId="6F3A923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 microbiome link to host development growth and neutral communication</w:t>
            </w:r>
          </w:p>
        </w:tc>
        <w:tc>
          <w:tcPr>
            <w:tcW w:w="738" w:type="dxa"/>
          </w:tcPr>
          <w:p w14:paraId="3509633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599139CF" w14:textId="110EE55B"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 xml:space="preserve">Berlin, </w:t>
            </w:r>
            <w:r w:rsidRPr="00501ECB">
              <w:rPr>
                <w:rFonts w:ascii="Times New Roman" w:eastAsia="Times New Roman" w:hAnsi="Times New Roman" w:cs="Times New Roman"/>
                <w:color w:val="000000"/>
                <w:sz w:val="18"/>
                <w:szCs w:val="18"/>
                <w:lang w:val="en-US" w:eastAsia="nl-BE"/>
                <w14:ligatures w14:val="none"/>
              </w:rPr>
              <w:t>Germany</w:t>
            </w:r>
          </w:p>
        </w:tc>
        <w:tc>
          <w:tcPr>
            <w:tcW w:w="1117" w:type="dxa"/>
          </w:tcPr>
          <w:p w14:paraId="3363AA5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118BAEC5"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333333"/>
                <w:sz w:val="18"/>
                <w:szCs w:val="18"/>
                <w:shd w:val="clear" w:color="auto" w:fill="FCFCFC"/>
                <w:lang w:eastAsia="nl-BE"/>
                <w14:ligatures w14:val="none"/>
              </w:rPr>
              <w:t>341F, 805R</w:t>
            </w:r>
          </w:p>
          <w:p w14:paraId="36BC6E2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75DA4C38" w14:textId="77777777" w:rsidR="00F50D9D" w:rsidRPr="00501ECB" w:rsidRDefault="00F50D9D" w:rsidP="006C4573">
            <w:pPr>
              <w:rPr>
                <w:rFonts w:ascii="Times New Roman" w:eastAsia="Times New Roman" w:hAnsi="Times New Roman" w:cs="Times New Roman"/>
                <w:sz w:val="18"/>
                <w:szCs w:val="18"/>
                <w:lang w:eastAsia="nl-BE"/>
                <w14:ligatures w14:val="none"/>
              </w:rPr>
            </w:pPr>
            <w:r w:rsidRPr="00501ECB">
              <w:rPr>
                <w:rFonts w:ascii="Times New Roman" w:eastAsia="Times New Roman" w:hAnsi="Times New Roman" w:cs="Times New Roman"/>
                <w:color w:val="333333"/>
                <w:sz w:val="18"/>
                <w:szCs w:val="18"/>
                <w:shd w:val="clear" w:color="auto" w:fill="FCFCFC"/>
                <w:lang w:eastAsia="nl-BE"/>
                <w14:ligatures w14:val="none"/>
              </w:rPr>
              <w:t>V3-V4</w:t>
            </w:r>
          </w:p>
          <w:p w14:paraId="52AAE4D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200" w:type="dxa"/>
          </w:tcPr>
          <w:p w14:paraId="01193C7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DNeasy</w:t>
            </w:r>
            <w:proofErr w:type="spellEnd"/>
            <w:r w:rsidRPr="00501ECB">
              <w:rPr>
                <w:rFonts w:ascii="Times New Roman" w:eastAsia="Times New Roman" w:hAnsi="Times New Roman" w:cs="Times New Roman"/>
                <w:color w:val="000000"/>
                <w:sz w:val="18"/>
                <w:szCs w:val="18"/>
                <w:lang w:val="en-US" w:eastAsia="nl-BE"/>
                <w14:ligatures w14:val="none"/>
              </w:rPr>
              <w:t xml:space="preserve"> </w:t>
            </w:r>
            <w:proofErr w:type="spellStart"/>
            <w:r w:rsidRPr="00501ECB">
              <w:rPr>
                <w:rFonts w:ascii="Times New Roman" w:eastAsia="Times New Roman" w:hAnsi="Times New Roman" w:cs="Times New Roman"/>
                <w:color w:val="000000"/>
                <w:sz w:val="18"/>
                <w:szCs w:val="18"/>
                <w:lang w:val="en-US" w:eastAsia="nl-BE"/>
                <w14:ligatures w14:val="none"/>
              </w:rPr>
              <w:t>PowerBiofilm</w:t>
            </w:r>
            <w:proofErr w:type="spellEnd"/>
            <w:r w:rsidRPr="00501ECB">
              <w:rPr>
                <w:rFonts w:ascii="Times New Roman" w:eastAsia="Times New Roman" w:hAnsi="Times New Roman" w:cs="Times New Roman"/>
                <w:color w:val="000000"/>
                <w:sz w:val="18"/>
                <w:szCs w:val="18"/>
                <w:lang w:val="en-US" w:eastAsia="nl-BE"/>
                <w14:ligatures w14:val="none"/>
              </w:rPr>
              <w:t xml:space="preserve"> extraction kit (Qiagen)</w:t>
            </w:r>
          </w:p>
        </w:tc>
        <w:tc>
          <w:tcPr>
            <w:tcW w:w="959" w:type="dxa"/>
          </w:tcPr>
          <w:p w14:paraId="40312B1F"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NovaSeq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6000 platform (2 × 250 bp paired-end)</w:t>
            </w:r>
          </w:p>
        </w:tc>
        <w:tc>
          <w:tcPr>
            <w:tcW w:w="1404" w:type="dxa"/>
          </w:tcPr>
          <w:p w14:paraId="33B90A76" w14:textId="0CC5BA79" w:rsidR="00F50D9D" w:rsidRPr="00501ECB" w:rsidRDefault="00243851" w:rsidP="00D059B1">
            <w:pPr>
              <w:spacing w:before="100" w:beforeAutospacing="1" w:afterAutospacing="1"/>
              <w:rPr>
                <w:rFonts w:ascii="Times New Roman" w:eastAsia="Times New Roman" w:hAnsi="Times New Roman" w:cs="Times New Roman"/>
                <w:color w:val="000000"/>
                <w:sz w:val="18"/>
                <w:szCs w:val="18"/>
                <w:lang w:val="en-US" w:eastAsia="nl-BE"/>
                <w14:ligatures w14:val="none"/>
              </w:rPr>
            </w:pPr>
            <w:r>
              <w:rPr>
                <w:rFonts w:ascii="Times New Roman" w:eastAsia="Times New Roman" w:hAnsi="Times New Roman" w:cs="Times New Roman"/>
                <w:color w:val="000000"/>
                <w:sz w:val="18"/>
                <w:szCs w:val="18"/>
                <w:lang w:val="en-US" w:eastAsia="nl-BE"/>
                <w14:ligatures w14:val="none"/>
              </w:rPr>
              <w:t>M</w:t>
            </w:r>
            <w:r w:rsidR="00D963EC" w:rsidRPr="00D963EC">
              <w:rPr>
                <w:rFonts w:ascii="Times New Roman" w:eastAsia="Times New Roman" w:hAnsi="Times New Roman" w:cs="Times New Roman"/>
                <w:color w:val="000000"/>
                <w:sz w:val="18"/>
                <w:szCs w:val="18"/>
                <w:lang w:val="en-US" w:eastAsia="nl-BE"/>
                <w14:ligatures w14:val="none"/>
              </w:rPr>
              <w:t>ean read depth per sample of 43,192 sequences</w:t>
            </w:r>
          </w:p>
        </w:tc>
        <w:tc>
          <w:tcPr>
            <w:tcW w:w="1275" w:type="dxa"/>
          </w:tcPr>
          <w:p w14:paraId="39501D34" w14:textId="6B0ED973"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PRJNA694094</w:t>
            </w:r>
          </w:p>
        </w:tc>
        <w:tc>
          <w:tcPr>
            <w:tcW w:w="1134" w:type="dxa"/>
          </w:tcPr>
          <w:p w14:paraId="517D2A22" w14:textId="123001F1" w:rsidR="00F50D9D" w:rsidRPr="001A1368" w:rsidRDefault="00F50D9D" w:rsidP="006C4573">
            <w:pPr>
              <w:jc w:val="both"/>
              <w:rPr>
                <w:rFonts w:ascii="Times New Roman" w:eastAsia="Times New Roman" w:hAnsi="Times New Roman" w:cs="Times New Roman"/>
                <w:color w:val="000000"/>
                <w:sz w:val="18"/>
                <w:szCs w:val="18"/>
                <w:lang w:val="fr-FR" w:eastAsia="nl-BE"/>
                <w14:ligatures w14:val="none"/>
              </w:rPr>
            </w:pPr>
            <w:r w:rsidRPr="001A1368">
              <w:rPr>
                <w:rFonts w:ascii="Times New Roman" w:eastAsia="Times New Roman" w:hAnsi="Times New Roman" w:cs="Times New Roman"/>
                <w:color w:val="000000"/>
                <w:sz w:val="18"/>
                <w:szCs w:val="18"/>
                <w:lang w:val="fr-FR" w:eastAsia="nl-BE"/>
                <w14:ligatures w14:val="none"/>
              </w:rPr>
              <w:t xml:space="preserve">RE </w:t>
            </w:r>
            <w:proofErr w:type="spellStart"/>
            <w:r w:rsidRPr="001A1368">
              <w:rPr>
                <w:rFonts w:ascii="Times New Roman" w:eastAsia="Times New Roman" w:hAnsi="Times New Roman" w:cs="Times New Roman"/>
                <w:color w:val="000000"/>
                <w:sz w:val="18"/>
                <w:szCs w:val="18"/>
                <w:lang w:val="fr-FR" w:eastAsia="nl-BE"/>
                <w14:ligatures w14:val="none"/>
              </w:rPr>
              <w:t>Shehawy</w:t>
            </w:r>
            <w:proofErr w:type="spellEnd"/>
            <w:r w:rsidRPr="001A1368">
              <w:rPr>
                <w:rFonts w:ascii="Times New Roman" w:eastAsia="Times New Roman" w:hAnsi="Times New Roman" w:cs="Times New Roman"/>
                <w:color w:val="000000"/>
                <w:sz w:val="18"/>
                <w:szCs w:val="18"/>
                <w:lang w:val="fr-FR" w:eastAsia="nl-BE"/>
                <w14:ligatures w14:val="none"/>
              </w:rPr>
              <w:t xml:space="preserve">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1A1368">
              <w:rPr>
                <w:rFonts w:ascii="Times New Roman" w:eastAsia="Times New Roman" w:hAnsi="Times New Roman" w:cs="Times New Roman"/>
                <w:color w:val="000000"/>
                <w:sz w:val="18"/>
                <w:szCs w:val="18"/>
                <w:lang w:val="fr-FR" w:eastAsia="nl-BE"/>
                <w14:ligatures w14:val="none"/>
              </w:rPr>
              <w:t xml:space="preserve">, 2021 </w:t>
            </w:r>
            <w:r>
              <w:rPr>
                <w:rFonts w:ascii="Times New Roman" w:eastAsia="Times New Roman" w:hAnsi="Times New Roman" w:cs="Times New Roman"/>
                <w:color w:val="000000"/>
                <w:sz w:val="18"/>
                <w:szCs w:val="18"/>
                <w:lang w:val="fr-FR"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{"citationID":"ieL83J1v","properties":{"formattedCitation":"[32]","plainCitation":"[32]","noteIndex":0},"citationItems":[{"id":705,"uris":["http://zotero.org/users/12047481/items/VSPSJIBT"],"itemData":{"id":705,"type":"article-journal","abstract":"Host-microbiome interactions are essential for the physiological and ecological performance of the host, yet these interactions are challenging to identify. Neurotransmitters are commonly implicated in these interactions, but we know very little about the mechanisms of their involvement, especially in invertebrates. Here, we report a peripheral catecholamine (CA) pathway involving the gut microbiome of the model species Daphnia magna. We demonstrate the following: (i) tyrosine hydroxylase and Dopa (3,4-dihydroxyphenylalanine) decarboxylase enzymes are present in the gut wall; (ii) Dopa decarboxylase gene is expressed in the gut by the host, and its expression follows the molt cycle peaking after ecdysis; (iii) biologically active l-Dopa, but not dopamine, is present in the gut lumen; (iv) gut bacteria produce l-Dopa in a concentration-dependent manner when provided l-tyrosine as a substrate. Impinging on gut bacteria involvement in host physiology and ecologically relevant traits, we suggest l-Dopa as a communication agent in the host-microbiome interactions in daphnids and, possibly, other crustaceans.IMPORTANCE Neurotransmitters are commonly implicated in host-microbiome communication, yet the molecular mechanisms of this communication remain largely elusive. We present novel evidence linking the gut microbiome to host development and growth via neurotransmitter l-Dopa in Daphnia, the established model species in ecology and evolution. We found that both Daphnia and its gut microbiome contribute to the synthesis of the l-Dopa in the gut. We also identified a peripheral pathway in the gut wall, with a molt stage-dependent dopamine synthesis, linking the gut microbiome to the daphnid development and growth. These findings suggest a central role of l-Dopa in the bidirectional communication between the animal host and its gut bacteria and translating into the ecologically important host traits suitable for subsequent testing of causality by experimental studies.","container-title":"mSystems","DOI":"10.1128/mSystems.00892-21","issue":"6","note":"publisher: American Society for Microbiology","page":"e00892-21","source":"journals-asm-org.kuleuven.e-bronnen.be (Atypon)","title":"Microbiota-Dependent and -Independent Production of l-Dopa in the Gut of Daphnia magna","volume":"6","author":[{"family":"El-Shehawy","given":"Rehab"},{"family":"Luecke-Johansson","given":"Sandra"},{"family":"Ribbenstedt","given":"Anton"},{"family":"Gorokhova","given":"Elena"}],"issued":{"date-parts":[["2021",11,9]]}}}],"schema":"https://github.com/citation-style-language/schema/raw/master/csl-citation.json"} </w:instrText>
            </w:r>
            <w:r>
              <w:rPr>
                <w:rFonts w:ascii="Times New Roman" w:eastAsia="Times New Roman" w:hAnsi="Times New Roman" w:cs="Times New Roman"/>
                <w:color w:val="000000"/>
                <w:sz w:val="18"/>
                <w:szCs w:val="18"/>
                <w:lang w:val="fr-FR" w:eastAsia="nl-BE"/>
                <w14:ligatures w14:val="none"/>
              </w:rPr>
              <w:fldChar w:fldCharType="separate"/>
            </w:r>
            <w:r w:rsidRPr="00B40F84">
              <w:rPr>
                <w:rFonts w:ascii="Times New Roman" w:hAnsi="Times New Roman" w:cs="Times New Roman"/>
                <w:sz w:val="18"/>
              </w:rPr>
              <w:t>[32]</w:t>
            </w:r>
            <w:r>
              <w:rPr>
                <w:rFonts w:ascii="Times New Roman" w:eastAsia="Times New Roman" w:hAnsi="Times New Roman" w:cs="Times New Roman"/>
                <w:color w:val="000000"/>
                <w:sz w:val="18"/>
                <w:szCs w:val="18"/>
                <w:lang w:val="fr-FR" w:eastAsia="nl-BE"/>
                <w14:ligatures w14:val="none"/>
              </w:rPr>
              <w:fldChar w:fldCharType="end"/>
            </w:r>
          </w:p>
        </w:tc>
        <w:tc>
          <w:tcPr>
            <w:tcW w:w="1116" w:type="dxa"/>
          </w:tcPr>
          <w:p w14:paraId="49C636D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277EFCF7" w14:textId="77777777" w:rsidTr="00F50D9D">
        <w:tc>
          <w:tcPr>
            <w:tcW w:w="388" w:type="dxa"/>
          </w:tcPr>
          <w:p w14:paraId="102B2E86"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32.</w:t>
            </w:r>
          </w:p>
        </w:tc>
        <w:tc>
          <w:tcPr>
            <w:tcW w:w="996" w:type="dxa"/>
          </w:tcPr>
          <w:p w14:paraId="63A47FA7"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 xml:space="preserve">D. </w:t>
            </w:r>
            <w:proofErr w:type="spellStart"/>
            <w:r w:rsidRPr="00501ECB">
              <w:rPr>
                <w:rFonts w:ascii="Times New Roman" w:eastAsia="Times New Roman" w:hAnsi="Times New Roman" w:cs="Times New Roman"/>
                <w:i/>
                <w:iCs/>
                <w:color w:val="000000"/>
                <w:sz w:val="18"/>
                <w:szCs w:val="18"/>
                <w:lang w:val="en-US" w:eastAsia="nl-BE"/>
                <w14:ligatures w14:val="none"/>
              </w:rPr>
              <w:t>galeata</w:t>
            </w:r>
            <w:proofErr w:type="spellEnd"/>
          </w:p>
        </w:tc>
        <w:tc>
          <w:tcPr>
            <w:tcW w:w="1184" w:type="dxa"/>
          </w:tcPr>
          <w:p w14:paraId="2F4AECB5" w14:textId="77777777" w:rsidR="00F50D9D" w:rsidRDefault="00F50D9D" w:rsidP="006C4573">
            <w:pPr>
              <w:jc w:val="both"/>
              <w:rPr>
                <w:rFonts w:ascii="Times New Roman" w:eastAsia="Times New Roman" w:hAnsi="Times New Roman" w:cs="Times New Roman"/>
                <w:color w:val="000000"/>
                <w:sz w:val="18"/>
                <w:szCs w:val="18"/>
                <w:lang w:val="de-DE" w:eastAsia="nl-BE"/>
                <w14:ligatures w14:val="none"/>
              </w:rPr>
            </w:pPr>
            <w:r w:rsidRPr="00501ECB">
              <w:rPr>
                <w:rFonts w:ascii="Times New Roman" w:eastAsia="Times New Roman" w:hAnsi="Times New Roman" w:cs="Times New Roman"/>
                <w:color w:val="000000"/>
                <w:sz w:val="18"/>
                <w:szCs w:val="18"/>
                <w:lang w:val="de-DE" w:eastAsia="nl-BE"/>
                <w14:ligatures w14:val="none"/>
              </w:rPr>
              <w:t xml:space="preserve">GR_020, GR_023, GR_024, GR_025, </w:t>
            </w:r>
            <w:r w:rsidRPr="00501ECB">
              <w:rPr>
                <w:rFonts w:ascii="Merriweather" w:hAnsi="Merriweather"/>
                <w:color w:val="222222"/>
                <w:sz w:val="18"/>
                <w:szCs w:val="18"/>
                <w:shd w:val="clear" w:color="auto" w:fill="FFFFFF"/>
                <w:lang w:val="de-DE"/>
                <w14:ligatures w14:val="none"/>
              </w:rPr>
              <w:t xml:space="preserve"> </w:t>
            </w:r>
            <w:r w:rsidRPr="00501ECB">
              <w:rPr>
                <w:rFonts w:ascii="Times New Roman" w:eastAsia="Times New Roman" w:hAnsi="Times New Roman" w:cs="Times New Roman"/>
                <w:color w:val="000000"/>
                <w:sz w:val="18"/>
                <w:szCs w:val="18"/>
                <w:lang w:val="de-DE" w:eastAsia="nl-BE"/>
                <w14:ligatures w14:val="none"/>
              </w:rPr>
              <w:t>GR_052, GR_053, GR_054, GR_055</w:t>
            </w:r>
          </w:p>
          <w:p w14:paraId="6C63C8C3" w14:textId="77777777" w:rsidR="00243851" w:rsidRDefault="00243851" w:rsidP="006C4573">
            <w:pPr>
              <w:jc w:val="both"/>
              <w:rPr>
                <w:rFonts w:ascii="Times New Roman" w:eastAsia="Times New Roman" w:hAnsi="Times New Roman" w:cs="Times New Roman"/>
                <w:color w:val="000000"/>
                <w:sz w:val="18"/>
                <w:szCs w:val="18"/>
                <w:lang w:val="de-DE" w:eastAsia="nl-BE"/>
                <w14:ligatures w14:val="none"/>
              </w:rPr>
            </w:pPr>
          </w:p>
          <w:p w14:paraId="38C2139E" w14:textId="3B3336D4" w:rsidR="00243851" w:rsidRPr="00243851" w:rsidRDefault="00243851" w:rsidP="006C4573">
            <w:pPr>
              <w:jc w:val="both"/>
              <w:rPr>
                <w:rFonts w:ascii="Times New Roman" w:eastAsia="Times New Roman" w:hAnsi="Times New Roman" w:cs="Times New Roman"/>
                <w:color w:val="000000"/>
                <w:sz w:val="18"/>
                <w:szCs w:val="18"/>
                <w:lang w:val="en-US" w:eastAsia="nl-BE"/>
                <w14:ligatures w14:val="none"/>
              </w:rPr>
            </w:pPr>
            <w:r w:rsidRPr="00243851">
              <w:rPr>
                <w:rFonts w:ascii="Times New Roman" w:eastAsia="Times New Roman" w:hAnsi="Times New Roman" w:cs="Times New Roman"/>
                <w:color w:val="000000"/>
                <w:sz w:val="18"/>
                <w:szCs w:val="18"/>
                <w:lang w:val="en-US" w:eastAsia="nl-BE"/>
                <w14:ligatures w14:val="none"/>
              </w:rPr>
              <w:t xml:space="preserve">Twenty adult </w:t>
            </w:r>
            <w:r w:rsidRPr="00243851">
              <w:rPr>
                <w:rFonts w:ascii="Times New Roman" w:eastAsia="Times New Roman" w:hAnsi="Times New Roman" w:cs="Times New Roman"/>
                <w:i/>
                <w:iCs/>
                <w:color w:val="000000"/>
                <w:sz w:val="18"/>
                <w:szCs w:val="18"/>
                <w:lang w:val="en-US" w:eastAsia="nl-BE"/>
                <w14:ligatures w14:val="none"/>
              </w:rPr>
              <w:t>Daphnia</w:t>
            </w:r>
            <w:r w:rsidRPr="00243851">
              <w:rPr>
                <w:rFonts w:ascii="Times New Roman" w:eastAsia="Times New Roman" w:hAnsi="Times New Roman" w:cs="Times New Roman"/>
                <w:color w:val="000000"/>
                <w:sz w:val="18"/>
                <w:szCs w:val="18"/>
                <w:lang w:val="en-US" w:eastAsia="nl-BE"/>
                <w14:ligatures w14:val="none"/>
              </w:rPr>
              <w:t xml:space="preserve"> per replicate</w:t>
            </w:r>
            <w:r>
              <w:rPr>
                <w:rFonts w:ascii="Times New Roman" w:eastAsia="Times New Roman" w:hAnsi="Times New Roman" w:cs="Times New Roman"/>
                <w:color w:val="000000"/>
                <w:sz w:val="18"/>
                <w:szCs w:val="18"/>
                <w:lang w:val="en-US" w:eastAsia="nl-BE"/>
                <w14:ligatures w14:val="none"/>
              </w:rPr>
              <w:t xml:space="preserve"> per clone</w:t>
            </w:r>
          </w:p>
        </w:tc>
        <w:tc>
          <w:tcPr>
            <w:tcW w:w="1093" w:type="dxa"/>
          </w:tcPr>
          <w:p w14:paraId="0877681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Effect of host genotype on host associated bacterial communities</w:t>
            </w:r>
          </w:p>
        </w:tc>
        <w:tc>
          <w:tcPr>
            <w:tcW w:w="738" w:type="dxa"/>
          </w:tcPr>
          <w:p w14:paraId="67E1366F"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 and whole animal</w:t>
            </w:r>
          </w:p>
        </w:tc>
        <w:tc>
          <w:tcPr>
            <w:tcW w:w="1113" w:type="dxa"/>
          </w:tcPr>
          <w:p w14:paraId="78775A29" w14:textId="2E341F91"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333333"/>
                <w:sz w:val="18"/>
                <w:szCs w:val="18"/>
                <w:shd w:val="clear" w:color="auto" w:fill="FCFCFC"/>
                <w:lang w:eastAsia="nl-BE"/>
                <w14:ligatures w14:val="none"/>
              </w:rPr>
              <w:t>Greifensee</w:t>
            </w:r>
            <w:proofErr w:type="spellEnd"/>
            <w:r w:rsidRPr="00501ECB">
              <w:rPr>
                <w:rFonts w:ascii="Times New Roman" w:eastAsia="Times New Roman" w:hAnsi="Times New Roman" w:cs="Times New Roman"/>
                <w:color w:val="333333"/>
                <w:sz w:val="18"/>
                <w:szCs w:val="18"/>
                <w:shd w:val="clear" w:color="auto" w:fill="FCFCFC"/>
                <w:lang w:eastAsia="nl-BE"/>
                <w14:ligatures w14:val="none"/>
              </w:rPr>
              <w:t xml:space="preserve"> Switzerland</w:t>
            </w:r>
          </w:p>
        </w:tc>
        <w:tc>
          <w:tcPr>
            <w:tcW w:w="1117" w:type="dxa"/>
          </w:tcPr>
          <w:p w14:paraId="15CADD3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 xml:space="preserve">Laboratory </w:t>
            </w:r>
          </w:p>
        </w:tc>
        <w:tc>
          <w:tcPr>
            <w:tcW w:w="1134" w:type="dxa"/>
          </w:tcPr>
          <w:p w14:paraId="2296613A" w14:textId="60A78543" w:rsidR="00F50D9D" w:rsidRPr="00501ECB" w:rsidRDefault="00C5303C" w:rsidP="006C4573">
            <w:pPr>
              <w:rPr>
                <w:rFonts w:ascii="Times New Roman" w:eastAsia="Times New Roman" w:hAnsi="Times New Roman" w:cs="Times New Roman"/>
                <w:sz w:val="18"/>
                <w:szCs w:val="18"/>
                <w:lang w:eastAsia="nl-BE"/>
                <w14:ligatures w14:val="none"/>
              </w:rPr>
            </w:pPr>
            <w:r>
              <w:rPr>
                <w:rFonts w:ascii="Times New Roman" w:eastAsia="Times New Roman" w:hAnsi="Times New Roman" w:cs="Times New Roman"/>
                <w:color w:val="333333"/>
                <w:sz w:val="18"/>
                <w:szCs w:val="18"/>
                <w:shd w:val="clear" w:color="auto" w:fill="FCFCFC"/>
                <w:lang w:eastAsia="nl-BE"/>
                <w14:ligatures w14:val="none"/>
              </w:rPr>
              <w:t>341</w:t>
            </w:r>
            <w:r w:rsidR="00F50D9D" w:rsidRPr="00501ECB">
              <w:rPr>
                <w:rFonts w:ascii="Times New Roman" w:eastAsia="Times New Roman" w:hAnsi="Times New Roman" w:cs="Times New Roman"/>
                <w:color w:val="333333"/>
                <w:sz w:val="18"/>
                <w:szCs w:val="18"/>
                <w:shd w:val="clear" w:color="auto" w:fill="FCFCFC"/>
                <w:lang w:eastAsia="nl-BE"/>
                <w14:ligatures w14:val="none"/>
              </w:rPr>
              <w:t>F, 806R</w:t>
            </w:r>
          </w:p>
          <w:p w14:paraId="7E1CAF6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850" w:type="dxa"/>
          </w:tcPr>
          <w:p w14:paraId="2D82119B" w14:textId="63EACD7E"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w:t>
            </w:r>
            <w:r w:rsidR="00C06356">
              <w:rPr>
                <w:rFonts w:ascii="Times New Roman" w:eastAsia="Times New Roman" w:hAnsi="Times New Roman" w:cs="Times New Roman"/>
                <w:color w:val="000000"/>
                <w:sz w:val="18"/>
                <w:szCs w:val="18"/>
                <w:lang w:val="en-US" w:eastAsia="nl-BE"/>
                <w14:ligatures w14:val="none"/>
              </w:rPr>
              <w:t>-</w:t>
            </w:r>
            <w:r w:rsidRPr="00501ECB">
              <w:rPr>
                <w:rFonts w:ascii="Times New Roman" w:eastAsia="Times New Roman" w:hAnsi="Times New Roman" w:cs="Times New Roman"/>
                <w:color w:val="000000"/>
                <w:sz w:val="18"/>
                <w:szCs w:val="18"/>
                <w:lang w:val="en-US" w:eastAsia="nl-BE"/>
                <w14:ligatures w14:val="none"/>
              </w:rPr>
              <w:t>V4</w:t>
            </w:r>
          </w:p>
        </w:tc>
        <w:tc>
          <w:tcPr>
            <w:tcW w:w="1200" w:type="dxa"/>
          </w:tcPr>
          <w:p w14:paraId="71EA45A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eastAsia="nl-BE"/>
                <w14:ligatures w14:val="none"/>
              </w:rPr>
              <w:t>Qiagen</w:t>
            </w:r>
            <w:proofErr w:type="spellEnd"/>
            <w:r w:rsidRPr="00501ECB">
              <w:rPr>
                <w:rFonts w:ascii="Times New Roman" w:eastAsia="Times New Roman" w:hAnsi="Times New Roman" w:cs="Times New Roman"/>
                <w:color w:val="000000"/>
                <w:sz w:val="18"/>
                <w:szCs w:val="18"/>
                <w:lang w:eastAsia="nl-BE"/>
                <w14:ligatures w14:val="none"/>
              </w:rPr>
              <w:t xml:space="preserve"> Blood &amp; Tissue kit</w:t>
            </w:r>
          </w:p>
        </w:tc>
        <w:tc>
          <w:tcPr>
            <w:tcW w:w="959" w:type="dxa"/>
          </w:tcPr>
          <w:p w14:paraId="437E98B8" w14:textId="77777777"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eastAsia="nl-BE"/>
                <w14:ligatures w14:val="none"/>
              </w:rPr>
              <w:t>Novogene</w:t>
            </w:r>
            <w:proofErr w:type="spellEnd"/>
            <w:r w:rsidRPr="00501ECB">
              <w:rPr>
                <w:rFonts w:ascii="Times New Roman" w:eastAsia="Times New Roman" w:hAnsi="Times New Roman" w:cs="Times New Roman"/>
                <w:color w:val="212121"/>
                <w:sz w:val="18"/>
                <w:szCs w:val="18"/>
                <w:shd w:val="clear" w:color="auto" w:fill="FFFFFF"/>
                <w:lang w:eastAsia="nl-BE"/>
                <w14:ligatures w14:val="none"/>
              </w:rPr>
              <w:t xml:space="preserve"> UK</w:t>
            </w:r>
          </w:p>
        </w:tc>
        <w:tc>
          <w:tcPr>
            <w:tcW w:w="1404" w:type="dxa"/>
          </w:tcPr>
          <w:p w14:paraId="2C033476" w14:textId="691FB1FA" w:rsidR="00F50D9D" w:rsidRPr="00501ECB" w:rsidRDefault="00243851" w:rsidP="00D059B1">
            <w:pPr>
              <w:spacing w:before="100" w:beforeAutospacing="1" w:after="100" w:afterAutospacing="1"/>
              <w:rPr>
                <w:rFonts w:ascii="Times New Roman" w:eastAsia="Times New Roman" w:hAnsi="Times New Roman" w:cs="Times New Roman"/>
                <w:color w:val="000000"/>
                <w:sz w:val="18"/>
                <w:szCs w:val="18"/>
                <w:lang w:eastAsia="nl-BE"/>
                <w14:ligatures w14:val="none"/>
              </w:rPr>
            </w:pPr>
            <w:proofErr w:type="spellStart"/>
            <w:r>
              <w:rPr>
                <w:rFonts w:ascii="Times New Roman" w:eastAsia="Times New Roman" w:hAnsi="Times New Roman" w:cs="Times New Roman"/>
                <w:color w:val="000000"/>
                <w:sz w:val="18"/>
                <w:szCs w:val="18"/>
                <w:lang w:eastAsia="nl-BE"/>
                <w14:ligatures w14:val="none"/>
              </w:rPr>
              <w:t>Rarefaction</w:t>
            </w:r>
            <w:proofErr w:type="spellEnd"/>
            <w:r>
              <w:rPr>
                <w:rFonts w:ascii="Times New Roman" w:eastAsia="Times New Roman" w:hAnsi="Times New Roman" w:cs="Times New Roman"/>
                <w:color w:val="000000"/>
                <w:sz w:val="18"/>
                <w:szCs w:val="18"/>
                <w:lang w:eastAsia="nl-BE"/>
                <w14:ligatures w14:val="none"/>
              </w:rPr>
              <w:t xml:space="preserve"> </w:t>
            </w:r>
            <w:proofErr w:type="spellStart"/>
            <w:r>
              <w:rPr>
                <w:rFonts w:ascii="Times New Roman" w:eastAsia="Times New Roman" w:hAnsi="Times New Roman" w:cs="Times New Roman"/>
                <w:color w:val="000000"/>
                <w:sz w:val="18"/>
                <w:szCs w:val="18"/>
                <w:lang w:eastAsia="nl-BE"/>
                <w14:ligatures w14:val="none"/>
              </w:rPr>
              <w:t>depth</w:t>
            </w:r>
            <w:proofErr w:type="spellEnd"/>
            <w:r>
              <w:rPr>
                <w:rFonts w:ascii="Times New Roman" w:eastAsia="Times New Roman" w:hAnsi="Times New Roman" w:cs="Times New Roman"/>
                <w:color w:val="000000"/>
                <w:sz w:val="18"/>
                <w:szCs w:val="18"/>
                <w:lang w:eastAsia="nl-BE"/>
                <w14:ligatures w14:val="none"/>
              </w:rPr>
              <w:t xml:space="preserve">: </w:t>
            </w:r>
            <w:r w:rsidRPr="00243851">
              <w:rPr>
                <w:rFonts w:ascii="Times New Roman" w:eastAsia="Times New Roman" w:hAnsi="Times New Roman" w:cs="Times New Roman"/>
                <w:color w:val="000000"/>
                <w:sz w:val="18"/>
                <w:szCs w:val="18"/>
                <w:lang w:eastAsia="nl-BE"/>
                <w14:ligatures w14:val="none"/>
              </w:rPr>
              <w:t xml:space="preserve">55,000 </w:t>
            </w:r>
            <w:proofErr w:type="spellStart"/>
            <w:r w:rsidRPr="00243851">
              <w:rPr>
                <w:rFonts w:ascii="Times New Roman" w:eastAsia="Times New Roman" w:hAnsi="Times New Roman" w:cs="Times New Roman"/>
                <w:color w:val="000000"/>
                <w:sz w:val="18"/>
                <w:szCs w:val="18"/>
                <w:lang w:eastAsia="nl-BE"/>
                <w14:ligatures w14:val="none"/>
              </w:rPr>
              <w:t>reads</w:t>
            </w:r>
            <w:proofErr w:type="spellEnd"/>
          </w:p>
        </w:tc>
        <w:tc>
          <w:tcPr>
            <w:tcW w:w="1275" w:type="dxa"/>
          </w:tcPr>
          <w:p w14:paraId="6AB5934C" w14:textId="5CD32A1B" w:rsidR="00F50D9D" w:rsidRPr="00501ECB" w:rsidRDefault="00F50D9D" w:rsidP="006C4573">
            <w:pPr>
              <w:spacing w:before="100" w:beforeAutospacing="1" w:after="100" w:afterAutospacing="1"/>
              <w:jc w:val="both"/>
              <w:rPr>
                <w:rFonts w:ascii="Times New Roman" w:eastAsia="Times New Roman" w:hAnsi="Times New Roman" w:cs="Times New Roman"/>
                <w:color w:val="000000"/>
                <w:sz w:val="18"/>
                <w:szCs w:val="18"/>
                <w:lang w:eastAsia="nl-BE"/>
                <w14:ligatures w14:val="none"/>
              </w:rPr>
            </w:pPr>
            <w:r w:rsidRPr="00501ECB">
              <w:rPr>
                <w:rFonts w:ascii="Times New Roman" w:eastAsia="Times New Roman" w:hAnsi="Times New Roman" w:cs="Times New Roman"/>
                <w:color w:val="000000"/>
                <w:sz w:val="18"/>
                <w:szCs w:val="18"/>
                <w:lang w:eastAsia="nl-BE"/>
                <w14:ligatures w14:val="none"/>
              </w:rPr>
              <w:t>https://doi.org/10.25678/0005DS</w:t>
            </w:r>
          </w:p>
          <w:p w14:paraId="52E0BD40"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134" w:type="dxa"/>
          </w:tcPr>
          <w:p w14:paraId="12C916A5" w14:textId="40C0B5A8" w:rsidR="00F50D9D" w:rsidRPr="001A1368" w:rsidRDefault="00F50D9D" w:rsidP="006C4573">
            <w:pPr>
              <w:jc w:val="both"/>
              <w:rPr>
                <w:rFonts w:ascii="Times New Roman" w:eastAsia="Times New Roman" w:hAnsi="Times New Roman" w:cs="Times New Roman"/>
                <w:color w:val="000000"/>
                <w:sz w:val="18"/>
                <w:szCs w:val="18"/>
                <w:lang w:val="fr-FR" w:eastAsia="nl-BE"/>
                <w14:ligatures w14:val="none"/>
              </w:rPr>
            </w:pPr>
            <w:r w:rsidRPr="001A1368">
              <w:rPr>
                <w:rFonts w:ascii="Times New Roman" w:eastAsia="Times New Roman" w:hAnsi="Times New Roman" w:cs="Times New Roman"/>
                <w:color w:val="000000"/>
                <w:sz w:val="18"/>
                <w:szCs w:val="18"/>
                <w:lang w:val="fr-FR" w:eastAsia="nl-BE"/>
                <w14:ligatures w14:val="none"/>
              </w:rPr>
              <w:t xml:space="preserve">A </w:t>
            </w:r>
            <w:r w:rsidR="002D53FF">
              <w:rPr>
                <w:rFonts w:ascii="Times New Roman" w:eastAsia="Times New Roman" w:hAnsi="Times New Roman" w:cs="Times New Roman"/>
                <w:color w:val="000000"/>
                <w:sz w:val="18"/>
                <w:szCs w:val="18"/>
                <w:lang w:val="fr-FR" w:eastAsia="nl-BE"/>
                <w14:ligatures w14:val="none"/>
              </w:rPr>
              <w:t>R</w:t>
            </w:r>
            <w:r w:rsidRPr="001A1368">
              <w:rPr>
                <w:rFonts w:ascii="Times New Roman" w:eastAsia="Times New Roman" w:hAnsi="Times New Roman" w:cs="Times New Roman"/>
                <w:color w:val="000000"/>
                <w:sz w:val="18"/>
                <w:szCs w:val="18"/>
                <w:lang w:val="fr-FR" w:eastAsia="nl-BE"/>
                <w14:ligatures w14:val="none"/>
              </w:rPr>
              <w:t>a</w:t>
            </w:r>
            <w:r>
              <w:rPr>
                <w:rFonts w:ascii="Times New Roman" w:eastAsia="Times New Roman" w:hAnsi="Times New Roman" w:cs="Times New Roman"/>
                <w:color w:val="000000"/>
                <w:sz w:val="18"/>
                <w:szCs w:val="18"/>
                <w:lang w:val="fr-FR" w:eastAsia="nl-BE"/>
                <w14:ligatures w14:val="none"/>
              </w:rPr>
              <w:t>j</w:t>
            </w:r>
            <w:r w:rsidRPr="001A1368">
              <w:rPr>
                <w:rFonts w:ascii="Times New Roman" w:eastAsia="Times New Roman" w:hAnsi="Times New Roman" w:cs="Times New Roman"/>
                <w:color w:val="000000"/>
                <w:sz w:val="18"/>
                <w:szCs w:val="18"/>
                <w:lang w:val="fr-FR" w:eastAsia="nl-BE"/>
                <w14:ligatures w14:val="none"/>
              </w:rPr>
              <w:t xml:space="preserve">arajan </w:t>
            </w:r>
            <w:r w:rsidRPr="00F50612">
              <w:rPr>
                <w:rFonts w:ascii="Times New Roman" w:eastAsia="Times New Roman" w:hAnsi="Times New Roman" w:cs="Times New Roman"/>
                <w:i/>
                <w:iCs/>
                <w:color w:val="000000"/>
                <w:sz w:val="18"/>
                <w:szCs w:val="18"/>
                <w:lang w:val="fr-FR" w:eastAsia="nl-BE"/>
                <w14:ligatures w14:val="none"/>
              </w:rPr>
              <w:t>et al</w:t>
            </w:r>
            <w:r>
              <w:rPr>
                <w:rFonts w:ascii="Times New Roman" w:eastAsia="Times New Roman" w:hAnsi="Times New Roman" w:cs="Times New Roman"/>
                <w:color w:val="000000"/>
                <w:sz w:val="18"/>
                <w:szCs w:val="18"/>
                <w:lang w:val="fr-FR" w:eastAsia="nl-BE"/>
                <w14:ligatures w14:val="none"/>
              </w:rPr>
              <w:t>.,</w:t>
            </w:r>
            <w:r w:rsidRPr="001A1368">
              <w:rPr>
                <w:rFonts w:ascii="Times New Roman" w:eastAsia="Times New Roman" w:hAnsi="Times New Roman" w:cs="Times New Roman"/>
                <w:color w:val="000000"/>
                <w:sz w:val="18"/>
                <w:szCs w:val="18"/>
                <w:lang w:val="fr-FR" w:eastAsia="nl-BE"/>
                <w14:ligatures w14:val="none"/>
              </w:rPr>
              <w:t xml:space="preserve"> 2023 </w:t>
            </w:r>
            <w:r>
              <w:rPr>
                <w:rFonts w:ascii="Times New Roman" w:eastAsia="Times New Roman" w:hAnsi="Times New Roman" w:cs="Times New Roman"/>
                <w:color w:val="000000"/>
                <w:sz w:val="18"/>
                <w:szCs w:val="18"/>
                <w:lang w:val="en-US" w:eastAsia="nl-BE"/>
                <w14:ligatures w14:val="none"/>
              </w:rPr>
              <w:fldChar w:fldCharType="begin"/>
            </w:r>
            <w:r>
              <w:rPr>
                <w:rFonts w:ascii="Times New Roman" w:eastAsia="Times New Roman" w:hAnsi="Times New Roman" w:cs="Times New Roman"/>
                <w:color w:val="000000"/>
                <w:sz w:val="18"/>
                <w:szCs w:val="18"/>
                <w:lang w:val="fr-FR" w:eastAsia="nl-BE"/>
                <w14:ligatures w14:val="none"/>
              </w:rPr>
              <w:instrText xml:space="preserve"> ADDIN ZOTERO_ITEM CSL_CITATION {"citationID":"5q77KJsR","properties":{"formattedCitation":"[33]","plainCitation":"[33]","noteIndex":0},"citationItems":[{"id":707,"uris":["http://zotero.org/users/12047481/items/33I7SPAC"],"itemData":{"id":707,"type":"article-journal","abstract":"Host genotype may shape host-associated bacterial communities (commonly referred to as microbiomes). We sought to determine (a) whether bacterial communities vary among host genotypes in the water flea Daphnia galeata and (b) if this difference is driven by the genetic distance between host genotypes, by using D. galeata genotypes hatched from sediments of different time periods. We used 16S amplicon sequencing to profile the gut and body bacterial communities of eight D. galeata genotypes hatched from resting eggs; these were isolated from two distinct sediment layers (dating to 1989 and 2009) of a single sediment core of the lake Greifensee, and maintained in a common garden in laboratory cultures for 5 years. In general, bacterial community composition varied in both the Daphnia guts and bodies; but not between genotypes from different sediment layers. Specifically, genetic distances between host genotypes did not correlate with beta diversity of bacterial communities in Daphnia guts and bodies. Our results indicate that Daphnia bacterial community structure is to some extent determined by a host genetic component, but that genetic distances between hosts do not correlate with diverging bacterial communities.","container-title":"Microbial Ecology","DOI":"10.1007/s00248-022-02011-x","ISSN":"0095-3628","issue":"4","journalAbbreviation":"Microb Ecol","note":"PMID: 35486140\nPMCID: PMC10167167","page":"1578-1589","source":"PubMed Central","title":"Host-Associated Bacterial Communities Vary Between Daphnia galeata Genotypes but Not by Host Genetic Distance","volume":"85","author":[{"family":"Rajarajan","given":"Amruta"},{"family":"Wolinska","given":"Justyna"},{"family":"Walser","given":"Jean-Claude"},{"family":"Dennis","given":"Stuart R."},{"family":"Spaak","given":"Piet"}],"issued":{"date-parts":[["2023"]]}}}],"schema":"https://github.com/citation-style-language/schema/raw/master/csl-citation.json"} </w:instrText>
            </w:r>
            <w:r>
              <w:rPr>
                <w:rFonts w:ascii="Times New Roman" w:eastAsia="Times New Roman" w:hAnsi="Times New Roman" w:cs="Times New Roman"/>
                <w:color w:val="000000"/>
                <w:sz w:val="18"/>
                <w:szCs w:val="18"/>
                <w:lang w:val="en-US" w:eastAsia="nl-BE"/>
                <w14:ligatures w14:val="none"/>
              </w:rPr>
              <w:fldChar w:fldCharType="separate"/>
            </w:r>
            <w:r w:rsidRPr="00B40F84">
              <w:rPr>
                <w:rFonts w:ascii="Times New Roman" w:hAnsi="Times New Roman" w:cs="Times New Roman"/>
                <w:sz w:val="18"/>
              </w:rPr>
              <w:t>[33]</w:t>
            </w:r>
            <w:r>
              <w:rPr>
                <w:rFonts w:ascii="Times New Roman" w:eastAsia="Times New Roman" w:hAnsi="Times New Roman" w:cs="Times New Roman"/>
                <w:color w:val="000000"/>
                <w:sz w:val="18"/>
                <w:szCs w:val="18"/>
                <w:lang w:val="en-US" w:eastAsia="nl-BE"/>
                <w14:ligatures w14:val="none"/>
              </w:rPr>
              <w:fldChar w:fldCharType="end"/>
            </w:r>
          </w:p>
        </w:tc>
        <w:tc>
          <w:tcPr>
            <w:tcW w:w="1116" w:type="dxa"/>
          </w:tcPr>
          <w:p w14:paraId="47767BF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36368C70" w14:textId="77777777" w:rsidTr="00F50D9D">
        <w:tc>
          <w:tcPr>
            <w:tcW w:w="388" w:type="dxa"/>
          </w:tcPr>
          <w:p w14:paraId="4DBB4CB9"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33.</w:t>
            </w:r>
          </w:p>
        </w:tc>
        <w:tc>
          <w:tcPr>
            <w:tcW w:w="996" w:type="dxa"/>
          </w:tcPr>
          <w:p w14:paraId="257B2981"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00F3FA9B"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r w:rsidRPr="00501ECB">
              <w:rPr>
                <w:rFonts w:ascii="Times New Roman" w:eastAsia="Times New Roman" w:hAnsi="Times New Roman" w:cs="Times New Roman"/>
                <w:color w:val="000000"/>
                <w:sz w:val="18"/>
                <w:szCs w:val="18"/>
                <w:lang w:val="es-ES" w:eastAsia="nl-BE"/>
                <w14:ligatures w14:val="none"/>
              </w:rPr>
              <w:t>C3, B, D, H</w:t>
            </w:r>
          </w:p>
        </w:tc>
        <w:tc>
          <w:tcPr>
            <w:tcW w:w="1093" w:type="dxa"/>
          </w:tcPr>
          <w:p w14:paraId="2AE1BD63"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t>Effect</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of</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pesticide</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exposure</w:t>
            </w:r>
            <w:proofErr w:type="spellEnd"/>
          </w:p>
        </w:tc>
        <w:tc>
          <w:tcPr>
            <w:tcW w:w="738" w:type="dxa"/>
          </w:tcPr>
          <w:p w14:paraId="312B57D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Whole animal</w:t>
            </w:r>
          </w:p>
        </w:tc>
        <w:tc>
          <w:tcPr>
            <w:tcW w:w="1113" w:type="dxa"/>
          </w:tcPr>
          <w:p w14:paraId="2145383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Belgium</w:t>
            </w:r>
          </w:p>
        </w:tc>
        <w:tc>
          <w:tcPr>
            <w:tcW w:w="1117" w:type="dxa"/>
          </w:tcPr>
          <w:p w14:paraId="7789532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6A486845"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F9-R19</w:t>
            </w:r>
          </w:p>
        </w:tc>
        <w:tc>
          <w:tcPr>
            <w:tcW w:w="850" w:type="dxa"/>
          </w:tcPr>
          <w:p w14:paraId="76D4FC3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V3-V4</w:t>
            </w:r>
          </w:p>
        </w:tc>
        <w:tc>
          <w:tcPr>
            <w:tcW w:w="1200" w:type="dxa"/>
          </w:tcPr>
          <w:p w14:paraId="63DC284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NucleoSpin</w:t>
            </w:r>
            <w:proofErr w:type="spellEnd"/>
            <w:r w:rsidRPr="00501ECB">
              <w:rPr>
                <w:rFonts w:ascii="Times New Roman" w:eastAsia="Times New Roman" w:hAnsi="Times New Roman" w:cs="Times New Roman"/>
                <w:color w:val="000000"/>
                <w:sz w:val="18"/>
                <w:szCs w:val="18"/>
                <w:lang w:val="en-US" w:eastAsia="nl-BE"/>
                <w14:ligatures w14:val="none"/>
              </w:rPr>
              <w:t xml:space="preserve">  Tissue Kit </w:t>
            </w:r>
            <w:proofErr w:type="spellStart"/>
            <w:r w:rsidRPr="00501ECB">
              <w:rPr>
                <w:rFonts w:ascii="Times New Roman" w:eastAsia="Times New Roman" w:hAnsi="Times New Roman" w:cs="Times New Roman"/>
                <w:color w:val="000000"/>
                <w:sz w:val="18"/>
                <w:szCs w:val="18"/>
                <w:lang w:val="en-US" w:eastAsia="nl-BE"/>
                <w14:ligatures w14:val="none"/>
              </w:rPr>
              <w:t>MacheryNagel</w:t>
            </w:r>
            <w:proofErr w:type="spellEnd"/>
          </w:p>
        </w:tc>
        <w:tc>
          <w:tcPr>
            <w:tcW w:w="959" w:type="dxa"/>
          </w:tcPr>
          <w:p w14:paraId="1001765F" w14:textId="3EAB238A"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V3 reagent kit (600-cycles)</w:t>
            </w:r>
            <w:r>
              <w:rPr>
                <w:rFonts w:ascii="Times New Roman" w:eastAsia="Times New Roman" w:hAnsi="Times New Roman" w:cs="Times New Roman"/>
                <w:color w:val="212121"/>
                <w:sz w:val="18"/>
                <w:szCs w:val="18"/>
                <w:shd w:val="clear" w:color="auto" w:fill="FFFFFF"/>
                <w:lang w:val="en-US" w:eastAsia="nl-BE"/>
                <w14:ligatures w14:val="none"/>
              </w:rPr>
              <w:t>,</w:t>
            </w: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platform</w:t>
            </w:r>
          </w:p>
        </w:tc>
        <w:tc>
          <w:tcPr>
            <w:tcW w:w="1404" w:type="dxa"/>
          </w:tcPr>
          <w:p w14:paraId="3476F784"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275" w:type="dxa"/>
          </w:tcPr>
          <w:p w14:paraId="2326E0CC" w14:textId="120066DD"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Unpublished study from the lab</w:t>
            </w:r>
          </w:p>
        </w:tc>
        <w:tc>
          <w:tcPr>
            <w:tcW w:w="1134" w:type="dxa"/>
          </w:tcPr>
          <w:p w14:paraId="258AB42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16" w:type="dxa"/>
          </w:tcPr>
          <w:p w14:paraId="552CE41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r w:rsidR="00F50D9D" w:rsidRPr="00501ECB" w14:paraId="70835558" w14:textId="77777777" w:rsidTr="00F50D9D">
        <w:tc>
          <w:tcPr>
            <w:tcW w:w="388" w:type="dxa"/>
          </w:tcPr>
          <w:p w14:paraId="65B66EDD"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34.</w:t>
            </w:r>
          </w:p>
        </w:tc>
        <w:tc>
          <w:tcPr>
            <w:tcW w:w="996" w:type="dxa"/>
          </w:tcPr>
          <w:p w14:paraId="22C80DBF" w14:textId="77777777" w:rsidR="00F50D9D" w:rsidRPr="00501ECB" w:rsidRDefault="00F50D9D" w:rsidP="006C4573">
            <w:pPr>
              <w:jc w:val="both"/>
              <w:rPr>
                <w:rFonts w:ascii="Times New Roman" w:eastAsia="Times New Roman" w:hAnsi="Times New Roman" w:cs="Times New Roman"/>
                <w:i/>
                <w:iCs/>
                <w:color w:val="000000"/>
                <w:sz w:val="18"/>
                <w:szCs w:val="18"/>
                <w:lang w:val="en-US" w:eastAsia="nl-BE"/>
                <w14:ligatures w14:val="none"/>
              </w:rPr>
            </w:pPr>
            <w:r w:rsidRPr="00501ECB">
              <w:rPr>
                <w:rFonts w:ascii="Times New Roman" w:eastAsia="Times New Roman" w:hAnsi="Times New Roman" w:cs="Times New Roman"/>
                <w:i/>
                <w:iCs/>
                <w:color w:val="000000"/>
                <w:sz w:val="18"/>
                <w:szCs w:val="18"/>
                <w:lang w:val="en-US" w:eastAsia="nl-BE"/>
                <w14:ligatures w14:val="none"/>
              </w:rPr>
              <w:t>D. magna</w:t>
            </w:r>
          </w:p>
        </w:tc>
        <w:tc>
          <w:tcPr>
            <w:tcW w:w="1184" w:type="dxa"/>
          </w:tcPr>
          <w:p w14:paraId="6FC41CB8"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t>UKw</w:t>
            </w:r>
            <w:proofErr w:type="spellEnd"/>
          </w:p>
        </w:tc>
        <w:tc>
          <w:tcPr>
            <w:tcW w:w="1093" w:type="dxa"/>
          </w:tcPr>
          <w:p w14:paraId="518EB1DC" w14:textId="77777777" w:rsidR="00F50D9D" w:rsidRPr="00501ECB" w:rsidRDefault="00F50D9D" w:rsidP="006C4573">
            <w:pPr>
              <w:jc w:val="both"/>
              <w:rPr>
                <w:rFonts w:ascii="Times New Roman" w:eastAsia="Times New Roman" w:hAnsi="Times New Roman" w:cs="Times New Roman"/>
                <w:color w:val="000000"/>
                <w:sz w:val="18"/>
                <w:szCs w:val="18"/>
                <w:lang w:val="es-ES" w:eastAsia="nl-BE"/>
                <w14:ligatures w14:val="none"/>
              </w:rPr>
            </w:pPr>
            <w:proofErr w:type="spellStart"/>
            <w:r w:rsidRPr="00501ECB">
              <w:rPr>
                <w:rFonts w:ascii="Times New Roman" w:eastAsia="Times New Roman" w:hAnsi="Times New Roman" w:cs="Times New Roman"/>
                <w:color w:val="000000"/>
                <w:sz w:val="18"/>
                <w:szCs w:val="18"/>
                <w:lang w:val="es-ES" w:eastAsia="nl-BE"/>
                <w14:ligatures w14:val="none"/>
              </w:rPr>
              <w:t>Effect</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of</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pesticide</w:t>
            </w:r>
            <w:proofErr w:type="spellEnd"/>
            <w:r w:rsidRPr="00501ECB">
              <w:rPr>
                <w:rFonts w:ascii="Times New Roman" w:eastAsia="Times New Roman" w:hAnsi="Times New Roman" w:cs="Times New Roman"/>
                <w:color w:val="000000"/>
                <w:sz w:val="18"/>
                <w:szCs w:val="18"/>
                <w:lang w:val="es-ES" w:eastAsia="nl-BE"/>
                <w14:ligatures w14:val="none"/>
              </w:rPr>
              <w:t xml:space="preserve"> </w:t>
            </w:r>
            <w:proofErr w:type="spellStart"/>
            <w:r w:rsidRPr="00501ECB">
              <w:rPr>
                <w:rFonts w:ascii="Times New Roman" w:eastAsia="Times New Roman" w:hAnsi="Times New Roman" w:cs="Times New Roman"/>
                <w:color w:val="000000"/>
                <w:sz w:val="18"/>
                <w:szCs w:val="18"/>
                <w:lang w:val="es-ES" w:eastAsia="nl-BE"/>
                <w14:ligatures w14:val="none"/>
              </w:rPr>
              <w:t>tolerance</w:t>
            </w:r>
            <w:proofErr w:type="spellEnd"/>
          </w:p>
        </w:tc>
        <w:tc>
          <w:tcPr>
            <w:tcW w:w="738" w:type="dxa"/>
          </w:tcPr>
          <w:p w14:paraId="6A4A17DE"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Gut</w:t>
            </w:r>
          </w:p>
        </w:tc>
        <w:tc>
          <w:tcPr>
            <w:tcW w:w="1113" w:type="dxa"/>
          </w:tcPr>
          <w:p w14:paraId="23EB9D0A"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Belgium</w:t>
            </w:r>
          </w:p>
        </w:tc>
        <w:tc>
          <w:tcPr>
            <w:tcW w:w="1117" w:type="dxa"/>
          </w:tcPr>
          <w:p w14:paraId="20F45AC2"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Laboratory</w:t>
            </w:r>
          </w:p>
        </w:tc>
        <w:tc>
          <w:tcPr>
            <w:tcW w:w="1134" w:type="dxa"/>
          </w:tcPr>
          <w:p w14:paraId="594A7AF3"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F9-R19</w:t>
            </w:r>
          </w:p>
        </w:tc>
        <w:tc>
          <w:tcPr>
            <w:tcW w:w="850" w:type="dxa"/>
          </w:tcPr>
          <w:p w14:paraId="195B982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V3-V4</w:t>
            </w:r>
          </w:p>
        </w:tc>
        <w:tc>
          <w:tcPr>
            <w:tcW w:w="1200" w:type="dxa"/>
          </w:tcPr>
          <w:p w14:paraId="69E86B14"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roofErr w:type="spellStart"/>
            <w:r w:rsidRPr="00501ECB">
              <w:rPr>
                <w:rFonts w:ascii="Times New Roman" w:eastAsia="Times New Roman" w:hAnsi="Times New Roman" w:cs="Times New Roman"/>
                <w:color w:val="000000"/>
                <w:sz w:val="18"/>
                <w:szCs w:val="18"/>
                <w:lang w:val="en-US" w:eastAsia="nl-BE"/>
                <w14:ligatures w14:val="none"/>
              </w:rPr>
              <w:t>NucleoSpin</w:t>
            </w:r>
            <w:proofErr w:type="spellEnd"/>
            <w:r w:rsidRPr="00501ECB">
              <w:rPr>
                <w:rFonts w:ascii="Times New Roman" w:eastAsia="Times New Roman" w:hAnsi="Times New Roman" w:cs="Times New Roman"/>
                <w:color w:val="000000"/>
                <w:sz w:val="18"/>
                <w:szCs w:val="18"/>
                <w:lang w:val="en-US" w:eastAsia="nl-BE"/>
                <w14:ligatures w14:val="none"/>
              </w:rPr>
              <w:t xml:space="preserve">  Tissue Kit </w:t>
            </w:r>
            <w:proofErr w:type="spellStart"/>
            <w:r w:rsidRPr="00501ECB">
              <w:rPr>
                <w:rFonts w:ascii="Times New Roman" w:eastAsia="Times New Roman" w:hAnsi="Times New Roman" w:cs="Times New Roman"/>
                <w:color w:val="000000"/>
                <w:sz w:val="18"/>
                <w:szCs w:val="18"/>
                <w:lang w:val="en-US" w:eastAsia="nl-BE"/>
                <w14:ligatures w14:val="none"/>
              </w:rPr>
              <w:t>MacheryNagel</w:t>
            </w:r>
            <w:proofErr w:type="spellEnd"/>
          </w:p>
        </w:tc>
        <w:tc>
          <w:tcPr>
            <w:tcW w:w="959" w:type="dxa"/>
          </w:tcPr>
          <w:p w14:paraId="1460BB7B" w14:textId="1ACBAE1F" w:rsidR="00F50D9D" w:rsidRPr="00501ECB" w:rsidRDefault="00F50D9D" w:rsidP="006C4573">
            <w:pPr>
              <w:rPr>
                <w:rFonts w:ascii="Times New Roman" w:eastAsia="Times New Roman" w:hAnsi="Times New Roman" w:cs="Times New Roman"/>
                <w:color w:val="212121"/>
                <w:sz w:val="18"/>
                <w:szCs w:val="18"/>
                <w:shd w:val="clear" w:color="auto" w:fill="FFFFFF"/>
                <w:lang w:val="en-US" w:eastAsia="nl-BE"/>
                <w14:ligatures w14:val="none"/>
              </w:rPr>
            </w:pP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V3 reagent kit (600-cycles)</w:t>
            </w:r>
            <w:r>
              <w:rPr>
                <w:rFonts w:ascii="Times New Roman" w:eastAsia="Times New Roman" w:hAnsi="Times New Roman" w:cs="Times New Roman"/>
                <w:color w:val="212121"/>
                <w:sz w:val="18"/>
                <w:szCs w:val="18"/>
                <w:shd w:val="clear" w:color="auto" w:fill="FFFFFF"/>
                <w:lang w:val="en-US" w:eastAsia="nl-BE"/>
                <w14:ligatures w14:val="none"/>
              </w:rPr>
              <w:t>2,</w:t>
            </w:r>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Illumina </w:t>
            </w:r>
            <w:proofErr w:type="spellStart"/>
            <w:r w:rsidRPr="00501ECB">
              <w:rPr>
                <w:rFonts w:ascii="Times New Roman" w:eastAsia="Times New Roman" w:hAnsi="Times New Roman" w:cs="Times New Roman"/>
                <w:color w:val="212121"/>
                <w:sz w:val="18"/>
                <w:szCs w:val="18"/>
                <w:shd w:val="clear" w:color="auto" w:fill="FFFFFF"/>
                <w:lang w:val="en-US" w:eastAsia="nl-BE"/>
                <w14:ligatures w14:val="none"/>
              </w:rPr>
              <w:t>MiSeq</w:t>
            </w:r>
            <w:proofErr w:type="spellEnd"/>
            <w:r w:rsidRPr="00501ECB">
              <w:rPr>
                <w:rFonts w:ascii="Times New Roman" w:eastAsia="Times New Roman" w:hAnsi="Times New Roman" w:cs="Times New Roman"/>
                <w:color w:val="212121"/>
                <w:sz w:val="18"/>
                <w:szCs w:val="18"/>
                <w:shd w:val="clear" w:color="auto" w:fill="FFFFFF"/>
                <w:lang w:val="en-US" w:eastAsia="nl-BE"/>
                <w14:ligatures w14:val="none"/>
              </w:rPr>
              <w:t xml:space="preserve"> </w:t>
            </w:r>
            <w:r w:rsidRPr="00501ECB">
              <w:rPr>
                <w:rFonts w:ascii="Times New Roman" w:eastAsia="Times New Roman" w:hAnsi="Times New Roman" w:cs="Times New Roman"/>
                <w:color w:val="212121"/>
                <w:sz w:val="18"/>
                <w:szCs w:val="18"/>
                <w:shd w:val="clear" w:color="auto" w:fill="FFFFFF"/>
                <w:lang w:val="en-US" w:eastAsia="nl-BE"/>
                <w14:ligatures w14:val="none"/>
              </w:rPr>
              <w:lastRenderedPageBreak/>
              <w:t>platform</w:t>
            </w:r>
          </w:p>
        </w:tc>
        <w:tc>
          <w:tcPr>
            <w:tcW w:w="1404" w:type="dxa"/>
          </w:tcPr>
          <w:p w14:paraId="190B5352" w14:textId="77777777"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p>
        </w:tc>
        <w:tc>
          <w:tcPr>
            <w:tcW w:w="1275" w:type="dxa"/>
          </w:tcPr>
          <w:p w14:paraId="5E050FA9" w14:textId="53024484" w:rsidR="00F50D9D" w:rsidRPr="00501ECB" w:rsidRDefault="00F50D9D" w:rsidP="006C4573">
            <w:pPr>
              <w:spacing w:before="100" w:beforeAutospacing="1" w:afterAutospacing="1"/>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000000"/>
                <w:sz w:val="18"/>
                <w:szCs w:val="18"/>
                <w:lang w:val="en-US" w:eastAsia="nl-BE"/>
                <w14:ligatures w14:val="none"/>
              </w:rPr>
              <w:t>Unpublished study from the lab</w:t>
            </w:r>
          </w:p>
        </w:tc>
        <w:tc>
          <w:tcPr>
            <w:tcW w:w="1134" w:type="dxa"/>
          </w:tcPr>
          <w:p w14:paraId="0336A628"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p>
        </w:tc>
        <w:tc>
          <w:tcPr>
            <w:tcW w:w="1116" w:type="dxa"/>
          </w:tcPr>
          <w:p w14:paraId="62910540" w14:textId="77777777" w:rsidR="00F50D9D" w:rsidRPr="00501ECB" w:rsidRDefault="00F50D9D" w:rsidP="006C4573">
            <w:pPr>
              <w:jc w:val="both"/>
              <w:rPr>
                <w:rFonts w:ascii="Times New Roman" w:eastAsia="Times New Roman" w:hAnsi="Times New Roman" w:cs="Times New Roman"/>
                <w:color w:val="000000"/>
                <w:sz w:val="18"/>
                <w:szCs w:val="18"/>
                <w:lang w:val="en-US" w:eastAsia="nl-BE"/>
                <w14:ligatures w14:val="none"/>
              </w:rPr>
            </w:pPr>
            <w:r w:rsidRPr="00501ECB">
              <w:rPr>
                <w:rFonts w:ascii="Times New Roman" w:eastAsia="Times New Roman" w:hAnsi="Times New Roman" w:cs="Times New Roman"/>
                <w:color w:val="C00000"/>
                <w:sz w:val="18"/>
                <w:szCs w:val="18"/>
                <w:lang w:val="en-US" w:eastAsia="nl-BE"/>
                <w14:ligatures w14:val="none"/>
              </w:rPr>
              <w:t>Not selected</w:t>
            </w:r>
          </w:p>
        </w:tc>
      </w:tr>
    </w:tbl>
    <w:p w14:paraId="2217C14B" w14:textId="77777777" w:rsidR="00501ECB" w:rsidRDefault="00501ECB">
      <w:pPr>
        <w:rPr>
          <w:rFonts w:ascii="Times New Roman" w:hAnsi="Times New Roman" w:cs="Times New Roman"/>
          <w:b/>
          <w:bCs/>
          <w:lang w:val="en-US"/>
        </w:rPr>
      </w:pPr>
    </w:p>
    <w:p w14:paraId="09C767F1" w14:textId="44AC2271" w:rsidR="006C4573" w:rsidRDefault="006C4573">
      <w:pPr>
        <w:rPr>
          <w:rFonts w:ascii="Times New Roman" w:hAnsi="Times New Roman" w:cs="Times New Roman"/>
          <w:b/>
          <w:bCs/>
          <w:lang w:val="en-US"/>
        </w:rPr>
      </w:pPr>
      <w:r w:rsidRPr="009073A0">
        <w:rPr>
          <w:rFonts w:ascii="Times New Roman" w:hAnsi="Times New Roman" w:cs="Times New Roman"/>
          <w:noProof/>
          <w:sz w:val="20"/>
          <w:szCs w:val="20"/>
        </w:rPr>
        <w:lastRenderedPageBreak/>
        <w:drawing>
          <wp:inline distT="0" distB="0" distL="0" distR="0" wp14:anchorId="1AB22DD5" wp14:editId="248E2801">
            <wp:extent cx="2203024" cy="5549932"/>
            <wp:effectExtent l="0" t="0" r="0" b="0"/>
            <wp:docPr id="588998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998211"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217818" cy="5587203"/>
                    </a:xfrm>
                    <a:prstGeom prst="rect">
                      <a:avLst/>
                    </a:prstGeom>
                    <a:noFill/>
                  </pic:spPr>
                </pic:pic>
              </a:graphicData>
            </a:graphic>
          </wp:inline>
        </w:drawing>
      </w:r>
    </w:p>
    <w:p w14:paraId="4CBF9A5A" w14:textId="583FD7AC" w:rsidR="006C4573" w:rsidRDefault="006C4573" w:rsidP="00F50612">
      <w:pPr>
        <w:spacing w:line="480" w:lineRule="auto"/>
        <w:rPr>
          <w:rFonts w:ascii="Times New Roman" w:hAnsi="Times New Roman" w:cs="Times New Roman"/>
          <w:sz w:val="20"/>
          <w:szCs w:val="20"/>
          <w:lang w:val="en-US"/>
        </w:rPr>
      </w:pPr>
      <w:bookmarkStart w:id="0" w:name="_Hlk174459996"/>
      <w:r w:rsidRPr="006C4573">
        <w:rPr>
          <w:rFonts w:ascii="Times New Roman" w:hAnsi="Times New Roman" w:cs="Times New Roman"/>
          <w:sz w:val="20"/>
          <w:szCs w:val="20"/>
          <w:lang w:val="en-US"/>
        </w:rPr>
        <w:lastRenderedPageBreak/>
        <w:t xml:space="preserve">Figure </w:t>
      </w:r>
      <w:r w:rsidR="001A40B0">
        <w:rPr>
          <w:rFonts w:ascii="Times New Roman" w:hAnsi="Times New Roman" w:cs="Times New Roman"/>
          <w:sz w:val="20"/>
          <w:szCs w:val="20"/>
          <w:lang w:val="en-US"/>
        </w:rPr>
        <w:t>S</w:t>
      </w:r>
      <w:r w:rsidRPr="006C4573">
        <w:rPr>
          <w:rFonts w:ascii="Times New Roman" w:hAnsi="Times New Roman" w:cs="Times New Roman"/>
          <w:sz w:val="20"/>
          <w:szCs w:val="20"/>
          <w:lang w:val="en-US"/>
        </w:rPr>
        <w:t xml:space="preserve">1: Schematic diagram of </w:t>
      </w:r>
      <w:r w:rsidRPr="006C4573">
        <w:rPr>
          <w:rFonts w:ascii="Times New Roman" w:eastAsia="Calibri" w:hAnsi="Times New Roman" w:cs="Times New Roman"/>
          <w:sz w:val="20"/>
          <w:szCs w:val="20"/>
          <w:lang w:val="en-US"/>
        </w:rPr>
        <w:t>the workflow</w:t>
      </w:r>
      <w:r w:rsidRPr="006C4573">
        <w:rPr>
          <w:rFonts w:ascii="Times New Roman" w:hAnsi="Times New Roman" w:cs="Times New Roman"/>
          <w:sz w:val="20"/>
          <w:szCs w:val="20"/>
          <w:lang w:val="en-US"/>
        </w:rPr>
        <w:t xml:space="preserve"> of </w:t>
      </w:r>
      <w:r w:rsidRPr="006C4573">
        <w:rPr>
          <w:rFonts w:ascii="Times New Roman" w:eastAsia="Calibri" w:hAnsi="Times New Roman" w:cs="Times New Roman"/>
          <w:sz w:val="20"/>
          <w:szCs w:val="20"/>
          <w:lang w:val="en-US"/>
        </w:rPr>
        <w:t xml:space="preserve">the </w:t>
      </w:r>
      <w:r w:rsidRPr="006C4573">
        <w:rPr>
          <w:rFonts w:ascii="Times New Roman" w:hAnsi="Times New Roman" w:cs="Times New Roman"/>
          <w:sz w:val="20"/>
          <w:szCs w:val="20"/>
          <w:lang w:val="en-US"/>
        </w:rPr>
        <w:t xml:space="preserve">literature search and screening criteria for </w:t>
      </w:r>
      <w:r w:rsidRPr="006C4573">
        <w:rPr>
          <w:rFonts w:ascii="Times New Roman" w:eastAsia="Calibri" w:hAnsi="Times New Roman" w:cs="Times New Roman"/>
          <w:sz w:val="20"/>
          <w:szCs w:val="20"/>
          <w:lang w:val="en-US"/>
        </w:rPr>
        <w:t xml:space="preserve">the </w:t>
      </w:r>
      <w:r w:rsidRPr="006C4573">
        <w:rPr>
          <w:rFonts w:ascii="Times New Roman" w:hAnsi="Times New Roman" w:cs="Times New Roman"/>
          <w:sz w:val="20"/>
          <w:szCs w:val="20"/>
          <w:lang w:val="en-US"/>
        </w:rPr>
        <w:t xml:space="preserve">selection of </w:t>
      </w:r>
      <w:bookmarkStart w:id="1" w:name="_Hlk183096269"/>
      <w:r w:rsidRPr="006C4573">
        <w:rPr>
          <w:rFonts w:ascii="Times New Roman" w:hAnsi="Times New Roman" w:cs="Times New Roman"/>
          <w:i/>
          <w:iCs/>
          <w:sz w:val="20"/>
          <w:szCs w:val="20"/>
          <w:lang w:val="en-US"/>
        </w:rPr>
        <w:t>Daphnia</w:t>
      </w:r>
      <w:r w:rsidRPr="006C4573">
        <w:rPr>
          <w:rFonts w:ascii="Times New Roman" w:hAnsi="Times New Roman" w:cs="Times New Roman"/>
          <w:sz w:val="20"/>
          <w:szCs w:val="20"/>
          <w:lang w:val="en-US"/>
        </w:rPr>
        <w:t xml:space="preserve"> microbiome </w:t>
      </w:r>
      <w:bookmarkEnd w:id="1"/>
      <w:r w:rsidRPr="006C4573">
        <w:rPr>
          <w:rFonts w:ascii="Times New Roman" w:hAnsi="Times New Roman" w:cs="Times New Roman"/>
          <w:sz w:val="20"/>
          <w:szCs w:val="20"/>
          <w:lang w:val="en-US"/>
        </w:rPr>
        <w:t>studies for our analysis on core microbiome (adaptation of the PRISMA diagram, based on Moher et al</w:t>
      </w:r>
      <w:r w:rsidRPr="006C4573">
        <w:rPr>
          <w:rFonts w:ascii="Times New Roman" w:eastAsia="Calibri" w:hAnsi="Times New Roman" w:cs="Times New Roman"/>
          <w:sz w:val="20"/>
          <w:szCs w:val="20"/>
          <w:lang w:val="en-US"/>
        </w:rPr>
        <w:t>.</w:t>
      </w:r>
      <w:r w:rsidRPr="006C4573">
        <w:rPr>
          <w:rFonts w:ascii="Times New Roman" w:hAnsi="Times New Roman" w:cs="Times New Roman"/>
          <w:sz w:val="20"/>
          <w:szCs w:val="20"/>
          <w:lang w:val="en-US"/>
        </w:rPr>
        <w:t xml:space="preserve"> </w:t>
      </w:r>
      <w:r w:rsidRPr="006C4573">
        <w:rPr>
          <w:rFonts w:ascii="Times New Roman" w:hAnsi="Times New Roman" w:cs="Times New Roman"/>
          <w:sz w:val="20"/>
          <w:szCs w:val="20"/>
          <w:lang w:val="en-US"/>
        </w:rPr>
        <w:fldChar w:fldCharType="begin"/>
      </w:r>
      <w:r w:rsidR="00B40F84">
        <w:rPr>
          <w:rFonts w:ascii="Times New Roman" w:hAnsi="Times New Roman" w:cs="Times New Roman"/>
          <w:sz w:val="20"/>
          <w:szCs w:val="20"/>
          <w:lang w:val="en-US"/>
        </w:rPr>
        <w:instrText xml:space="preserve"> ADDIN ZOTERO_ITEM CSL_CITATION {"citationID":"7ouj6wl3","properties":{"formattedCitation":"[34]","plainCitation":"[34]","noteIndex":0},"citationItems":[{"id":413,"uris":["http://zotero.org/users/12047481/items/HX6LEF8C"],"itemData":{"id":413,"type":"article-journal","container-title":"PLoS medicine","DOI":"10.1371/journal.pmed.1000097","ISSN":"1549-1676","issue":"7","journalAbbreviation":"PLoS Med","language":"eng","note":"PMID: 19621072\nPMCID: PMC2707599","page":"e1000097","source":"PubMed","title":"Preferred reporting items for systematic reviews and meta-analyses: the PRISMA statement","title-short":"Preferred reporting items for systematic reviews and meta-analyses","volume":"6","author":[{"family":"Moher","given":"David"},{"family":"Liberati","given":"Alessandro"},{"family":"Tetzlaff","given":"Jennifer"},{"family":"Altman","given":"Douglas G."},{"literal":"PRISMA Group"}],"issued":{"date-parts":[["2009",7,21]]}}}],"schema":"https://github.com/citation-style-language/schema/raw/master/csl-citation.json"} </w:instrText>
      </w:r>
      <w:r w:rsidRPr="006C4573">
        <w:rPr>
          <w:rFonts w:ascii="Times New Roman" w:hAnsi="Times New Roman" w:cs="Times New Roman"/>
          <w:sz w:val="20"/>
          <w:szCs w:val="20"/>
          <w:lang w:val="en-US"/>
        </w:rPr>
        <w:fldChar w:fldCharType="separate"/>
      </w:r>
      <w:r w:rsidR="00B40F84" w:rsidRPr="00B40F84">
        <w:rPr>
          <w:rFonts w:ascii="Times New Roman" w:hAnsi="Times New Roman" w:cs="Times New Roman"/>
          <w:sz w:val="20"/>
          <w:lang w:val="en-US"/>
        </w:rPr>
        <w:t>[34]</w:t>
      </w:r>
      <w:r w:rsidRPr="006C4573">
        <w:rPr>
          <w:rFonts w:ascii="Times New Roman" w:hAnsi="Times New Roman" w:cs="Times New Roman"/>
          <w:sz w:val="20"/>
          <w:szCs w:val="20"/>
          <w:lang w:val="en-US"/>
        </w:rPr>
        <w:fldChar w:fldCharType="end"/>
      </w:r>
      <w:r w:rsidRPr="006C4573">
        <w:rPr>
          <w:rFonts w:ascii="Times New Roman" w:hAnsi="Times New Roman" w:cs="Times New Roman"/>
          <w:sz w:val="20"/>
          <w:szCs w:val="20"/>
          <w:lang w:val="en-US"/>
        </w:rPr>
        <w:t>).</w:t>
      </w:r>
      <w:bookmarkEnd w:id="0"/>
      <w:r w:rsidRPr="006C4573">
        <w:rPr>
          <w:rFonts w:ascii="Times New Roman" w:hAnsi="Times New Roman" w:cs="Times New Roman"/>
          <w:sz w:val="20"/>
          <w:szCs w:val="20"/>
          <w:lang w:val="en-US"/>
        </w:rPr>
        <w:t xml:space="preserve"> This analysis resulted in the selection of 12 studies that included a total of 6</w:t>
      </w:r>
      <w:r w:rsidR="00B40F84">
        <w:rPr>
          <w:rFonts w:ascii="Times New Roman" w:hAnsi="Times New Roman" w:cs="Times New Roman"/>
          <w:sz w:val="20"/>
          <w:szCs w:val="20"/>
          <w:lang w:val="en-US"/>
        </w:rPr>
        <w:t>56</w:t>
      </w:r>
      <w:r w:rsidRPr="006C4573">
        <w:rPr>
          <w:rFonts w:ascii="Times New Roman" w:hAnsi="Times New Roman" w:cs="Times New Roman"/>
          <w:sz w:val="20"/>
          <w:szCs w:val="20"/>
          <w:lang w:val="en-US"/>
        </w:rPr>
        <w:t xml:space="preserve"> samples originating from five countries</w:t>
      </w:r>
      <w:r>
        <w:rPr>
          <w:rFonts w:ascii="Times New Roman" w:hAnsi="Times New Roman" w:cs="Times New Roman"/>
          <w:sz w:val="20"/>
          <w:szCs w:val="20"/>
          <w:lang w:val="en-US"/>
        </w:rPr>
        <w:t xml:space="preserve">, </w:t>
      </w:r>
      <w:r w:rsidRPr="006C4573">
        <w:rPr>
          <w:rFonts w:ascii="Times New Roman" w:hAnsi="Times New Roman" w:cs="Times New Roman"/>
          <w:sz w:val="20"/>
          <w:szCs w:val="20"/>
          <w:lang w:val="en-US"/>
        </w:rPr>
        <w:t xml:space="preserve">involving the gut as well as whole-body microbiomes </w:t>
      </w:r>
      <w:r>
        <w:rPr>
          <w:rFonts w:ascii="Times New Roman" w:hAnsi="Times New Roman" w:cs="Times New Roman"/>
          <w:sz w:val="20"/>
          <w:szCs w:val="20"/>
          <w:lang w:val="en-US"/>
        </w:rPr>
        <w:t>of</w:t>
      </w:r>
      <w:r w:rsidRPr="006C4573">
        <w:rPr>
          <w:rFonts w:ascii="Times New Roman" w:hAnsi="Times New Roman" w:cs="Times New Roman"/>
          <w:sz w:val="20"/>
          <w:szCs w:val="20"/>
          <w:lang w:val="en-US"/>
        </w:rPr>
        <w:t xml:space="preserve"> host animals directly collected from their source habitat as well as </w:t>
      </w:r>
      <w:r w:rsidR="00B40F84">
        <w:rPr>
          <w:rFonts w:ascii="Times New Roman" w:hAnsi="Times New Roman" w:cs="Times New Roman"/>
          <w:sz w:val="20"/>
          <w:szCs w:val="20"/>
          <w:lang w:val="en-US"/>
        </w:rPr>
        <w:t>cultured</w:t>
      </w:r>
      <w:r w:rsidRPr="006C4573">
        <w:rPr>
          <w:rFonts w:ascii="Times New Roman" w:hAnsi="Times New Roman" w:cs="Times New Roman"/>
          <w:sz w:val="20"/>
          <w:szCs w:val="20"/>
          <w:lang w:val="en-US"/>
        </w:rPr>
        <w:t xml:space="preserve"> in the laboratory</w:t>
      </w:r>
      <w:r>
        <w:rPr>
          <w:rFonts w:ascii="Times New Roman" w:hAnsi="Times New Roman" w:cs="Times New Roman"/>
          <w:sz w:val="20"/>
          <w:szCs w:val="20"/>
          <w:lang w:val="en-US"/>
        </w:rPr>
        <w:t xml:space="preserve">. </w:t>
      </w:r>
      <w:r w:rsidRPr="006C4573">
        <w:rPr>
          <w:rFonts w:ascii="Times New Roman" w:hAnsi="Times New Roman" w:cs="Times New Roman"/>
          <w:sz w:val="20"/>
          <w:szCs w:val="20"/>
          <w:lang w:val="en-US"/>
        </w:rPr>
        <w:t xml:space="preserve">All studies involved the same host species, </w:t>
      </w:r>
      <w:r w:rsidRPr="006C4573">
        <w:rPr>
          <w:rFonts w:ascii="Times New Roman" w:hAnsi="Times New Roman" w:cs="Times New Roman"/>
          <w:i/>
          <w:sz w:val="20"/>
          <w:szCs w:val="20"/>
          <w:lang w:val="en-US"/>
        </w:rPr>
        <w:t>D. magna</w:t>
      </w:r>
      <w:r w:rsidRPr="006C4573">
        <w:rPr>
          <w:rFonts w:ascii="Times New Roman" w:hAnsi="Times New Roman" w:cs="Times New Roman"/>
          <w:sz w:val="20"/>
          <w:szCs w:val="20"/>
          <w:lang w:val="en-US"/>
        </w:rPr>
        <w:t xml:space="preserve">. </w:t>
      </w:r>
    </w:p>
    <w:p w14:paraId="4108322D" w14:textId="2AC94CD0" w:rsidR="00D059B1" w:rsidRPr="00655268" w:rsidRDefault="00655268" w:rsidP="00F50612">
      <w:pPr>
        <w:spacing w:line="480" w:lineRule="auto"/>
        <w:rPr>
          <w:rFonts w:ascii="Times New Roman" w:hAnsi="Times New Roman" w:cs="Times New Roman"/>
          <w:b/>
          <w:bCs/>
          <w:i/>
          <w:iCs/>
          <w:sz w:val="20"/>
          <w:szCs w:val="20"/>
          <w:lang w:val="en-US"/>
        </w:rPr>
      </w:pPr>
      <w:r w:rsidRPr="00655268">
        <w:rPr>
          <w:rFonts w:ascii="Times New Roman" w:hAnsi="Times New Roman" w:cs="Times New Roman"/>
          <w:b/>
          <w:bCs/>
          <w:i/>
          <w:iCs/>
          <w:sz w:val="20"/>
          <w:szCs w:val="20"/>
          <w:lang w:val="en-US"/>
        </w:rPr>
        <w:t>Assessing methodological contributions to country level clustering</w:t>
      </w:r>
    </w:p>
    <w:p w14:paraId="12707981" w14:textId="77777777" w:rsidR="00655268" w:rsidRPr="00655268" w:rsidRDefault="00655268" w:rsidP="00655268">
      <w:pPr>
        <w:spacing w:line="480" w:lineRule="auto"/>
        <w:rPr>
          <w:rFonts w:ascii="Times New Roman" w:hAnsi="Times New Roman" w:cs="Times New Roman"/>
          <w:sz w:val="20"/>
          <w:szCs w:val="20"/>
          <w:lang w:val="en-US"/>
        </w:rPr>
      </w:pPr>
      <w:r w:rsidRPr="00655268">
        <w:rPr>
          <w:rFonts w:ascii="Times New Roman" w:hAnsi="Times New Roman" w:cs="Times New Roman"/>
          <w:sz w:val="20"/>
          <w:szCs w:val="20"/>
          <w:lang w:val="en-US"/>
        </w:rPr>
        <w:t xml:space="preserve">To further examine whether methodological differences among studies could contribute to the observed clustering by country, an additional PERMANOVA was performed, where both country and study and their interaction effects were tested. Both variables significantly explained variation in microbiome composition, suggesting that part of the clustering by country may reflect study specific methodological variation, such as the type of DNA extraction kits used. </w:t>
      </w:r>
    </w:p>
    <w:p w14:paraId="765ACD6B" w14:textId="77777777" w:rsidR="00655268" w:rsidRDefault="00655268" w:rsidP="00F50612">
      <w:pPr>
        <w:spacing w:line="480" w:lineRule="auto"/>
        <w:rPr>
          <w:rFonts w:ascii="Times New Roman" w:hAnsi="Times New Roman" w:cs="Times New Roman"/>
          <w:sz w:val="20"/>
          <w:szCs w:val="20"/>
          <w:lang w:val="en-US"/>
        </w:rPr>
      </w:pPr>
    </w:p>
    <w:p w14:paraId="435DC5A5" w14:textId="4E747088" w:rsidR="00D059B1" w:rsidRDefault="00D059B1" w:rsidP="00F50612">
      <w:pPr>
        <w:spacing w:line="480" w:lineRule="auto"/>
        <w:rPr>
          <w:rFonts w:ascii="Times New Roman" w:hAnsi="Times New Roman" w:cs="Times New Roman"/>
          <w:sz w:val="20"/>
          <w:szCs w:val="20"/>
          <w:lang w:val="en-US"/>
        </w:rPr>
      </w:pPr>
      <w:r>
        <w:rPr>
          <w:rFonts w:ascii="Times New Roman" w:hAnsi="Times New Roman" w:cs="Times New Roman"/>
          <w:noProof/>
          <w:sz w:val="20"/>
          <w:szCs w:val="20"/>
          <w:lang w:val="en-US"/>
        </w:rPr>
        <w:lastRenderedPageBreak/>
        <w:drawing>
          <wp:inline distT="0" distB="0" distL="0" distR="0" wp14:anchorId="2DE2C427" wp14:editId="219F3174">
            <wp:extent cx="8694174" cy="3192780"/>
            <wp:effectExtent l="0" t="0" r="0" b="0"/>
            <wp:docPr id="26805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42569" cy="3210552"/>
                    </a:xfrm>
                    <a:prstGeom prst="rect">
                      <a:avLst/>
                    </a:prstGeom>
                    <a:noFill/>
                  </pic:spPr>
                </pic:pic>
              </a:graphicData>
            </a:graphic>
          </wp:inline>
        </w:drawing>
      </w:r>
    </w:p>
    <w:p w14:paraId="2626D928" w14:textId="2441CB0F" w:rsidR="00D059B1" w:rsidRDefault="00D059B1" w:rsidP="00F50612">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Figure </w:t>
      </w:r>
      <w:r w:rsidR="001A40B0">
        <w:rPr>
          <w:rFonts w:ascii="Times New Roman" w:hAnsi="Times New Roman" w:cs="Times New Roman"/>
          <w:sz w:val="20"/>
          <w:szCs w:val="20"/>
          <w:lang w:val="en-US"/>
        </w:rPr>
        <w:t>S</w:t>
      </w:r>
      <w:r>
        <w:rPr>
          <w:rFonts w:ascii="Times New Roman" w:hAnsi="Times New Roman" w:cs="Times New Roman"/>
          <w:sz w:val="20"/>
          <w:szCs w:val="20"/>
          <w:lang w:val="en-US"/>
        </w:rPr>
        <w:t>2: Multidimensional scaling (MDS) of the microbiome data of all samples based on Bray Curtis dissimilarity index illustrating differences in microbial communities between the variables A) Study and B) Country. Distances between points represent dissimilarities in microbial community composition, with closer points indicating more similar microbiomes.</w:t>
      </w:r>
    </w:p>
    <w:p w14:paraId="52B81E5A" w14:textId="63D186CD"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noProof/>
          <w:sz w:val="20"/>
          <w:szCs w:val="20"/>
          <w:lang w:val="en-US"/>
          <w14:ligatures w14:val="none"/>
        </w:rPr>
        <w:t xml:space="preserve">Table </w:t>
      </w:r>
      <w:r w:rsidR="001A40B0">
        <w:rPr>
          <w:rFonts w:ascii="Times New Roman" w:eastAsia="Aptos" w:hAnsi="Times New Roman" w:cs="Times New Roman"/>
          <w:noProof/>
          <w:sz w:val="20"/>
          <w:szCs w:val="20"/>
          <w:lang w:val="en-US"/>
          <w14:ligatures w14:val="none"/>
        </w:rPr>
        <w:t>S</w:t>
      </w:r>
      <w:r w:rsidR="00655268">
        <w:rPr>
          <w:rFonts w:ascii="Times New Roman" w:eastAsia="Aptos" w:hAnsi="Times New Roman" w:cs="Times New Roman"/>
          <w:noProof/>
          <w:sz w:val="20"/>
          <w:szCs w:val="20"/>
          <w:lang w:val="en-US"/>
          <w14:ligatures w14:val="none"/>
        </w:rPr>
        <w:t>3</w:t>
      </w:r>
      <w:r w:rsidRPr="00D059B1">
        <w:rPr>
          <w:rFonts w:ascii="Times New Roman" w:eastAsia="Aptos" w:hAnsi="Times New Roman" w:cs="Times New Roman"/>
          <w:noProof/>
          <w:sz w:val="20"/>
          <w:szCs w:val="20"/>
          <w:lang w:val="en-US"/>
          <w14:ligatures w14:val="none"/>
        </w:rPr>
        <w:t>: Results of PERMANOVA, based on Bray Curtis Beta diversity metric assessing the amount of variation in microbiome community composition that can be explained by the categorization variables- country and study.</w:t>
      </w:r>
    </w:p>
    <w:tbl>
      <w:tblPr>
        <w:tblStyle w:val="TableGrid1"/>
        <w:tblW w:w="0" w:type="auto"/>
        <w:tblInd w:w="25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1269"/>
        <w:gridCol w:w="1269"/>
        <w:gridCol w:w="1269"/>
        <w:gridCol w:w="1269"/>
        <w:gridCol w:w="1269"/>
      </w:tblGrid>
      <w:tr w:rsidR="00D059B1" w:rsidRPr="00D059B1" w14:paraId="03B74A6D" w14:textId="77777777" w:rsidTr="00D059B1">
        <w:tc>
          <w:tcPr>
            <w:tcW w:w="2035" w:type="dxa"/>
            <w:tcBorders>
              <w:top w:val="single" w:sz="4" w:space="0" w:color="auto"/>
              <w:bottom w:val="single" w:sz="4" w:space="0" w:color="auto"/>
            </w:tcBorders>
            <w:shd w:val="clear" w:color="auto" w:fill="D9D9D9"/>
          </w:tcPr>
          <w:p w14:paraId="21FAC51D"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Variable</w:t>
            </w:r>
          </w:p>
        </w:tc>
        <w:tc>
          <w:tcPr>
            <w:tcW w:w="1269" w:type="dxa"/>
            <w:tcBorders>
              <w:top w:val="single" w:sz="4" w:space="0" w:color="auto"/>
              <w:bottom w:val="single" w:sz="4" w:space="0" w:color="auto"/>
            </w:tcBorders>
            <w:shd w:val="clear" w:color="auto" w:fill="D9D9D9"/>
          </w:tcPr>
          <w:p w14:paraId="2C68A21C" w14:textId="77777777" w:rsidR="00D059B1" w:rsidRPr="00D059B1" w:rsidRDefault="00D059B1" w:rsidP="00D059B1">
            <w:pPr>
              <w:jc w:val="both"/>
              <w:rPr>
                <w:rFonts w:ascii="Times New Roman" w:eastAsia="Aptos" w:hAnsi="Times New Roman" w:cs="Times New Roman"/>
                <w:b/>
                <w:bCs/>
                <w:sz w:val="20"/>
                <w:szCs w:val="20"/>
                <w:lang w:val="en-US"/>
                <w14:ligatures w14:val="none"/>
              </w:rPr>
            </w:pPr>
            <w:proofErr w:type="spellStart"/>
            <w:r w:rsidRPr="00D059B1">
              <w:rPr>
                <w:rFonts w:ascii="Times New Roman" w:eastAsia="Aptos" w:hAnsi="Times New Roman" w:cs="Times New Roman"/>
                <w:b/>
                <w:bCs/>
                <w:sz w:val="20"/>
                <w:szCs w:val="20"/>
                <w:lang w:val="en-US"/>
                <w14:ligatures w14:val="none"/>
              </w:rPr>
              <w:t>Df</w:t>
            </w:r>
            <w:proofErr w:type="spellEnd"/>
          </w:p>
        </w:tc>
        <w:tc>
          <w:tcPr>
            <w:tcW w:w="1269" w:type="dxa"/>
            <w:tcBorders>
              <w:top w:val="single" w:sz="4" w:space="0" w:color="auto"/>
              <w:bottom w:val="single" w:sz="4" w:space="0" w:color="auto"/>
            </w:tcBorders>
            <w:shd w:val="clear" w:color="auto" w:fill="D9D9D9"/>
          </w:tcPr>
          <w:p w14:paraId="451FC4F8" w14:textId="77777777" w:rsidR="00D059B1" w:rsidRPr="00D059B1" w:rsidRDefault="00D059B1" w:rsidP="00D059B1">
            <w:pPr>
              <w:jc w:val="both"/>
              <w:rPr>
                <w:rFonts w:ascii="Times New Roman" w:eastAsia="Aptos" w:hAnsi="Times New Roman" w:cs="Times New Roman"/>
                <w:b/>
                <w:bCs/>
                <w:sz w:val="20"/>
                <w:szCs w:val="20"/>
                <w:lang w:val="en-US"/>
                <w14:ligatures w14:val="none"/>
              </w:rPr>
            </w:pPr>
            <w:proofErr w:type="spellStart"/>
            <w:r w:rsidRPr="00D059B1">
              <w:rPr>
                <w:rFonts w:ascii="Times New Roman" w:eastAsia="Aptos" w:hAnsi="Times New Roman" w:cs="Times New Roman"/>
                <w:b/>
                <w:bCs/>
                <w:sz w:val="20"/>
                <w:szCs w:val="20"/>
                <w:lang w:val="en-US"/>
                <w14:ligatures w14:val="none"/>
              </w:rPr>
              <w:t>SumofSqs</w:t>
            </w:r>
            <w:proofErr w:type="spellEnd"/>
          </w:p>
        </w:tc>
        <w:tc>
          <w:tcPr>
            <w:tcW w:w="1269" w:type="dxa"/>
            <w:tcBorders>
              <w:top w:val="single" w:sz="4" w:space="0" w:color="auto"/>
              <w:bottom w:val="single" w:sz="4" w:space="0" w:color="auto"/>
            </w:tcBorders>
            <w:shd w:val="clear" w:color="auto" w:fill="D9D9D9"/>
          </w:tcPr>
          <w:p w14:paraId="6ED42BCB"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R</w:t>
            </w:r>
            <w:r w:rsidRPr="00D059B1">
              <w:rPr>
                <w:rFonts w:ascii="Times New Roman" w:eastAsia="Aptos" w:hAnsi="Times New Roman" w:cs="Times New Roman"/>
                <w:b/>
                <w:bCs/>
                <w:sz w:val="20"/>
                <w:szCs w:val="20"/>
                <w:vertAlign w:val="superscript"/>
                <w:lang w:val="en-US"/>
                <w14:ligatures w14:val="none"/>
              </w:rPr>
              <w:t>2</w:t>
            </w:r>
          </w:p>
        </w:tc>
        <w:tc>
          <w:tcPr>
            <w:tcW w:w="1269" w:type="dxa"/>
            <w:tcBorders>
              <w:top w:val="single" w:sz="4" w:space="0" w:color="auto"/>
              <w:bottom w:val="single" w:sz="4" w:space="0" w:color="auto"/>
            </w:tcBorders>
            <w:shd w:val="clear" w:color="auto" w:fill="D9D9D9"/>
          </w:tcPr>
          <w:p w14:paraId="5CA0F272"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F</w:t>
            </w:r>
          </w:p>
        </w:tc>
        <w:tc>
          <w:tcPr>
            <w:tcW w:w="1269" w:type="dxa"/>
            <w:tcBorders>
              <w:top w:val="single" w:sz="4" w:space="0" w:color="auto"/>
              <w:bottom w:val="single" w:sz="4" w:space="0" w:color="auto"/>
            </w:tcBorders>
            <w:shd w:val="clear" w:color="auto" w:fill="D9D9D9"/>
          </w:tcPr>
          <w:p w14:paraId="2581E83E" w14:textId="77777777" w:rsidR="00D059B1" w:rsidRPr="00D059B1" w:rsidRDefault="00D059B1" w:rsidP="00D059B1">
            <w:pPr>
              <w:jc w:val="both"/>
              <w:rPr>
                <w:rFonts w:ascii="Times New Roman" w:eastAsia="Aptos" w:hAnsi="Times New Roman" w:cs="Times New Roman"/>
                <w:b/>
                <w:bCs/>
                <w:sz w:val="20"/>
                <w:szCs w:val="20"/>
                <w14:ligatures w14:val="none"/>
              </w:rPr>
            </w:pPr>
            <w:r w:rsidRPr="00D059B1">
              <w:rPr>
                <w:rFonts w:ascii="Times New Roman" w:eastAsia="Aptos" w:hAnsi="Times New Roman" w:cs="Times New Roman"/>
                <w:b/>
                <w:bCs/>
                <w:sz w:val="20"/>
                <w:szCs w:val="20"/>
                <w14:ligatures w14:val="none"/>
              </w:rPr>
              <w:t>Pr(&gt;F)</w:t>
            </w:r>
          </w:p>
        </w:tc>
      </w:tr>
      <w:tr w:rsidR="00D059B1" w:rsidRPr="00D059B1" w14:paraId="5AC6C07F" w14:textId="77777777" w:rsidTr="00D059B1">
        <w:tc>
          <w:tcPr>
            <w:tcW w:w="2035" w:type="dxa"/>
            <w:tcBorders>
              <w:top w:val="single" w:sz="4" w:space="0" w:color="auto"/>
            </w:tcBorders>
          </w:tcPr>
          <w:p w14:paraId="33A2EA6D"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Country</w:t>
            </w:r>
          </w:p>
        </w:tc>
        <w:tc>
          <w:tcPr>
            <w:tcW w:w="1269" w:type="dxa"/>
            <w:tcBorders>
              <w:top w:val="single" w:sz="4" w:space="0" w:color="auto"/>
            </w:tcBorders>
          </w:tcPr>
          <w:p w14:paraId="0C081591"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4</w:t>
            </w:r>
          </w:p>
        </w:tc>
        <w:tc>
          <w:tcPr>
            <w:tcW w:w="1269" w:type="dxa"/>
            <w:tcBorders>
              <w:top w:val="single" w:sz="4" w:space="0" w:color="auto"/>
            </w:tcBorders>
          </w:tcPr>
          <w:p w14:paraId="2D301778"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42.051</w:t>
            </w:r>
          </w:p>
        </w:tc>
        <w:tc>
          <w:tcPr>
            <w:tcW w:w="1269" w:type="dxa"/>
            <w:tcBorders>
              <w:top w:val="single" w:sz="4" w:space="0" w:color="auto"/>
            </w:tcBorders>
          </w:tcPr>
          <w:p w14:paraId="29012E7D"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0.16054</w:t>
            </w:r>
          </w:p>
        </w:tc>
        <w:tc>
          <w:tcPr>
            <w:tcW w:w="1269" w:type="dxa"/>
            <w:tcBorders>
              <w:top w:val="single" w:sz="4" w:space="0" w:color="auto"/>
            </w:tcBorders>
          </w:tcPr>
          <w:p w14:paraId="2D61275C"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39.3056</w:t>
            </w:r>
          </w:p>
        </w:tc>
        <w:tc>
          <w:tcPr>
            <w:tcW w:w="1269" w:type="dxa"/>
            <w:tcBorders>
              <w:top w:val="single" w:sz="4" w:space="0" w:color="auto"/>
            </w:tcBorders>
          </w:tcPr>
          <w:p w14:paraId="032FC5DF"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0.001</w:t>
            </w:r>
          </w:p>
        </w:tc>
      </w:tr>
      <w:tr w:rsidR="00D059B1" w:rsidRPr="00D059B1" w14:paraId="100C5C2D" w14:textId="77777777" w:rsidTr="00D059B1">
        <w:tc>
          <w:tcPr>
            <w:tcW w:w="2035" w:type="dxa"/>
          </w:tcPr>
          <w:p w14:paraId="73169B33"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Study</w:t>
            </w:r>
          </w:p>
        </w:tc>
        <w:tc>
          <w:tcPr>
            <w:tcW w:w="1269" w:type="dxa"/>
          </w:tcPr>
          <w:p w14:paraId="454CE75E"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9</w:t>
            </w:r>
          </w:p>
        </w:tc>
        <w:tc>
          <w:tcPr>
            <w:tcW w:w="1269" w:type="dxa"/>
          </w:tcPr>
          <w:p w14:paraId="3254D418"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43.206</w:t>
            </w:r>
          </w:p>
        </w:tc>
        <w:tc>
          <w:tcPr>
            <w:tcW w:w="1269" w:type="dxa"/>
          </w:tcPr>
          <w:p w14:paraId="7B59797A"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0.16495</w:t>
            </w:r>
          </w:p>
        </w:tc>
        <w:tc>
          <w:tcPr>
            <w:tcW w:w="1269" w:type="dxa"/>
          </w:tcPr>
          <w:p w14:paraId="32963894"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17.9491</w:t>
            </w:r>
          </w:p>
        </w:tc>
        <w:tc>
          <w:tcPr>
            <w:tcW w:w="1269" w:type="dxa"/>
          </w:tcPr>
          <w:p w14:paraId="480557F6"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0.001</w:t>
            </w:r>
          </w:p>
        </w:tc>
      </w:tr>
      <w:tr w:rsidR="00D059B1" w:rsidRPr="00D059B1" w14:paraId="011DFCC3" w14:textId="77777777" w:rsidTr="00D059B1">
        <w:tc>
          <w:tcPr>
            <w:tcW w:w="2035" w:type="dxa"/>
          </w:tcPr>
          <w:p w14:paraId="31523CF2"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Country: Study</w:t>
            </w:r>
          </w:p>
        </w:tc>
        <w:tc>
          <w:tcPr>
            <w:tcW w:w="1269" w:type="dxa"/>
          </w:tcPr>
          <w:p w14:paraId="3AF8E99B"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3</w:t>
            </w:r>
          </w:p>
        </w:tc>
        <w:tc>
          <w:tcPr>
            <w:tcW w:w="1269" w:type="dxa"/>
          </w:tcPr>
          <w:p w14:paraId="7A26A30A"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1.221</w:t>
            </w:r>
          </w:p>
        </w:tc>
        <w:tc>
          <w:tcPr>
            <w:tcW w:w="1269" w:type="dxa"/>
          </w:tcPr>
          <w:p w14:paraId="3749BEA1"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0.00466</w:t>
            </w:r>
          </w:p>
        </w:tc>
        <w:tc>
          <w:tcPr>
            <w:tcW w:w="1269" w:type="dxa"/>
          </w:tcPr>
          <w:p w14:paraId="2322F40B"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1.5219</w:t>
            </w:r>
          </w:p>
        </w:tc>
        <w:tc>
          <w:tcPr>
            <w:tcW w:w="1269" w:type="dxa"/>
          </w:tcPr>
          <w:p w14:paraId="0EF8FD66" w14:textId="77777777" w:rsidR="00D059B1" w:rsidRPr="00D059B1" w:rsidRDefault="00D059B1" w:rsidP="00D059B1">
            <w:pPr>
              <w:jc w:val="both"/>
              <w:rPr>
                <w:rFonts w:ascii="Times New Roman" w:eastAsia="Aptos" w:hAnsi="Times New Roman" w:cs="Times New Roman"/>
                <w:b/>
                <w:bCs/>
                <w:sz w:val="20"/>
                <w:szCs w:val="20"/>
                <w:lang w:val="en-US"/>
                <w14:ligatures w14:val="none"/>
              </w:rPr>
            </w:pPr>
            <w:r w:rsidRPr="00D059B1">
              <w:rPr>
                <w:rFonts w:ascii="Times New Roman" w:eastAsia="Aptos" w:hAnsi="Times New Roman" w:cs="Times New Roman"/>
                <w:b/>
                <w:bCs/>
                <w:sz w:val="20"/>
                <w:szCs w:val="20"/>
                <w:lang w:val="en-US"/>
                <w14:ligatures w14:val="none"/>
              </w:rPr>
              <w:t>0.005</w:t>
            </w:r>
          </w:p>
        </w:tc>
      </w:tr>
      <w:tr w:rsidR="00D059B1" w:rsidRPr="00D059B1" w14:paraId="7633A6C7" w14:textId="77777777" w:rsidTr="00D059B1">
        <w:tc>
          <w:tcPr>
            <w:tcW w:w="2035" w:type="dxa"/>
          </w:tcPr>
          <w:p w14:paraId="3A7F66C3"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Residual</w:t>
            </w:r>
          </w:p>
        </w:tc>
        <w:tc>
          <w:tcPr>
            <w:tcW w:w="1269" w:type="dxa"/>
          </w:tcPr>
          <w:p w14:paraId="449621BA"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656</w:t>
            </w:r>
          </w:p>
        </w:tc>
        <w:tc>
          <w:tcPr>
            <w:tcW w:w="1269" w:type="dxa"/>
          </w:tcPr>
          <w:p w14:paraId="4E98C312"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175.453</w:t>
            </w:r>
          </w:p>
        </w:tc>
        <w:tc>
          <w:tcPr>
            <w:tcW w:w="1269" w:type="dxa"/>
          </w:tcPr>
          <w:p w14:paraId="558075F6" w14:textId="77777777" w:rsidR="00D059B1" w:rsidRPr="00D059B1" w:rsidRDefault="00D059B1" w:rsidP="00D059B1">
            <w:pPr>
              <w:jc w:val="both"/>
              <w:rPr>
                <w:rFonts w:ascii="Times New Roman" w:eastAsia="Aptos" w:hAnsi="Times New Roman" w:cs="Times New Roman"/>
                <w:sz w:val="20"/>
                <w:szCs w:val="20"/>
                <w:lang w:val="en-US"/>
                <w14:ligatures w14:val="none"/>
              </w:rPr>
            </w:pPr>
            <w:r w:rsidRPr="00D059B1">
              <w:rPr>
                <w:rFonts w:ascii="Times New Roman" w:eastAsia="Aptos" w:hAnsi="Times New Roman" w:cs="Times New Roman"/>
                <w:sz w:val="20"/>
                <w:szCs w:val="20"/>
                <w:lang w:val="en-US"/>
                <w14:ligatures w14:val="none"/>
              </w:rPr>
              <w:t>0.66985</w:t>
            </w:r>
          </w:p>
        </w:tc>
        <w:tc>
          <w:tcPr>
            <w:tcW w:w="1269" w:type="dxa"/>
          </w:tcPr>
          <w:p w14:paraId="3C3A31D6" w14:textId="77777777" w:rsidR="00D059B1" w:rsidRPr="00D059B1" w:rsidRDefault="00D059B1" w:rsidP="00D059B1">
            <w:pPr>
              <w:jc w:val="both"/>
              <w:rPr>
                <w:rFonts w:ascii="Times New Roman" w:eastAsia="Aptos" w:hAnsi="Times New Roman" w:cs="Times New Roman"/>
                <w:sz w:val="20"/>
                <w:szCs w:val="20"/>
                <w:lang w:val="en-US"/>
                <w14:ligatures w14:val="none"/>
              </w:rPr>
            </w:pPr>
          </w:p>
        </w:tc>
        <w:tc>
          <w:tcPr>
            <w:tcW w:w="1269" w:type="dxa"/>
          </w:tcPr>
          <w:p w14:paraId="1F96C5EC" w14:textId="77777777" w:rsidR="00D059B1" w:rsidRPr="00D059B1" w:rsidRDefault="00D059B1" w:rsidP="00D059B1">
            <w:pPr>
              <w:jc w:val="both"/>
              <w:rPr>
                <w:rFonts w:ascii="Times New Roman" w:eastAsia="Aptos" w:hAnsi="Times New Roman" w:cs="Times New Roman"/>
                <w:sz w:val="20"/>
                <w:szCs w:val="20"/>
                <w:lang w:val="en-US"/>
                <w14:ligatures w14:val="none"/>
              </w:rPr>
            </w:pPr>
          </w:p>
        </w:tc>
      </w:tr>
    </w:tbl>
    <w:p w14:paraId="0411EF58" w14:textId="77777777" w:rsidR="00A453D3" w:rsidRDefault="00A453D3" w:rsidP="00A453D3">
      <w:pPr>
        <w:rPr>
          <w:rFonts w:ascii="Times New Roman" w:hAnsi="Times New Roman" w:cs="Times New Roman"/>
          <w:b/>
          <w:bCs/>
          <w:lang w:val="en-US"/>
        </w:rPr>
      </w:pPr>
    </w:p>
    <w:p w14:paraId="22F2F539" w14:textId="6B3C5CFF" w:rsidR="007D4FB3" w:rsidRPr="00F50612" w:rsidRDefault="007F6E8F" w:rsidP="00494E44">
      <w:pPr>
        <w:pStyle w:val="ListParagraph"/>
        <w:numPr>
          <w:ilvl w:val="0"/>
          <w:numId w:val="2"/>
        </w:num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Core microbiome in the c</w:t>
      </w:r>
      <w:r w:rsidR="007D4FB3" w:rsidRPr="00F50612">
        <w:rPr>
          <w:rFonts w:ascii="Times New Roman" w:hAnsi="Times New Roman" w:cs="Times New Roman"/>
          <w:b/>
          <w:bCs/>
          <w:i/>
          <w:iCs/>
          <w:sz w:val="20"/>
          <w:szCs w:val="20"/>
          <w:lang w:val="en-US"/>
        </w:rPr>
        <w:t>ombined dataset: all gut samples of laboratory and field origin</w:t>
      </w:r>
    </w:p>
    <w:p w14:paraId="5DB6494C" w14:textId="37E6DA1F" w:rsidR="007D4FB3" w:rsidRPr="00F50612" w:rsidRDefault="007D4FB3" w:rsidP="00F50612">
      <w:pPr>
        <w:spacing w:line="480" w:lineRule="auto"/>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A total of 423 </w:t>
      </w:r>
      <w:r w:rsidRPr="00F50612">
        <w:rPr>
          <w:rFonts w:ascii="Times New Roman" w:hAnsi="Times New Roman" w:cs="Times New Roman"/>
          <w:i/>
          <w:iCs/>
          <w:sz w:val="20"/>
          <w:szCs w:val="20"/>
          <w:lang w:val="en-US"/>
        </w:rPr>
        <w:t xml:space="preserve">Daphnia </w:t>
      </w:r>
      <w:r w:rsidRPr="00F50612">
        <w:rPr>
          <w:rFonts w:ascii="Times New Roman" w:hAnsi="Times New Roman" w:cs="Times New Roman"/>
          <w:sz w:val="20"/>
          <w:szCs w:val="20"/>
          <w:lang w:val="en-US"/>
        </w:rPr>
        <w:t>gut microbiomes comprising both laboratory-</w:t>
      </w:r>
      <w:r w:rsidR="00B40F84" w:rsidRPr="00F50612">
        <w:rPr>
          <w:rFonts w:ascii="Times New Roman" w:hAnsi="Times New Roman" w:cs="Times New Roman"/>
          <w:sz w:val="20"/>
          <w:szCs w:val="20"/>
          <w:lang w:val="en-US"/>
        </w:rPr>
        <w:t>cultured</w:t>
      </w:r>
      <w:r w:rsidRPr="00F50612">
        <w:rPr>
          <w:rFonts w:ascii="Times New Roman" w:hAnsi="Times New Roman" w:cs="Times New Roman"/>
          <w:sz w:val="20"/>
          <w:szCs w:val="20"/>
          <w:lang w:val="en-US"/>
        </w:rPr>
        <w:t xml:space="preserve"> and field-</w:t>
      </w:r>
      <w:r w:rsidR="00B40F84" w:rsidRPr="00F50612">
        <w:rPr>
          <w:rFonts w:ascii="Times New Roman" w:hAnsi="Times New Roman" w:cs="Times New Roman"/>
          <w:sz w:val="20"/>
          <w:szCs w:val="20"/>
          <w:lang w:val="en-US"/>
        </w:rPr>
        <w:t>grown</w:t>
      </w:r>
      <w:r w:rsidRPr="00F50612">
        <w:rPr>
          <w:rFonts w:ascii="Times New Roman" w:hAnsi="Times New Roman" w:cs="Times New Roman"/>
          <w:sz w:val="20"/>
          <w:szCs w:val="20"/>
          <w:lang w:val="en-US"/>
        </w:rPr>
        <w:t xml:space="preserve"> animals were analyzed. This dataset comprised a total of 14,743,383 read counts representing 116,500 OTUs belonging to 957 genera and 29 phyla. From a higher-level analysis conducted at the “phylum” and “order” levels, four phyla were detected in 90% of these samples: Proteobacteria, Bacteroidetes, Actinobacteria and Firmicutes. At the order level, these were </w:t>
      </w:r>
      <w:proofErr w:type="spellStart"/>
      <w:r w:rsidRPr="00F50612">
        <w:rPr>
          <w:rFonts w:ascii="Times New Roman" w:hAnsi="Times New Roman" w:cs="Times New Roman"/>
          <w:sz w:val="20"/>
          <w:szCs w:val="20"/>
          <w:lang w:val="en-US"/>
        </w:rPr>
        <w:t>Burkholderiales</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sz w:val="20"/>
          <w:szCs w:val="20"/>
          <w:lang w:val="en-US"/>
        </w:rPr>
        <w:t>Chitinophagales</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sz w:val="20"/>
          <w:szCs w:val="20"/>
          <w:lang w:val="en-US"/>
        </w:rPr>
        <w:t>Flavobacteriales</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sz w:val="20"/>
          <w:szCs w:val="20"/>
          <w:lang w:val="en-US"/>
        </w:rPr>
        <w:t>Micrococcales</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sz w:val="20"/>
          <w:szCs w:val="20"/>
          <w:lang w:val="en-US"/>
        </w:rPr>
        <w:t>Rhizobiales</w:t>
      </w:r>
      <w:proofErr w:type="spellEnd"/>
      <w:r w:rsidRPr="00F50612">
        <w:rPr>
          <w:rFonts w:ascii="Times New Roman" w:hAnsi="Times New Roman" w:cs="Times New Roman"/>
          <w:sz w:val="20"/>
          <w:szCs w:val="20"/>
          <w:lang w:val="en-US"/>
        </w:rPr>
        <w:t xml:space="preserve"> and </w:t>
      </w:r>
      <w:proofErr w:type="spellStart"/>
      <w:r w:rsidRPr="00F50612">
        <w:rPr>
          <w:rFonts w:ascii="Times New Roman" w:hAnsi="Times New Roman" w:cs="Times New Roman"/>
          <w:sz w:val="20"/>
          <w:szCs w:val="20"/>
          <w:lang w:val="en-US"/>
        </w:rPr>
        <w:t>Bacillales</w:t>
      </w:r>
      <w:proofErr w:type="spellEnd"/>
      <w:r w:rsidRPr="00F50612">
        <w:rPr>
          <w:rFonts w:ascii="Times New Roman" w:hAnsi="Times New Roman" w:cs="Times New Roman"/>
          <w:sz w:val="20"/>
          <w:szCs w:val="20"/>
          <w:lang w:val="en-US"/>
        </w:rPr>
        <w:t>. The same groups also met the double criterion of 10</w:t>
      </w:r>
      <w:r w:rsidRPr="00F50612">
        <w:rPr>
          <w:rFonts w:ascii="Times New Roman" w:hAnsi="Times New Roman" w:cs="Times New Roman"/>
          <w:sz w:val="20"/>
          <w:szCs w:val="20"/>
          <w:vertAlign w:val="superscript"/>
          <w:lang w:val="en-US"/>
        </w:rPr>
        <w:t>-4</w:t>
      </w:r>
      <w:r w:rsidRPr="00F50612">
        <w:rPr>
          <w:rFonts w:ascii="Times New Roman" w:hAnsi="Times New Roman" w:cs="Times New Roman"/>
          <w:sz w:val="20"/>
          <w:szCs w:val="20"/>
          <w:lang w:val="en-US"/>
        </w:rPr>
        <w:t xml:space="preserve"> relative abundances and 90% prevalence. The more stringent thresholds of 10</w:t>
      </w:r>
      <w:r w:rsidRPr="00F50612">
        <w:rPr>
          <w:rFonts w:ascii="Times New Roman" w:hAnsi="Times New Roman" w:cs="Times New Roman"/>
          <w:sz w:val="20"/>
          <w:szCs w:val="20"/>
          <w:vertAlign w:val="superscript"/>
          <w:lang w:val="en-US"/>
        </w:rPr>
        <w:t xml:space="preserve">-3 </w:t>
      </w:r>
      <w:r w:rsidRPr="00F50612">
        <w:rPr>
          <w:rFonts w:ascii="Times New Roman" w:hAnsi="Times New Roman" w:cs="Times New Roman"/>
          <w:sz w:val="20"/>
          <w:szCs w:val="20"/>
          <w:lang w:val="en-US"/>
        </w:rPr>
        <w:t xml:space="preserve">and 90% prevalence were met by the phyla Proteobacteria, Bacteroidetes and Actinobacteria and the orders </w:t>
      </w:r>
      <w:proofErr w:type="spellStart"/>
      <w:r w:rsidRPr="00F50612">
        <w:rPr>
          <w:rFonts w:ascii="Times New Roman" w:hAnsi="Times New Roman" w:cs="Times New Roman"/>
          <w:sz w:val="20"/>
          <w:szCs w:val="20"/>
          <w:lang w:val="en-US"/>
        </w:rPr>
        <w:t>Burkholderiales</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sz w:val="20"/>
          <w:szCs w:val="20"/>
          <w:lang w:val="en-US"/>
        </w:rPr>
        <w:t>Rhizobiales</w:t>
      </w:r>
      <w:proofErr w:type="spellEnd"/>
      <w:r w:rsidRPr="00F50612">
        <w:rPr>
          <w:rFonts w:ascii="Times New Roman" w:hAnsi="Times New Roman" w:cs="Times New Roman"/>
          <w:sz w:val="20"/>
          <w:szCs w:val="20"/>
          <w:lang w:val="en-US"/>
        </w:rPr>
        <w:t xml:space="preserve">, and </w:t>
      </w:r>
      <w:proofErr w:type="spellStart"/>
      <w:r w:rsidRPr="00F50612">
        <w:rPr>
          <w:rFonts w:ascii="Times New Roman" w:hAnsi="Times New Roman" w:cs="Times New Roman"/>
          <w:sz w:val="20"/>
          <w:szCs w:val="20"/>
          <w:lang w:val="en-US"/>
        </w:rPr>
        <w:t>Micrococcales</w:t>
      </w:r>
      <w:proofErr w:type="spellEnd"/>
      <w:r w:rsidRPr="00F50612">
        <w:rPr>
          <w:rFonts w:ascii="Times New Roman" w:hAnsi="Times New Roman" w:cs="Times New Roman"/>
          <w:sz w:val="20"/>
          <w:szCs w:val="20"/>
          <w:lang w:val="en-US"/>
        </w:rPr>
        <w:t xml:space="preserve">. Only the phylum Proteobacteria and order </w:t>
      </w:r>
      <w:proofErr w:type="spellStart"/>
      <w:r w:rsidRPr="00F50612">
        <w:rPr>
          <w:rFonts w:ascii="Times New Roman" w:hAnsi="Times New Roman" w:cs="Times New Roman"/>
          <w:sz w:val="20"/>
          <w:szCs w:val="20"/>
          <w:lang w:val="en-US"/>
        </w:rPr>
        <w:t>Burkholderiales</w:t>
      </w:r>
      <w:proofErr w:type="spellEnd"/>
      <w:r w:rsidRPr="00F50612">
        <w:rPr>
          <w:rFonts w:ascii="Times New Roman" w:hAnsi="Times New Roman" w:cs="Times New Roman"/>
          <w:sz w:val="20"/>
          <w:szCs w:val="20"/>
          <w:lang w:val="en-US"/>
        </w:rPr>
        <w:t xml:space="preserve"> met the 10</w:t>
      </w:r>
      <w:r w:rsidRPr="00F50612">
        <w:rPr>
          <w:rFonts w:ascii="Times New Roman" w:hAnsi="Times New Roman" w:cs="Times New Roman"/>
          <w:sz w:val="20"/>
          <w:szCs w:val="20"/>
          <w:vertAlign w:val="superscript"/>
          <w:lang w:val="en-US"/>
        </w:rPr>
        <w:t xml:space="preserve">-2 </w:t>
      </w:r>
      <w:r w:rsidRPr="00F50612">
        <w:rPr>
          <w:rFonts w:ascii="Times New Roman" w:hAnsi="Times New Roman" w:cs="Times New Roman"/>
          <w:sz w:val="20"/>
          <w:szCs w:val="20"/>
          <w:lang w:val="en-US"/>
        </w:rPr>
        <w:t xml:space="preserve">relative abundance threshold at 90% prevalence. No taxa were detected on the basis of the relative abundance criteria alone in </w:t>
      </w:r>
      <w:r w:rsidR="00B40F84" w:rsidRPr="00F50612">
        <w:rPr>
          <w:rFonts w:ascii="Times New Roman" w:hAnsi="Times New Roman" w:cs="Times New Roman"/>
          <w:sz w:val="20"/>
          <w:szCs w:val="20"/>
          <w:lang w:val="en-US"/>
        </w:rPr>
        <w:t>99</w:t>
      </w:r>
      <w:r w:rsidRPr="00F50612">
        <w:rPr>
          <w:rFonts w:ascii="Times New Roman" w:hAnsi="Times New Roman" w:cs="Times New Roman"/>
          <w:sz w:val="20"/>
          <w:szCs w:val="20"/>
          <w:lang w:val="en-US"/>
        </w:rPr>
        <w:t>% of the samples.</w:t>
      </w:r>
    </w:p>
    <w:p w14:paraId="2CC4B304" w14:textId="3C6565EF" w:rsidR="007D4FB3" w:rsidRPr="00F50612" w:rsidRDefault="007D4FB3" w:rsidP="00F50612">
      <w:pPr>
        <w:spacing w:line="480" w:lineRule="auto"/>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At the OTU level, no taxa were detected at a </w:t>
      </w:r>
      <w:r w:rsidR="00B40F84" w:rsidRPr="00F50612">
        <w:rPr>
          <w:rFonts w:ascii="Times New Roman" w:hAnsi="Times New Roman" w:cs="Times New Roman"/>
          <w:sz w:val="20"/>
          <w:szCs w:val="20"/>
          <w:lang w:val="en-US"/>
        </w:rPr>
        <w:t>99</w:t>
      </w:r>
      <w:r w:rsidRPr="00F50612">
        <w:rPr>
          <w:rFonts w:ascii="Times New Roman" w:hAnsi="Times New Roman" w:cs="Times New Roman"/>
          <w:sz w:val="20"/>
          <w:szCs w:val="20"/>
          <w:lang w:val="en-US"/>
        </w:rPr>
        <w:t xml:space="preserve">% prevalence. </w:t>
      </w:r>
      <w:r w:rsidRPr="00F50612">
        <w:rPr>
          <w:rFonts w:ascii="Times New Roman" w:hAnsi="Times New Roman" w:cs="Times New Roman"/>
          <w:i/>
          <w:iCs/>
          <w:sz w:val="20"/>
          <w:szCs w:val="20"/>
          <w:lang w:val="en-US"/>
        </w:rPr>
        <w:t xml:space="preserve">Limnohabitans </w:t>
      </w:r>
      <w:proofErr w:type="spellStart"/>
      <w:r w:rsidRPr="00F50612">
        <w:rPr>
          <w:rFonts w:ascii="Times New Roman" w:hAnsi="Times New Roman" w:cs="Times New Roman"/>
          <w:i/>
          <w:iCs/>
          <w:sz w:val="20"/>
          <w:szCs w:val="20"/>
          <w:lang w:val="en-US"/>
        </w:rPr>
        <w:t>planktonicus</w:t>
      </w:r>
      <w:proofErr w:type="spellEnd"/>
      <w:r w:rsidRPr="00F50612">
        <w:rPr>
          <w:rFonts w:ascii="Times New Roman" w:hAnsi="Times New Roman" w:cs="Times New Roman"/>
          <w:sz w:val="20"/>
          <w:szCs w:val="20"/>
          <w:lang w:val="en-US"/>
        </w:rPr>
        <w:t xml:space="preserve"> (OTU1) was detected in the gut samples and was by far the most prevalent group in the digestive tract of </w:t>
      </w:r>
      <w:r w:rsidRPr="00F50612">
        <w:rPr>
          <w:rFonts w:ascii="Times New Roman" w:hAnsi="Times New Roman" w:cs="Times New Roman"/>
          <w:i/>
          <w:iCs/>
          <w:sz w:val="20"/>
          <w:szCs w:val="20"/>
          <w:lang w:val="en-US"/>
        </w:rPr>
        <w:t>Daphnia magna</w:t>
      </w:r>
      <w:r w:rsidR="00B40F84" w:rsidRPr="00F50612">
        <w:rPr>
          <w:rFonts w:ascii="Times New Roman" w:hAnsi="Times New Roman" w:cs="Times New Roman"/>
          <w:i/>
          <w:iCs/>
          <w:sz w:val="20"/>
          <w:szCs w:val="20"/>
          <w:lang w:val="en-US"/>
        </w:rPr>
        <w:t xml:space="preserve"> </w:t>
      </w:r>
      <w:r w:rsidR="00B40F84" w:rsidRPr="00F50612">
        <w:rPr>
          <w:rFonts w:ascii="Times New Roman" w:hAnsi="Times New Roman" w:cs="Times New Roman"/>
          <w:sz w:val="20"/>
          <w:szCs w:val="20"/>
          <w:lang w:val="en-US"/>
        </w:rPr>
        <w:t>(90% prevalence)</w:t>
      </w:r>
      <w:r w:rsidRPr="00F50612">
        <w:rPr>
          <w:rFonts w:ascii="Times New Roman" w:hAnsi="Times New Roman" w:cs="Times New Roman"/>
          <w:sz w:val="20"/>
          <w:szCs w:val="20"/>
          <w:lang w:val="en-US"/>
        </w:rPr>
        <w:t xml:space="preserve">. Other prevalent bacterial groups, identified at 80% prevalence, included </w:t>
      </w:r>
      <w:proofErr w:type="spellStart"/>
      <w:r w:rsidRPr="00F50612">
        <w:rPr>
          <w:rFonts w:ascii="Times New Roman" w:hAnsi="Times New Roman" w:cs="Times New Roman"/>
          <w:i/>
          <w:iCs/>
          <w:sz w:val="20"/>
          <w:szCs w:val="20"/>
          <w:lang w:val="en-US"/>
        </w:rPr>
        <w:t>Ideonella</w:t>
      </w:r>
      <w:proofErr w:type="spellEnd"/>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paludis</w:t>
      </w:r>
      <w:proofErr w:type="spellEnd"/>
      <w:r w:rsidRPr="00F50612">
        <w:rPr>
          <w:rFonts w:ascii="Times New Roman" w:hAnsi="Times New Roman" w:cs="Times New Roman"/>
          <w:sz w:val="20"/>
          <w:szCs w:val="20"/>
          <w:lang w:val="en-US"/>
        </w:rPr>
        <w:t xml:space="preserve"> and </w:t>
      </w:r>
      <w:proofErr w:type="spellStart"/>
      <w:r w:rsidRPr="00F50612">
        <w:rPr>
          <w:rFonts w:ascii="Times New Roman" w:hAnsi="Times New Roman" w:cs="Times New Roman"/>
          <w:i/>
          <w:iCs/>
          <w:sz w:val="20"/>
          <w:szCs w:val="20"/>
          <w:lang w:val="en-US"/>
        </w:rPr>
        <w:t>Variovorax</w:t>
      </w:r>
      <w:proofErr w:type="spellEnd"/>
      <w:r w:rsidRPr="00F50612">
        <w:rPr>
          <w:rFonts w:ascii="Times New Roman" w:hAnsi="Times New Roman" w:cs="Times New Roman"/>
          <w:i/>
          <w:iCs/>
          <w:sz w:val="20"/>
          <w:szCs w:val="20"/>
          <w:lang w:val="en-US"/>
        </w:rPr>
        <w:t xml:space="preserve"> sp</w:t>
      </w:r>
      <w:r w:rsidRPr="00F50612">
        <w:rPr>
          <w:rFonts w:ascii="Times New Roman" w:hAnsi="Times New Roman" w:cs="Times New Roman"/>
          <w:sz w:val="20"/>
          <w:szCs w:val="20"/>
          <w:lang w:val="en-US"/>
        </w:rPr>
        <w:t xml:space="preserve">. (OTU4) (both belonging to the family </w:t>
      </w:r>
      <w:proofErr w:type="spellStart"/>
      <w:r w:rsidRPr="00F50612">
        <w:rPr>
          <w:rFonts w:ascii="Times New Roman" w:hAnsi="Times New Roman" w:cs="Times New Roman"/>
          <w:sz w:val="20"/>
          <w:szCs w:val="20"/>
          <w:lang w:val="en-US"/>
        </w:rPr>
        <w:t>Comamonadaceae</w:t>
      </w:r>
      <w:proofErr w:type="spellEnd"/>
      <w:r w:rsidRPr="00F50612">
        <w:rPr>
          <w:rFonts w:ascii="Times New Roman" w:hAnsi="Times New Roman" w:cs="Times New Roman"/>
          <w:sz w:val="20"/>
          <w:szCs w:val="20"/>
          <w:lang w:val="en-US"/>
        </w:rPr>
        <w:t xml:space="preserve">), </w:t>
      </w:r>
      <w:r w:rsidRPr="00F50612">
        <w:rPr>
          <w:rFonts w:ascii="Times New Roman" w:hAnsi="Times New Roman" w:cs="Times New Roman"/>
          <w:i/>
          <w:iCs/>
          <w:sz w:val="20"/>
          <w:szCs w:val="20"/>
          <w:lang w:val="en-US"/>
        </w:rPr>
        <w:t xml:space="preserve">Staphylococcus </w:t>
      </w:r>
      <w:r w:rsidR="00B40F84" w:rsidRPr="00F50612">
        <w:rPr>
          <w:rFonts w:ascii="Times New Roman" w:hAnsi="Times New Roman" w:cs="Times New Roman"/>
          <w:sz w:val="20"/>
          <w:szCs w:val="20"/>
          <w:lang w:val="en-US"/>
        </w:rPr>
        <w:t>sp.</w:t>
      </w:r>
      <w:r w:rsidRPr="00F50612">
        <w:rPr>
          <w:rFonts w:ascii="Times New Roman" w:hAnsi="Times New Roman" w:cs="Times New Roman"/>
          <w:sz w:val="20"/>
          <w:szCs w:val="20"/>
          <w:lang w:val="en-US"/>
        </w:rPr>
        <w:t xml:space="preserve"> (OTU41), unclassified </w:t>
      </w:r>
      <w:proofErr w:type="spellStart"/>
      <w:r w:rsidRPr="00F50612">
        <w:rPr>
          <w:rFonts w:ascii="Times New Roman" w:hAnsi="Times New Roman" w:cs="Times New Roman"/>
          <w:i/>
          <w:iCs/>
          <w:sz w:val="20"/>
          <w:szCs w:val="20"/>
          <w:lang w:val="en-US"/>
        </w:rPr>
        <w:t>Microbacteriaceae</w:t>
      </w:r>
      <w:proofErr w:type="spellEnd"/>
      <w:r w:rsidRPr="00F50612">
        <w:rPr>
          <w:rFonts w:ascii="Times New Roman" w:hAnsi="Times New Roman" w:cs="Times New Roman"/>
          <w:sz w:val="20"/>
          <w:szCs w:val="20"/>
          <w:lang w:val="en-US"/>
        </w:rPr>
        <w:t xml:space="preserve"> (OTU34) and </w:t>
      </w:r>
      <w:r w:rsidRPr="00F50612">
        <w:rPr>
          <w:rFonts w:ascii="Times New Roman" w:hAnsi="Times New Roman" w:cs="Times New Roman"/>
          <w:i/>
          <w:iCs/>
          <w:sz w:val="20"/>
          <w:szCs w:val="20"/>
          <w:lang w:val="en-US"/>
        </w:rPr>
        <w:t>Escherichia/Shigella</w:t>
      </w:r>
      <w:r w:rsidRPr="00F50612">
        <w:rPr>
          <w:rFonts w:ascii="Times New Roman" w:hAnsi="Times New Roman" w:cs="Times New Roman"/>
          <w:sz w:val="20"/>
          <w:szCs w:val="20"/>
          <w:lang w:val="en-US"/>
        </w:rPr>
        <w:t xml:space="preserve"> sp. (OTU13). The results from the combined prevalence and relative abundance-based thresholds were quite aligned with the prevalence-defined thresholds. Only one OTU, </w:t>
      </w:r>
      <w:r w:rsidRPr="00F50612">
        <w:rPr>
          <w:rFonts w:ascii="Times New Roman" w:hAnsi="Times New Roman" w:cs="Times New Roman"/>
          <w:i/>
          <w:iCs/>
          <w:sz w:val="20"/>
          <w:szCs w:val="20"/>
          <w:lang w:val="en-US"/>
        </w:rPr>
        <w:t xml:space="preserve">Limnohabitans </w:t>
      </w:r>
      <w:proofErr w:type="spellStart"/>
      <w:r w:rsidRPr="00F50612">
        <w:rPr>
          <w:rFonts w:ascii="Times New Roman" w:hAnsi="Times New Roman" w:cs="Times New Roman"/>
          <w:i/>
          <w:iCs/>
          <w:sz w:val="20"/>
          <w:szCs w:val="20"/>
          <w:lang w:val="en-US"/>
        </w:rPr>
        <w:t>planktonicus</w:t>
      </w:r>
      <w:proofErr w:type="spellEnd"/>
      <w:r w:rsidRPr="00F50612">
        <w:rPr>
          <w:rFonts w:ascii="Times New Roman" w:hAnsi="Times New Roman" w:cs="Times New Roman"/>
          <w:sz w:val="20"/>
          <w:szCs w:val="20"/>
          <w:lang w:val="en-US"/>
        </w:rPr>
        <w:t xml:space="preserve"> (OTU 1), met the relative abundance threshold of 10</w:t>
      </w:r>
      <w:r w:rsidRPr="00F50612">
        <w:rPr>
          <w:rFonts w:ascii="Times New Roman" w:hAnsi="Times New Roman" w:cs="Times New Roman"/>
          <w:sz w:val="20"/>
          <w:szCs w:val="20"/>
          <w:vertAlign w:val="superscript"/>
          <w:lang w:val="en-US"/>
        </w:rPr>
        <w:t>-3</w:t>
      </w:r>
      <w:r w:rsidRPr="00F50612">
        <w:rPr>
          <w:rFonts w:ascii="Times New Roman" w:hAnsi="Times New Roman" w:cs="Times New Roman"/>
          <w:sz w:val="20"/>
          <w:szCs w:val="20"/>
          <w:lang w:val="en-US"/>
        </w:rPr>
        <w:t xml:space="preserve"> in 90% of the samples. Other members identified at 50% prevalence for a detection threshold of 10</w:t>
      </w:r>
      <w:r w:rsidRPr="00F50612">
        <w:rPr>
          <w:rFonts w:ascii="Times New Roman" w:hAnsi="Times New Roman" w:cs="Times New Roman"/>
          <w:sz w:val="20"/>
          <w:szCs w:val="20"/>
          <w:vertAlign w:val="superscript"/>
          <w:lang w:val="en-US"/>
        </w:rPr>
        <w:t>-4</w:t>
      </w:r>
      <w:r w:rsidRPr="00F50612">
        <w:rPr>
          <w:rFonts w:ascii="Times New Roman" w:hAnsi="Times New Roman" w:cs="Times New Roman"/>
          <w:sz w:val="20"/>
          <w:szCs w:val="20"/>
          <w:lang w:val="en-US"/>
        </w:rPr>
        <w:t xml:space="preserve"> included </w:t>
      </w:r>
      <w:proofErr w:type="spellStart"/>
      <w:r w:rsidRPr="00F50612">
        <w:rPr>
          <w:rFonts w:ascii="Times New Roman" w:hAnsi="Times New Roman" w:cs="Times New Roman"/>
          <w:i/>
          <w:iCs/>
          <w:sz w:val="20"/>
          <w:szCs w:val="20"/>
          <w:lang w:val="en-US"/>
        </w:rPr>
        <w:t>Formosimonas</w:t>
      </w:r>
      <w:proofErr w:type="spellEnd"/>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Ideonella</w:t>
      </w:r>
      <w:proofErr w:type="spellEnd"/>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paludis</w:t>
      </w:r>
      <w:proofErr w:type="spellEnd"/>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Variovorax</w:t>
      </w:r>
      <w:proofErr w:type="spellEnd"/>
      <w:r w:rsidRPr="00F50612">
        <w:rPr>
          <w:rFonts w:ascii="Times New Roman" w:hAnsi="Times New Roman" w:cs="Times New Roman"/>
          <w:sz w:val="20"/>
          <w:szCs w:val="20"/>
          <w:lang w:val="en-US"/>
        </w:rPr>
        <w:t xml:space="preserve"> sp., </w:t>
      </w:r>
      <w:r w:rsidRPr="00F50612">
        <w:rPr>
          <w:rFonts w:ascii="Times New Roman" w:hAnsi="Times New Roman" w:cs="Times New Roman"/>
          <w:i/>
          <w:iCs/>
          <w:sz w:val="20"/>
          <w:szCs w:val="20"/>
          <w:lang w:val="en-US"/>
        </w:rPr>
        <w:t>Pseudomonas</w:t>
      </w:r>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Escherichia/Shigella</w:t>
      </w:r>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Shinella</w:t>
      </w:r>
      <w:proofErr w:type="spellEnd"/>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Emticicia</w:t>
      </w:r>
      <w:proofErr w:type="spellEnd"/>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Streptococcus</w:t>
      </w:r>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Staphylococcus</w:t>
      </w:r>
      <w:r w:rsidRPr="00F50612">
        <w:rPr>
          <w:rFonts w:ascii="Times New Roman" w:hAnsi="Times New Roman" w:cs="Times New Roman"/>
          <w:sz w:val="20"/>
          <w:szCs w:val="20"/>
          <w:lang w:val="en-US"/>
        </w:rPr>
        <w:t xml:space="preserve"> sp.</w:t>
      </w:r>
      <w:r w:rsidRPr="00F50612">
        <w:rPr>
          <w:rFonts w:ascii="Times New Roman" w:hAnsi="Times New Roman" w:cs="Times New Roman"/>
          <w:i/>
          <w:iCs/>
          <w:sz w:val="20"/>
          <w:szCs w:val="20"/>
          <w:lang w:val="en-US"/>
        </w:rPr>
        <w:t xml:space="preserve"> </w:t>
      </w:r>
      <w:r w:rsidRPr="00F50612">
        <w:rPr>
          <w:rFonts w:ascii="Times New Roman" w:hAnsi="Times New Roman" w:cs="Times New Roman"/>
          <w:sz w:val="20"/>
          <w:szCs w:val="20"/>
          <w:lang w:val="en-US"/>
        </w:rPr>
        <w:t xml:space="preserve">and unclassified </w:t>
      </w:r>
      <w:proofErr w:type="spellStart"/>
      <w:r w:rsidRPr="00F50612">
        <w:rPr>
          <w:rFonts w:ascii="Times New Roman" w:hAnsi="Times New Roman" w:cs="Times New Roman"/>
          <w:i/>
          <w:iCs/>
          <w:sz w:val="20"/>
          <w:szCs w:val="20"/>
          <w:lang w:val="en-US"/>
        </w:rPr>
        <w:t>Chitinophagaceae</w:t>
      </w:r>
      <w:proofErr w:type="spellEnd"/>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i/>
          <w:iCs/>
          <w:sz w:val="20"/>
          <w:szCs w:val="20"/>
          <w:lang w:val="en-US"/>
        </w:rPr>
        <w:t>Rhodobacteriaceae</w:t>
      </w:r>
      <w:proofErr w:type="spellEnd"/>
      <w:r w:rsidRPr="00F50612">
        <w:rPr>
          <w:rFonts w:ascii="Times New Roman" w:hAnsi="Times New Roman" w:cs="Times New Roman"/>
          <w:sz w:val="20"/>
          <w:szCs w:val="20"/>
          <w:lang w:val="en-US"/>
        </w:rPr>
        <w:t xml:space="preserve"> and</w:t>
      </w:r>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Comamonadaceae</w:t>
      </w:r>
      <w:proofErr w:type="spellEnd"/>
      <w:r w:rsidRPr="00F50612">
        <w:rPr>
          <w:rFonts w:ascii="Times New Roman" w:hAnsi="Times New Roman" w:cs="Times New Roman"/>
          <w:sz w:val="20"/>
          <w:szCs w:val="20"/>
          <w:lang w:val="en-US"/>
        </w:rPr>
        <w:t>. At a detection threshold of 10</w:t>
      </w:r>
      <w:r w:rsidRPr="00F50612">
        <w:rPr>
          <w:rFonts w:ascii="Times New Roman" w:hAnsi="Times New Roman" w:cs="Times New Roman"/>
          <w:sz w:val="20"/>
          <w:szCs w:val="20"/>
          <w:vertAlign w:val="superscript"/>
          <w:lang w:val="en-US"/>
        </w:rPr>
        <w:t>--3</w:t>
      </w:r>
      <w:r w:rsidRPr="00F50612">
        <w:rPr>
          <w:rFonts w:ascii="Times New Roman" w:hAnsi="Times New Roman" w:cs="Times New Roman"/>
          <w:sz w:val="20"/>
          <w:szCs w:val="20"/>
          <w:lang w:val="en-US"/>
        </w:rPr>
        <w:t xml:space="preserve">, </w:t>
      </w:r>
      <w:proofErr w:type="spellStart"/>
      <w:r w:rsidRPr="00F50612">
        <w:rPr>
          <w:rFonts w:ascii="Times New Roman" w:hAnsi="Times New Roman" w:cs="Times New Roman"/>
          <w:i/>
          <w:iCs/>
          <w:sz w:val="20"/>
          <w:szCs w:val="20"/>
          <w:lang w:val="en-US"/>
        </w:rPr>
        <w:t>Formosimonas</w:t>
      </w:r>
      <w:proofErr w:type="spellEnd"/>
      <w:r w:rsidRPr="00F50612">
        <w:rPr>
          <w:rFonts w:ascii="Times New Roman" w:hAnsi="Times New Roman" w:cs="Times New Roman"/>
          <w:sz w:val="20"/>
          <w:szCs w:val="20"/>
          <w:lang w:val="en-US"/>
        </w:rPr>
        <w:t xml:space="preserve"> sp., </w:t>
      </w:r>
      <w:proofErr w:type="spellStart"/>
      <w:r w:rsidRPr="00F50612">
        <w:rPr>
          <w:rFonts w:ascii="Times New Roman" w:hAnsi="Times New Roman" w:cs="Times New Roman"/>
          <w:i/>
          <w:iCs/>
          <w:sz w:val="20"/>
          <w:szCs w:val="20"/>
          <w:lang w:val="en-US"/>
        </w:rPr>
        <w:t>Variovorax</w:t>
      </w:r>
      <w:proofErr w:type="spellEnd"/>
      <w:r w:rsidRPr="00F50612">
        <w:rPr>
          <w:rFonts w:ascii="Times New Roman" w:hAnsi="Times New Roman" w:cs="Times New Roman"/>
          <w:sz w:val="20"/>
          <w:szCs w:val="20"/>
          <w:lang w:val="en-US"/>
        </w:rPr>
        <w:t xml:space="preserve"> sp., </w:t>
      </w:r>
      <w:proofErr w:type="spellStart"/>
      <w:r w:rsidRPr="00F50612">
        <w:rPr>
          <w:rFonts w:ascii="Times New Roman" w:hAnsi="Times New Roman" w:cs="Times New Roman"/>
          <w:i/>
          <w:iCs/>
          <w:sz w:val="20"/>
          <w:szCs w:val="20"/>
          <w:lang w:val="en-US"/>
        </w:rPr>
        <w:t>Ideonella</w:t>
      </w:r>
      <w:proofErr w:type="spellEnd"/>
      <w:r w:rsidRPr="00F50612">
        <w:rPr>
          <w:rFonts w:ascii="Times New Roman" w:hAnsi="Times New Roman" w:cs="Times New Roman"/>
          <w:i/>
          <w:iCs/>
          <w:sz w:val="20"/>
          <w:szCs w:val="20"/>
          <w:lang w:val="en-US"/>
        </w:rPr>
        <w:t xml:space="preserve"> </w:t>
      </w:r>
      <w:proofErr w:type="spellStart"/>
      <w:r w:rsidRPr="00F50612">
        <w:rPr>
          <w:rFonts w:ascii="Times New Roman" w:hAnsi="Times New Roman" w:cs="Times New Roman"/>
          <w:i/>
          <w:iCs/>
          <w:sz w:val="20"/>
          <w:szCs w:val="20"/>
          <w:lang w:val="en-US"/>
        </w:rPr>
        <w:t>paludis</w:t>
      </w:r>
      <w:proofErr w:type="spellEnd"/>
      <w:r w:rsidRPr="00F50612">
        <w:rPr>
          <w:rFonts w:ascii="Times New Roman" w:hAnsi="Times New Roman" w:cs="Times New Roman"/>
          <w:sz w:val="20"/>
          <w:szCs w:val="20"/>
          <w:lang w:val="en-US"/>
        </w:rPr>
        <w:t xml:space="preserve">, </w:t>
      </w:r>
      <w:r w:rsidRPr="00F50612">
        <w:rPr>
          <w:rFonts w:ascii="Times New Roman" w:hAnsi="Times New Roman" w:cs="Times New Roman"/>
          <w:i/>
          <w:iCs/>
          <w:sz w:val="20"/>
          <w:szCs w:val="20"/>
          <w:lang w:val="en-US"/>
        </w:rPr>
        <w:t>Escherichia/Shigella</w:t>
      </w:r>
      <w:r w:rsidRPr="00F50612">
        <w:rPr>
          <w:rFonts w:ascii="Times New Roman" w:hAnsi="Times New Roman" w:cs="Times New Roman"/>
          <w:sz w:val="20"/>
          <w:szCs w:val="20"/>
          <w:lang w:val="en-US"/>
        </w:rPr>
        <w:t xml:space="preserve"> sp. and</w:t>
      </w:r>
      <w:r w:rsidRPr="00F50612">
        <w:rPr>
          <w:rFonts w:ascii="Times New Roman" w:hAnsi="Times New Roman" w:cs="Times New Roman"/>
          <w:i/>
          <w:iCs/>
          <w:sz w:val="20"/>
          <w:szCs w:val="20"/>
          <w:lang w:val="en-US"/>
        </w:rPr>
        <w:t xml:space="preserve"> </w:t>
      </w:r>
      <w:r w:rsidRPr="00F50612">
        <w:rPr>
          <w:rFonts w:ascii="Times New Roman" w:hAnsi="Times New Roman" w:cs="Times New Roman"/>
          <w:sz w:val="20"/>
          <w:szCs w:val="20"/>
          <w:lang w:val="en-US"/>
        </w:rPr>
        <w:t xml:space="preserve">unclassified </w:t>
      </w:r>
      <w:proofErr w:type="spellStart"/>
      <w:r w:rsidRPr="00F50612">
        <w:rPr>
          <w:rFonts w:ascii="Times New Roman" w:hAnsi="Times New Roman" w:cs="Times New Roman"/>
          <w:i/>
          <w:iCs/>
          <w:sz w:val="20"/>
          <w:szCs w:val="20"/>
          <w:lang w:val="en-US"/>
        </w:rPr>
        <w:t>Chitinophagaceae</w:t>
      </w:r>
      <w:proofErr w:type="spellEnd"/>
      <w:r w:rsidRPr="00F50612">
        <w:rPr>
          <w:rFonts w:ascii="Times New Roman" w:hAnsi="Times New Roman" w:cs="Times New Roman"/>
          <w:sz w:val="20"/>
          <w:szCs w:val="20"/>
          <w:lang w:val="en-US"/>
        </w:rPr>
        <w:t xml:space="preserve"> were detected in 50% of the samples. For an assigned threshold of 10</w:t>
      </w:r>
      <w:r w:rsidRPr="00F50612">
        <w:rPr>
          <w:rFonts w:ascii="Times New Roman" w:hAnsi="Times New Roman" w:cs="Times New Roman"/>
          <w:sz w:val="20"/>
          <w:szCs w:val="20"/>
          <w:vertAlign w:val="superscript"/>
          <w:lang w:val="en-US"/>
        </w:rPr>
        <w:t>-2</w:t>
      </w:r>
      <w:r w:rsidRPr="00F50612">
        <w:rPr>
          <w:rFonts w:ascii="Times New Roman" w:hAnsi="Times New Roman" w:cs="Times New Roman"/>
          <w:sz w:val="20"/>
          <w:szCs w:val="20"/>
          <w:lang w:val="en-US"/>
        </w:rPr>
        <w:t xml:space="preserve">, </w:t>
      </w:r>
      <w:r w:rsidRPr="00F50612">
        <w:rPr>
          <w:rFonts w:ascii="Times New Roman" w:hAnsi="Times New Roman" w:cs="Times New Roman"/>
          <w:i/>
          <w:iCs/>
          <w:sz w:val="20"/>
          <w:szCs w:val="20"/>
          <w:lang w:val="en-US"/>
        </w:rPr>
        <w:t xml:space="preserve">Limnohabitans </w:t>
      </w:r>
      <w:proofErr w:type="spellStart"/>
      <w:r w:rsidRPr="00F50612">
        <w:rPr>
          <w:rFonts w:ascii="Times New Roman" w:hAnsi="Times New Roman" w:cs="Times New Roman"/>
          <w:i/>
          <w:iCs/>
          <w:sz w:val="20"/>
          <w:szCs w:val="20"/>
          <w:lang w:val="en-US"/>
        </w:rPr>
        <w:t>planktonicus</w:t>
      </w:r>
      <w:proofErr w:type="spellEnd"/>
      <w:r w:rsidRPr="00F50612">
        <w:rPr>
          <w:rFonts w:ascii="Times New Roman" w:hAnsi="Times New Roman" w:cs="Times New Roman"/>
          <w:sz w:val="20"/>
          <w:szCs w:val="20"/>
          <w:lang w:val="en-US"/>
        </w:rPr>
        <w:t xml:space="preserve"> was identified only at 50% prevalence.</w:t>
      </w:r>
    </w:p>
    <w:p w14:paraId="404FD6CC" w14:textId="77777777" w:rsidR="007D4FB3" w:rsidRPr="00A453D3" w:rsidRDefault="007D4FB3" w:rsidP="00A453D3">
      <w:pPr>
        <w:rPr>
          <w:rFonts w:ascii="Times New Roman" w:hAnsi="Times New Roman" w:cs="Times New Roman"/>
          <w:b/>
          <w:bCs/>
          <w:lang w:val="en-US"/>
        </w:rPr>
      </w:pPr>
    </w:p>
    <w:p w14:paraId="5024BE2D" w14:textId="2124270D" w:rsidR="00A453D3" w:rsidRPr="00F50612" w:rsidRDefault="00FB0434" w:rsidP="00494E44">
      <w:pPr>
        <w:pStyle w:val="ListParagraph"/>
        <w:numPr>
          <w:ilvl w:val="0"/>
          <w:numId w:val="2"/>
        </w:numPr>
        <w:rPr>
          <w:rFonts w:ascii="Times New Roman" w:hAnsi="Times New Roman" w:cs="Times New Roman"/>
          <w:b/>
          <w:bCs/>
          <w:i/>
          <w:iCs/>
          <w:sz w:val="20"/>
          <w:szCs w:val="20"/>
          <w:lang w:val="en-US"/>
        </w:rPr>
      </w:pPr>
      <w:r w:rsidRPr="00F50612">
        <w:rPr>
          <w:rFonts w:ascii="Times New Roman" w:hAnsi="Times New Roman" w:cs="Times New Roman"/>
          <w:b/>
          <w:bCs/>
          <w:i/>
          <w:iCs/>
          <w:sz w:val="20"/>
          <w:szCs w:val="20"/>
          <w:lang w:val="en-US"/>
        </w:rPr>
        <w:lastRenderedPageBreak/>
        <w:t xml:space="preserve">Microbial </w:t>
      </w:r>
      <w:r w:rsidR="0012700A" w:rsidRPr="00F50612">
        <w:rPr>
          <w:rFonts w:ascii="Times New Roman" w:hAnsi="Times New Roman" w:cs="Times New Roman"/>
          <w:b/>
          <w:bCs/>
          <w:i/>
          <w:iCs/>
          <w:sz w:val="20"/>
          <w:szCs w:val="20"/>
          <w:lang w:val="en-US"/>
        </w:rPr>
        <w:t>community composition</w:t>
      </w:r>
    </w:p>
    <w:p w14:paraId="2F96ECDD" w14:textId="54361D96" w:rsidR="0012700A" w:rsidRPr="00F50612" w:rsidRDefault="0012700A" w:rsidP="00F50612">
      <w:pPr>
        <w:spacing w:line="480" w:lineRule="auto"/>
        <w:rPr>
          <w:rFonts w:ascii="Times New Roman" w:hAnsi="Times New Roman" w:cs="Times New Roman"/>
          <w:b/>
          <w:bCs/>
          <w:sz w:val="20"/>
          <w:szCs w:val="20"/>
          <w:lang w:val="en-US"/>
        </w:rPr>
      </w:pPr>
      <w:r w:rsidRPr="00F50612">
        <w:rPr>
          <w:rFonts w:ascii="Times New Roman" w:hAnsi="Times New Roman" w:cs="Times New Roman"/>
          <w:sz w:val="20"/>
          <w:szCs w:val="20"/>
          <w:lang w:val="en-US"/>
        </w:rPr>
        <w:t xml:space="preserve">To gain an overview of the microbial composition at </w:t>
      </w:r>
      <w:r w:rsidR="00087203" w:rsidRPr="00F50612">
        <w:rPr>
          <w:rFonts w:ascii="Times New Roman" w:hAnsi="Times New Roman" w:cs="Times New Roman"/>
          <w:sz w:val="20"/>
          <w:szCs w:val="20"/>
          <w:lang w:val="en-US"/>
        </w:rPr>
        <w:t xml:space="preserve">the </w:t>
      </w:r>
      <w:r w:rsidRPr="00F50612">
        <w:rPr>
          <w:rFonts w:ascii="Times New Roman" w:hAnsi="Times New Roman" w:cs="Times New Roman"/>
          <w:sz w:val="20"/>
          <w:szCs w:val="20"/>
          <w:lang w:val="en-US"/>
        </w:rPr>
        <w:t xml:space="preserve">different levels of categorization, namely based on countries, sample type and origin, stacked </w:t>
      </w:r>
      <w:proofErr w:type="spellStart"/>
      <w:r w:rsidRPr="00F50612">
        <w:rPr>
          <w:rFonts w:ascii="Times New Roman" w:hAnsi="Times New Roman" w:cs="Times New Roman"/>
          <w:sz w:val="20"/>
          <w:szCs w:val="20"/>
          <w:lang w:val="en-US"/>
        </w:rPr>
        <w:t>barplots</w:t>
      </w:r>
      <w:proofErr w:type="spellEnd"/>
      <w:r w:rsidRPr="00F50612">
        <w:rPr>
          <w:rFonts w:ascii="Times New Roman" w:hAnsi="Times New Roman" w:cs="Times New Roman"/>
          <w:sz w:val="20"/>
          <w:szCs w:val="20"/>
          <w:lang w:val="en-US"/>
        </w:rPr>
        <w:t xml:space="preserve"> were </w:t>
      </w:r>
      <w:r w:rsidR="00F9667E" w:rsidRPr="00F50612">
        <w:rPr>
          <w:rFonts w:ascii="Times New Roman" w:hAnsi="Times New Roman" w:cs="Times New Roman"/>
          <w:sz w:val="20"/>
          <w:szCs w:val="20"/>
          <w:lang w:val="en-US"/>
        </w:rPr>
        <w:t xml:space="preserve">constructed using the packages </w:t>
      </w:r>
      <w:r w:rsidR="00F9667E" w:rsidRPr="00F50612">
        <w:rPr>
          <w:rFonts w:ascii="Times New Roman" w:hAnsi="Times New Roman" w:cs="Times New Roman"/>
          <w:i/>
          <w:iCs/>
          <w:sz w:val="20"/>
          <w:szCs w:val="20"/>
          <w:lang w:val="en-US"/>
        </w:rPr>
        <w:t>microbiome</w:t>
      </w:r>
      <w:r w:rsidR="00F9667E" w:rsidRPr="00F50612">
        <w:rPr>
          <w:rFonts w:ascii="Times New Roman" w:hAnsi="Times New Roman" w:cs="Times New Roman"/>
          <w:sz w:val="20"/>
          <w:szCs w:val="20"/>
          <w:lang w:val="en-US"/>
        </w:rPr>
        <w:t xml:space="preserve">, </w:t>
      </w:r>
      <w:proofErr w:type="spellStart"/>
      <w:r w:rsidR="00F9667E" w:rsidRPr="00F50612">
        <w:rPr>
          <w:rFonts w:ascii="Times New Roman" w:hAnsi="Times New Roman" w:cs="Times New Roman"/>
          <w:i/>
          <w:iCs/>
          <w:sz w:val="20"/>
          <w:szCs w:val="20"/>
          <w:lang w:val="en-US"/>
        </w:rPr>
        <w:t>phyloseq</w:t>
      </w:r>
      <w:proofErr w:type="spellEnd"/>
      <w:r w:rsidR="00F9667E" w:rsidRPr="00F50612">
        <w:rPr>
          <w:rFonts w:ascii="Times New Roman" w:hAnsi="Times New Roman" w:cs="Times New Roman"/>
          <w:sz w:val="20"/>
          <w:szCs w:val="20"/>
          <w:lang w:val="en-US"/>
        </w:rPr>
        <w:t xml:space="preserve"> and </w:t>
      </w:r>
      <w:proofErr w:type="spellStart"/>
      <w:r w:rsidR="00F9667E" w:rsidRPr="00F50612">
        <w:rPr>
          <w:rFonts w:ascii="Times New Roman" w:hAnsi="Times New Roman" w:cs="Times New Roman"/>
          <w:i/>
          <w:iCs/>
          <w:sz w:val="20"/>
          <w:szCs w:val="20"/>
          <w:lang w:val="en-US"/>
        </w:rPr>
        <w:t>MicroViz</w:t>
      </w:r>
      <w:proofErr w:type="spellEnd"/>
      <w:r w:rsidR="00F9667E" w:rsidRPr="00F50612">
        <w:rPr>
          <w:rFonts w:ascii="Times New Roman" w:hAnsi="Times New Roman" w:cs="Times New Roman"/>
          <w:sz w:val="20"/>
          <w:szCs w:val="20"/>
          <w:lang w:val="en-US"/>
        </w:rPr>
        <w:t xml:space="preserve"> in R. Taxonomic aggregation was carried out at the “Phylum” level to ease visualization and summarization of the top 5 phyla in the community. The top 5 phyla were selected based on their total count abundance in the dataset. </w:t>
      </w:r>
      <w:r w:rsidR="00BD3303" w:rsidRPr="00F50612">
        <w:rPr>
          <w:rFonts w:ascii="Times New Roman" w:hAnsi="Times New Roman" w:cs="Times New Roman"/>
          <w:sz w:val="20"/>
          <w:szCs w:val="20"/>
          <w:lang w:val="en-US"/>
        </w:rPr>
        <w:t>To effectively ensure visualization of within-group compositional variation, individual samples are presented without averaging, allowing all samples in each group to be displayed.</w:t>
      </w:r>
      <w:r w:rsidR="00BD3303" w:rsidRPr="00F50612">
        <w:rPr>
          <w:rFonts w:ascii="Times New Roman" w:hAnsi="Times New Roman" w:cs="Times New Roman"/>
          <w:b/>
          <w:bCs/>
          <w:sz w:val="20"/>
          <w:szCs w:val="20"/>
          <w:lang w:val="en-US"/>
        </w:rPr>
        <w:t xml:space="preserve"> </w:t>
      </w:r>
      <w:r w:rsidR="00F9667E" w:rsidRPr="00F50612">
        <w:rPr>
          <w:rFonts w:ascii="Times New Roman" w:hAnsi="Times New Roman" w:cs="Times New Roman"/>
          <w:sz w:val="20"/>
          <w:szCs w:val="20"/>
          <w:lang w:val="en-US"/>
        </w:rPr>
        <w:t xml:space="preserve">Additionally, samples were sorted by similarity based on the Bray Curtis distance measure. </w:t>
      </w:r>
    </w:p>
    <w:p w14:paraId="0683AF72" w14:textId="238C6ABB" w:rsidR="00FB0434" w:rsidRDefault="00AF3896">
      <w:pPr>
        <w:rPr>
          <w:rFonts w:ascii="Times New Roman" w:hAnsi="Times New Roman" w:cs="Times New Roman"/>
          <w:b/>
          <w:bCs/>
          <w:lang w:val="en-US"/>
        </w:rPr>
      </w:pPr>
      <w:r>
        <w:rPr>
          <w:rFonts w:ascii="Times New Roman" w:hAnsi="Times New Roman" w:cs="Times New Roman"/>
          <w:b/>
          <w:bCs/>
          <w:noProof/>
          <w:lang w:val="en-US"/>
        </w:rPr>
        <w:lastRenderedPageBreak/>
        <w:drawing>
          <wp:inline distT="0" distB="0" distL="0" distR="0" wp14:anchorId="67DC3BF0" wp14:editId="7B735073">
            <wp:extent cx="7375110" cy="4652424"/>
            <wp:effectExtent l="0" t="0" r="0" b="0"/>
            <wp:docPr id="7871435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83831" cy="4657925"/>
                    </a:xfrm>
                    <a:prstGeom prst="rect">
                      <a:avLst/>
                    </a:prstGeom>
                    <a:noFill/>
                  </pic:spPr>
                </pic:pic>
              </a:graphicData>
            </a:graphic>
          </wp:inline>
        </w:drawing>
      </w:r>
    </w:p>
    <w:p w14:paraId="6AC2096A" w14:textId="0B17D5AB" w:rsidR="0012700A" w:rsidRPr="00F50612" w:rsidRDefault="0012700A" w:rsidP="00F50612">
      <w:pPr>
        <w:spacing w:line="480" w:lineRule="auto"/>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Figure </w:t>
      </w:r>
      <w:r w:rsidR="001A40B0">
        <w:rPr>
          <w:rFonts w:ascii="Times New Roman" w:hAnsi="Times New Roman" w:cs="Times New Roman"/>
          <w:sz w:val="20"/>
          <w:szCs w:val="20"/>
          <w:lang w:val="en-US"/>
        </w:rPr>
        <w:t>S</w:t>
      </w:r>
      <w:r w:rsidR="00655268">
        <w:rPr>
          <w:rFonts w:ascii="Times New Roman" w:hAnsi="Times New Roman" w:cs="Times New Roman"/>
          <w:sz w:val="20"/>
          <w:szCs w:val="20"/>
          <w:lang w:val="en-US"/>
        </w:rPr>
        <w:t>3</w:t>
      </w:r>
      <w:r w:rsidRPr="00F50612">
        <w:rPr>
          <w:rFonts w:ascii="Times New Roman" w:hAnsi="Times New Roman" w:cs="Times New Roman"/>
          <w:sz w:val="20"/>
          <w:szCs w:val="20"/>
          <w:lang w:val="en-US"/>
        </w:rPr>
        <w:t xml:space="preserve">: Stacked </w:t>
      </w:r>
      <w:r w:rsidR="004A32BE" w:rsidRPr="00F50612">
        <w:rPr>
          <w:rFonts w:ascii="Times New Roman" w:hAnsi="Times New Roman" w:cs="Times New Roman"/>
          <w:sz w:val="20"/>
          <w:szCs w:val="20"/>
          <w:lang w:val="en-US"/>
        </w:rPr>
        <w:t>bar plots</w:t>
      </w:r>
      <w:r w:rsidRPr="00F50612">
        <w:rPr>
          <w:rFonts w:ascii="Times New Roman" w:hAnsi="Times New Roman" w:cs="Times New Roman"/>
          <w:sz w:val="20"/>
          <w:szCs w:val="20"/>
          <w:lang w:val="en-US"/>
        </w:rPr>
        <w:t xml:space="preserve"> representing within-group variation in microbiome composition at the “Phylum” level for the following </w:t>
      </w:r>
      <w:r w:rsidR="00D61688" w:rsidRPr="00F50612">
        <w:rPr>
          <w:rFonts w:ascii="Times New Roman" w:hAnsi="Times New Roman" w:cs="Times New Roman"/>
          <w:sz w:val="20"/>
          <w:szCs w:val="20"/>
          <w:lang w:val="en-US"/>
        </w:rPr>
        <w:t>categorization</w:t>
      </w:r>
      <w:r w:rsidRPr="00F50612">
        <w:rPr>
          <w:rFonts w:ascii="Times New Roman" w:hAnsi="Times New Roman" w:cs="Times New Roman"/>
          <w:sz w:val="20"/>
          <w:szCs w:val="20"/>
          <w:lang w:val="en-US"/>
        </w:rPr>
        <w:t xml:space="preserve">. A) grouped by Country B) Sample type i.e., gut microbiome and whole microbiome </w:t>
      </w:r>
      <w:r w:rsidR="00AF3896" w:rsidRPr="00F50612">
        <w:rPr>
          <w:rFonts w:ascii="Times New Roman" w:hAnsi="Times New Roman" w:cs="Times New Roman"/>
          <w:sz w:val="20"/>
          <w:szCs w:val="20"/>
          <w:lang w:val="en-US"/>
        </w:rPr>
        <w:t xml:space="preserve">(of laboratory reared animals only) </w:t>
      </w:r>
      <w:r w:rsidRPr="00F50612">
        <w:rPr>
          <w:rFonts w:ascii="Times New Roman" w:hAnsi="Times New Roman" w:cs="Times New Roman"/>
          <w:sz w:val="20"/>
          <w:szCs w:val="20"/>
          <w:lang w:val="en-US"/>
        </w:rPr>
        <w:t>C) Origin i.e</w:t>
      </w:r>
      <w:r w:rsidR="00AF3896" w:rsidRPr="00F50612">
        <w:rPr>
          <w:rFonts w:ascii="Times New Roman" w:hAnsi="Times New Roman" w:cs="Times New Roman"/>
          <w:sz w:val="20"/>
          <w:szCs w:val="20"/>
          <w:lang w:val="en-US"/>
        </w:rPr>
        <w:t>.</w:t>
      </w:r>
      <w:r w:rsidRPr="00F50612">
        <w:rPr>
          <w:rFonts w:ascii="Times New Roman" w:hAnsi="Times New Roman" w:cs="Times New Roman"/>
          <w:sz w:val="20"/>
          <w:szCs w:val="20"/>
          <w:lang w:val="en-US"/>
        </w:rPr>
        <w:t>, laboratory cultured or field collected samples</w:t>
      </w:r>
      <w:r w:rsidR="00AF3896" w:rsidRPr="00F50612">
        <w:rPr>
          <w:rFonts w:ascii="Times New Roman" w:hAnsi="Times New Roman" w:cs="Times New Roman"/>
          <w:sz w:val="20"/>
          <w:szCs w:val="20"/>
          <w:lang w:val="en-US"/>
        </w:rPr>
        <w:t xml:space="preserve"> (for gut samples only)</w:t>
      </w:r>
      <w:r w:rsidRPr="00F50612">
        <w:rPr>
          <w:rFonts w:ascii="Times New Roman" w:hAnsi="Times New Roman" w:cs="Times New Roman"/>
          <w:sz w:val="20"/>
          <w:szCs w:val="20"/>
          <w:lang w:val="en-US"/>
        </w:rPr>
        <w:t>.</w:t>
      </w:r>
    </w:p>
    <w:p w14:paraId="3EA78B7F" w14:textId="77777777" w:rsidR="00087203" w:rsidRPr="00F50612" w:rsidRDefault="00087203">
      <w:pPr>
        <w:rPr>
          <w:rFonts w:ascii="Times New Roman" w:hAnsi="Times New Roman" w:cs="Times New Roman"/>
          <w:sz w:val="20"/>
          <w:szCs w:val="20"/>
          <w:lang w:val="en-US"/>
        </w:rPr>
      </w:pPr>
    </w:p>
    <w:p w14:paraId="2142D2AA" w14:textId="55367028" w:rsidR="00CA5A21" w:rsidRPr="00353F2A" w:rsidRDefault="000B181E" w:rsidP="00353F2A">
      <w:pPr>
        <w:pStyle w:val="ListParagraph"/>
        <w:numPr>
          <w:ilvl w:val="0"/>
          <w:numId w:val="2"/>
        </w:numPr>
        <w:rPr>
          <w:rFonts w:ascii="Times New Roman" w:hAnsi="Times New Roman" w:cs="Times New Roman"/>
          <w:b/>
          <w:bCs/>
          <w:i/>
          <w:iCs/>
          <w:lang w:val="en-US"/>
        </w:rPr>
      </w:pPr>
      <w:r w:rsidRPr="00353F2A">
        <w:rPr>
          <w:rFonts w:ascii="Times New Roman" w:hAnsi="Times New Roman" w:cs="Times New Roman"/>
          <w:b/>
          <w:bCs/>
          <w:i/>
          <w:iCs/>
          <w:lang w:val="en-US"/>
        </w:rPr>
        <w:t xml:space="preserve">Comparison of microbiome composition of laboratory and field samples originating from Lake </w:t>
      </w:r>
      <w:proofErr w:type="spellStart"/>
      <w:r w:rsidRPr="00353F2A">
        <w:rPr>
          <w:rFonts w:ascii="Times New Roman" w:hAnsi="Times New Roman" w:cs="Times New Roman"/>
          <w:b/>
          <w:bCs/>
          <w:i/>
          <w:iCs/>
          <w:lang w:val="en-US"/>
        </w:rPr>
        <w:t>Bysj</w:t>
      </w:r>
      <w:r w:rsidR="00353F2A" w:rsidRPr="00353F2A">
        <w:rPr>
          <w:rFonts w:ascii="Times New Roman" w:hAnsi="Times New Roman" w:cs="Times New Roman"/>
          <w:b/>
          <w:bCs/>
          <w:i/>
          <w:iCs/>
          <w:lang w:val="en-US"/>
        </w:rPr>
        <w:t>ö</w:t>
      </w:r>
      <w:r w:rsidRPr="00353F2A">
        <w:rPr>
          <w:rFonts w:ascii="Times New Roman" w:hAnsi="Times New Roman" w:cs="Times New Roman"/>
          <w:b/>
          <w:bCs/>
          <w:i/>
          <w:iCs/>
          <w:lang w:val="en-US"/>
        </w:rPr>
        <w:t>n</w:t>
      </w:r>
      <w:proofErr w:type="spellEnd"/>
      <w:r w:rsidRPr="00353F2A">
        <w:rPr>
          <w:rFonts w:ascii="Times New Roman" w:hAnsi="Times New Roman" w:cs="Times New Roman"/>
          <w:b/>
          <w:bCs/>
          <w:i/>
          <w:iCs/>
          <w:lang w:val="en-US"/>
        </w:rPr>
        <w:t xml:space="preserve"> (Sweden)</w:t>
      </w:r>
    </w:p>
    <w:p w14:paraId="698B2CFE" w14:textId="4F4C858B" w:rsidR="000B181E" w:rsidRDefault="000B181E" w:rsidP="007D38DE">
      <w:pPr>
        <w:rPr>
          <w:rFonts w:ascii="Times New Roman" w:hAnsi="Times New Roman" w:cs="Times New Roman"/>
          <w:lang w:val="en-US"/>
        </w:rPr>
      </w:pPr>
      <w:r>
        <w:rPr>
          <w:rFonts w:ascii="Times New Roman" w:hAnsi="Times New Roman" w:cs="Times New Roman"/>
          <w:noProof/>
          <w:lang w:val="en-US"/>
        </w:rPr>
        <w:drawing>
          <wp:inline distT="0" distB="0" distL="0" distR="0" wp14:anchorId="0F3A9EBE" wp14:editId="0FE08B83">
            <wp:extent cx="9166225" cy="3455921"/>
            <wp:effectExtent l="0" t="0" r="0" b="0"/>
            <wp:docPr id="401241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83946" cy="3462602"/>
                    </a:xfrm>
                    <a:prstGeom prst="rect">
                      <a:avLst/>
                    </a:prstGeom>
                    <a:noFill/>
                  </pic:spPr>
                </pic:pic>
              </a:graphicData>
            </a:graphic>
          </wp:inline>
        </w:drawing>
      </w:r>
    </w:p>
    <w:p w14:paraId="15E80841" w14:textId="2C6CC515" w:rsidR="000B181E" w:rsidRPr="00F50612" w:rsidRDefault="000B181E" w:rsidP="00F50612">
      <w:pPr>
        <w:spacing w:line="480" w:lineRule="auto"/>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Figure </w:t>
      </w:r>
      <w:r w:rsidR="001A40B0">
        <w:rPr>
          <w:rFonts w:ascii="Times New Roman" w:hAnsi="Times New Roman" w:cs="Times New Roman"/>
          <w:sz w:val="20"/>
          <w:szCs w:val="20"/>
          <w:lang w:val="en-US"/>
        </w:rPr>
        <w:t>S</w:t>
      </w:r>
      <w:r w:rsidR="00655268">
        <w:rPr>
          <w:rFonts w:ascii="Times New Roman" w:hAnsi="Times New Roman" w:cs="Times New Roman"/>
          <w:sz w:val="20"/>
          <w:szCs w:val="20"/>
          <w:lang w:val="en-US"/>
        </w:rPr>
        <w:t>4</w:t>
      </w:r>
      <w:r w:rsidRPr="00F50612">
        <w:rPr>
          <w:rFonts w:ascii="Times New Roman" w:hAnsi="Times New Roman" w:cs="Times New Roman"/>
          <w:sz w:val="20"/>
          <w:szCs w:val="20"/>
          <w:lang w:val="en-US"/>
        </w:rPr>
        <w:t xml:space="preserve">: </w:t>
      </w:r>
      <w:r w:rsidR="00353F2A" w:rsidRPr="00F50612">
        <w:rPr>
          <w:rFonts w:ascii="Times New Roman" w:hAnsi="Times New Roman" w:cs="Times New Roman"/>
          <w:sz w:val="20"/>
          <w:szCs w:val="20"/>
          <w:lang w:val="en-US"/>
        </w:rPr>
        <w:t xml:space="preserve">Comparison of laboratory-cultured samples with that of field-grown samples </w:t>
      </w:r>
      <w:r w:rsidR="000F493A" w:rsidRPr="00F50612">
        <w:rPr>
          <w:rFonts w:ascii="Times New Roman" w:hAnsi="Times New Roman" w:cs="Times New Roman"/>
          <w:sz w:val="20"/>
          <w:szCs w:val="20"/>
          <w:lang w:val="en-US"/>
        </w:rPr>
        <w:t>of the Sweden dataset (</w:t>
      </w:r>
      <w:r w:rsidR="00353F2A" w:rsidRPr="00F50612">
        <w:rPr>
          <w:rFonts w:ascii="Times New Roman" w:hAnsi="Times New Roman" w:cs="Times New Roman"/>
          <w:sz w:val="20"/>
          <w:szCs w:val="20"/>
          <w:lang w:val="en-US"/>
        </w:rPr>
        <w:t xml:space="preserve">A) </w:t>
      </w:r>
      <w:r w:rsidRPr="00F50612">
        <w:rPr>
          <w:rFonts w:ascii="Times New Roman" w:hAnsi="Times New Roman" w:cs="Times New Roman"/>
          <w:sz w:val="20"/>
          <w:szCs w:val="20"/>
          <w:lang w:val="en-US"/>
        </w:rPr>
        <w:t>MDS</w:t>
      </w:r>
      <w:r w:rsidR="00353F2A" w:rsidRPr="00F50612">
        <w:rPr>
          <w:rFonts w:ascii="Times New Roman" w:hAnsi="Times New Roman" w:cs="Times New Roman"/>
          <w:sz w:val="20"/>
          <w:szCs w:val="20"/>
          <w:lang w:val="en-US"/>
        </w:rPr>
        <w:t xml:space="preserve"> plot</w:t>
      </w:r>
      <w:r w:rsidRPr="00F50612">
        <w:rPr>
          <w:rFonts w:ascii="Times New Roman" w:hAnsi="Times New Roman" w:cs="Times New Roman"/>
          <w:sz w:val="20"/>
          <w:szCs w:val="20"/>
          <w:lang w:val="en-US"/>
        </w:rPr>
        <w:t xml:space="preserve"> highlighting the microbiome community composition of laboratory-cultured clones</w:t>
      </w:r>
      <w:r w:rsidR="00353F2A" w:rsidRPr="00F50612">
        <w:rPr>
          <w:rFonts w:ascii="Times New Roman" w:hAnsi="Times New Roman" w:cs="Times New Roman"/>
          <w:sz w:val="20"/>
          <w:szCs w:val="20"/>
          <w:lang w:val="en-US"/>
        </w:rPr>
        <w:t xml:space="preserve"> versus field-grown clones all derived from the same lake (Lake </w:t>
      </w:r>
      <w:proofErr w:type="spellStart"/>
      <w:r w:rsidR="00353F2A" w:rsidRPr="00F50612">
        <w:rPr>
          <w:rFonts w:ascii="Times New Roman" w:hAnsi="Times New Roman" w:cs="Times New Roman"/>
          <w:sz w:val="20"/>
          <w:szCs w:val="20"/>
          <w:lang w:val="en-US"/>
        </w:rPr>
        <w:t>Bysjön</w:t>
      </w:r>
      <w:proofErr w:type="spellEnd"/>
      <w:r w:rsidR="00353F2A" w:rsidRPr="00F50612">
        <w:rPr>
          <w:rFonts w:ascii="Times New Roman" w:hAnsi="Times New Roman" w:cs="Times New Roman"/>
          <w:sz w:val="20"/>
          <w:szCs w:val="20"/>
          <w:lang w:val="en-US"/>
        </w:rPr>
        <w:t xml:space="preserve">, Sweden) </w:t>
      </w:r>
      <w:r w:rsidR="000F493A" w:rsidRPr="00F50612">
        <w:rPr>
          <w:rFonts w:ascii="Times New Roman" w:hAnsi="Times New Roman" w:cs="Times New Roman"/>
          <w:sz w:val="20"/>
          <w:szCs w:val="20"/>
          <w:lang w:val="en-US"/>
        </w:rPr>
        <w:t>(</w:t>
      </w:r>
      <w:r w:rsidR="00353F2A" w:rsidRPr="00F50612">
        <w:rPr>
          <w:rFonts w:ascii="Times New Roman" w:hAnsi="Times New Roman" w:cs="Times New Roman"/>
          <w:sz w:val="20"/>
          <w:szCs w:val="20"/>
          <w:lang w:val="en-US"/>
        </w:rPr>
        <w:t xml:space="preserve">B) Venn diagram representing shared membership between the two sources of origin. From a total of </w:t>
      </w:r>
      <w:r w:rsidR="000F493A" w:rsidRPr="00F50612">
        <w:rPr>
          <w:rFonts w:ascii="Times New Roman" w:hAnsi="Times New Roman" w:cs="Times New Roman"/>
          <w:sz w:val="20"/>
          <w:szCs w:val="20"/>
          <w:lang w:val="en-US"/>
        </w:rPr>
        <w:t>39</w:t>
      </w:r>
      <w:r w:rsidR="00506CEB" w:rsidRPr="00F50612">
        <w:rPr>
          <w:rFonts w:ascii="Times New Roman" w:hAnsi="Times New Roman" w:cs="Times New Roman"/>
          <w:sz w:val="20"/>
          <w:szCs w:val="20"/>
          <w:lang w:val="en-US"/>
        </w:rPr>
        <w:t>,</w:t>
      </w:r>
      <w:r w:rsidR="000F493A" w:rsidRPr="00F50612">
        <w:rPr>
          <w:rFonts w:ascii="Times New Roman" w:hAnsi="Times New Roman" w:cs="Times New Roman"/>
          <w:sz w:val="20"/>
          <w:szCs w:val="20"/>
          <w:lang w:val="en-US"/>
        </w:rPr>
        <w:t>810 OTUs,</w:t>
      </w:r>
      <w:r w:rsidR="00353F2A" w:rsidRPr="00F50612">
        <w:rPr>
          <w:rFonts w:ascii="Times New Roman" w:hAnsi="Times New Roman" w:cs="Times New Roman"/>
          <w:sz w:val="20"/>
          <w:szCs w:val="20"/>
          <w:lang w:val="en-US"/>
        </w:rPr>
        <w:t xml:space="preserve"> </w:t>
      </w:r>
      <w:r w:rsidR="000F493A" w:rsidRPr="00F50612">
        <w:rPr>
          <w:rFonts w:ascii="Times New Roman" w:hAnsi="Times New Roman" w:cs="Times New Roman"/>
          <w:sz w:val="20"/>
          <w:szCs w:val="20"/>
          <w:lang w:val="en-US"/>
        </w:rPr>
        <w:t>there occurred an overlap</w:t>
      </w:r>
      <w:r w:rsidR="00353F2A" w:rsidRPr="00F50612">
        <w:rPr>
          <w:rFonts w:ascii="Times New Roman" w:hAnsi="Times New Roman" w:cs="Times New Roman"/>
          <w:sz w:val="20"/>
          <w:szCs w:val="20"/>
          <w:lang w:val="en-US"/>
        </w:rPr>
        <w:t xml:space="preserve"> of 998 OTUs</w:t>
      </w:r>
      <w:r w:rsidR="000F493A" w:rsidRPr="00F50612">
        <w:rPr>
          <w:rFonts w:ascii="Times New Roman" w:hAnsi="Times New Roman" w:cs="Times New Roman"/>
          <w:sz w:val="20"/>
          <w:szCs w:val="20"/>
          <w:lang w:val="en-US"/>
        </w:rPr>
        <w:t xml:space="preserve"> exhibiting a</w:t>
      </w:r>
      <w:r w:rsidR="00353F2A" w:rsidRPr="00F50612">
        <w:rPr>
          <w:rFonts w:ascii="Times New Roman" w:hAnsi="Times New Roman" w:cs="Times New Roman"/>
          <w:sz w:val="20"/>
          <w:szCs w:val="20"/>
          <w:lang w:val="en-US"/>
        </w:rPr>
        <w:t xml:space="preserve"> 2.5%</w:t>
      </w:r>
      <w:r w:rsidR="000F493A" w:rsidRPr="00F50612">
        <w:rPr>
          <w:rFonts w:ascii="Times New Roman" w:hAnsi="Times New Roman" w:cs="Times New Roman"/>
          <w:sz w:val="20"/>
          <w:szCs w:val="20"/>
          <w:lang w:val="en-US"/>
        </w:rPr>
        <w:t xml:space="preserve"> shared membership</w:t>
      </w:r>
      <w:r w:rsidR="00353F2A" w:rsidRPr="00F50612">
        <w:rPr>
          <w:rFonts w:ascii="Times New Roman" w:hAnsi="Times New Roman" w:cs="Times New Roman"/>
          <w:sz w:val="20"/>
          <w:szCs w:val="20"/>
          <w:lang w:val="en-US"/>
        </w:rPr>
        <w:t xml:space="preserve"> </w:t>
      </w:r>
      <w:r w:rsidR="000F493A" w:rsidRPr="00F50612">
        <w:rPr>
          <w:rFonts w:ascii="Times New Roman" w:hAnsi="Times New Roman" w:cs="Times New Roman"/>
          <w:sz w:val="20"/>
          <w:szCs w:val="20"/>
          <w:lang w:val="en-US"/>
        </w:rPr>
        <w:t>between these environments</w:t>
      </w:r>
      <w:r w:rsidR="00353F2A" w:rsidRPr="00F50612">
        <w:rPr>
          <w:rFonts w:ascii="Times New Roman" w:hAnsi="Times New Roman" w:cs="Times New Roman"/>
          <w:sz w:val="20"/>
          <w:szCs w:val="20"/>
          <w:lang w:val="en-US"/>
        </w:rPr>
        <w:t>.</w:t>
      </w:r>
    </w:p>
    <w:p w14:paraId="1D0A9488" w14:textId="77777777" w:rsidR="001F17B5" w:rsidRDefault="001F17B5" w:rsidP="007D38DE">
      <w:pPr>
        <w:rPr>
          <w:rFonts w:ascii="Times New Roman" w:hAnsi="Times New Roman" w:cs="Times New Roman"/>
          <w:lang w:val="en-US"/>
        </w:rPr>
      </w:pPr>
    </w:p>
    <w:p w14:paraId="756A004C" w14:textId="5A1CC6FC" w:rsidR="001F17B5" w:rsidRPr="00F50612" w:rsidRDefault="001F17B5" w:rsidP="007D38DE">
      <w:pPr>
        <w:rPr>
          <w:rFonts w:ascii="Times New Roman" w:hAnsi="Times New Roman" w:cs="Times New Roman"/>
          <w:b/>
          <w:bCs/>
          <w:sz w:val="20"/>
          <w:szCs w:val="20"/>
          <w:lang w:val="en-US"/>
        </w:rPr>
      </w:pPr>
      <w:r w:rsidRPr="00F50612">
        <w:rPr>
          <w:rFonts w:ascii="Times New Roman" w:hAnsi="Times New Roman" w:cs="Times New Roman"/>
          <w:b/>
          <w:bCs/>
          <w:sz w:val="20"/>
          <w:szCs w:val="20"/>
          <w:lang w:val="en-US"/>
        </w:rPr>
        <w:lastRenderedPageBreak/>
        <w:t>References</w:t>
      </w:r>
    </w:p>
    <w:p w14:paraId="176FD094" w14:textId="77777777" w:rsidR="00506CEB" w:rsidRPr="00F50612" w:rsidRDefault="00506CEB" w:rsidP="00506CEB">
      <w:pPr>
        <w:pStyle w:val="Bibliography"/>
        <w:rPr>
          <w:rFonts w:ascii="Times New Roman" w:hAnsi="Times New Roman" w:cs="Times New Roman"/>
          <w:sz w:val="20"/>
          <w:szCs w:val="20"/>
          <w:lang w:val="en-US"/>
        </w:rPr>
      </w:pPr>
      <w:r w:rsidRPr="00F50612">
        <w:rPr>
          <w:b/>
          <w:bCs/>
          <w:sz w:val="20"/>
          <w:szCs w:val="20"/>
          <w:lang w:val="en-US"/>
        </w:rPr>
        <w:fldChar w:fldCharType="begin"/>
      </w:r>
      <w:r w:rsidRPr="00F50612">
        <w:rPr>
          <w:b/>
          <w:bCs/>
          <w:sz w:val="20"/>
          <w:szCs w:val="20"/>
          <w:lang w:val="en-US"/>
        </w:rPr>
        <w:instrText xml:space="preserve"> ADDIN ZOTERO_BIBL {"uncited":[],"omitted":[],"custom":[]} CSL_BIBLIOGRAPHY </w:instrText>
      </w:r>
      <w:r w:rsidRPr="00F50612">
        <w:rPr>
          <w:b/>
          <w:bCs/>
          <w:sz w:val="20"/>
          <w:szCs w:val="20"/>
          <w:lang w:val="en-US"/>
        </w:rPr>
        <w:fldChar w:fldCharType="separate"/>
      </w:r>
      <w:r w:rsidRPr="00F50612">
        <w:rPr>
          <w:rFonts w:ascii="Times New Roman" w:hAnsi="Times New Roman" w:cs="Times New Roman"/>
          <w:sz w:val="20"/>
          <w:szCs w:val="20"/>
          <w:lang w:val="en-US"/>
        </w:rPr>
        <w:t xml:space="preserve">1. Turnbaugh PJ, Ley RE, Hamady M, Fraser-Liggett CM, Knight R, Gordon JI. The Human Microbiome Project. Nature. 2007;449:804–10. </w:t>
      </w:r>
    </w:p>
    <w:p w14:paraId="37A18CAA"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 Hamady M, Knight R. Microbial community profiling for human microbiome projects: Tools, techniques, and challenges. Genome Res. 2009;19:1141–52. </w:t>
      </w:r>
    </w:p>
    <w:p w14:paraId="4B9E39DD" w14:textId="53D5739D"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3. Risely A. Applying the core microbiome to understand host–microbe systems. J Anim Ecol. 2020;89:1549–58. </w:t>
      </w:r>
    </w:p>
    <w:p w14:paraId="101EA08A"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4. Macke E, Callens M, De Meester L, Decaestecker E. Host-genotype dependent gut microbiota drives zooplankton tolerance to toxic cyanobacteria. Nat Commun. 2017;8:1608. </w:t>
      </w:r>
    </w:p>
    <w:p w14:paraId="02018C07"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5. Callens M, Watanabe H, Kato Y, Miura J, Decaestecker E. Microbiota inoculum composition affects holobiont assembly and host growth in Daphnia. Microbiome. 2018;6:56. </w:t>
      </w:r>
    </w:p>
    <w:p w14:paraId="10659D5F" w14:textId="63E5F939"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6. Macke E, Callens M, Massol F, Vanoverberghe I, De Meester L, Decaestecker E. Diet and Genotype of an Aquatic Invertebrate Affect the Composition of Free-Living Microbial Communities. Front Microbiol. 2020</w:t>
      </w:r>
      <w:r w:rsidR="00E023B9">
        <w:rPr>
          <w:rFonts w:ascii="Times New Roman" w:hAnsi="Times New Roman" w:cs="Times New Roman"/>
          <w:sz w:val="20"/>
          <w:szCs w:val="20"/>
          <w:lang w:val="en-US"/>
        </w:rPr>
        <w:t>; 11:380</w:t>
      </w:r>
    </w:p>
    <w:p w14:paraId="2552FB2A"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7. Callens M, De Meester L, Muylaert K, Mukherjee S, Decaestecker E. The bacterioplankton community composition and a host genotype dependent occurrence of taxa shape the Daphnia magna gut bacterial community. FEMS Microbiol Ecol. 2020;96:fiaa128. </w:t>
      </w:r>
    </w:p>
    <w:p w14:paraId="7B7A46D5"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8. Cooper RO, Vavra JM, Cressler CE. Targeted Manipulation of Abundant and Rare Taxa in the Daphnia magna Microbiota with Antibiotics Impacts Host Fitness Differentially. mSystems. 2021;6:10.1128/msystems.00916-20. </w:t>
      </w:r>
    </w:p>
    <w:p w14:paraId="1CFC4BA6" w14:textId="2C3E25B4"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9. Houwenhuyse S, Stoks R, Mukherjee S, Decaestecker E. Locally adapted gut microbiomes mediate host stress tolerance. ISME J. 2021;15:2401–14. </w:t>
      </w:r>
    </w:p>
    <w:p w14:paraId="15EED2EF"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10. Hegg A, Radersma R, Uller T. A field experiment reveals seasonal variation in the Daphnia gut microbiome. Oikos. 2021;130:2191–201. </w:t>
      </w:r>
    </w:p>
    <w:p w14:paraId="061ED413" w14:textId="100BD245"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11. Cooper RO, Tjards S, Rischling J, Nguyen DT, Cressler CE. Multiple generations of antibiotic exposure and isolation influence host fitness and the microbiome in a model zooplankton species. FEMS Microbio</w:t>
      </w:r>
      <w:r w:rsidRPr="00E023B9">
        <w:rPr>
          <w:rFonts w:ascii="Times New Roman" w:hAnsi="Times New Roman" w:cs="Times New Roman"/>
          <w:sz w:val="20"/>
          <w:szCs w:val="20"/>
          <w:lang w:val="en-US"/>
        </w:rPr>
        <w:t>l Ecol.</w:t>
      </w:r>
      <w:r w:rsidR="00E023B9">
        <w:rPr>
          <w:rFonts w:ascii="Times New Roman" w:hAnsi="Times New Roman" w:cs="Times New Roman"/>
          <w:sz w:val="20"/>
          <w:szCs w:val="20"/>
          <w:lang w:val="en-US"/>
        </w:rPr>
        <w:t xml:space="preserve"> 2022; 10: </w:t>
      </w:r>
      <w:r w:rsidR="00E023B9" w:rsidRPr="00E023B9">
        <w:rPr>
          <w:rFonts w:ascii="Times New Roman" w:hAnsi="Times New Roman" w:cs="Times New Roman"/>
          <w:sz w:val="20"/>
          <w:szCs w:val="20"/>
          <w:lang w:val="en-US"/>
        </w:rPr>
        <w:t>p.fiac082</w:t>
      </w:r>
    </w:p>
    <w:p w14:paraId="67BA87AF"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12. Bulteel L, Houwenhuyse S, Declerck SAJ, Decaestecker E. The Role of Microbiome and Genotype in Daphnia magna upon Parasite Re-Exposure. Genes. 2021;12:70. </w:t>
      </w:r>
    </w:p>
    <w:p w14:paraId="79F439E9"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13. Pfenning-Butterworth A, Cooper RO, Cressler CE. Daily feeding rhythm linked to microbiome composition in two zooplankton species. PLOS ONE. 2022;17:e0263538. </w:t>
      </w:r>
    </w:p>
    <w:p w14:paraId="295E8AB8"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14. Gorokhova E, Rivetti C, Furuhagen S, Edlund A, Ek K, Breitholtz M. Bacteria-Mediated Effects of Antibiotics on Daphnia Nutrition. Environ Sci Technol. 2015;49:5779–87. </w:t>
      </w:r>
    </w:p>
    <w:p w14:paraId="2AFC7E0D" w14:textId="1F82AAE9"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15. Callens M, Macke E, Muylaert K, Bossier P, Lievens B, Waud M, et al. Food availability affects the strength of mutualistic host–microbiota interactions in Daphnia magna. ISM</w:t>
      </w:r>
      <w:r w:rsidRPr="00E023B9">
        <w:rPr>
          <w:rFonts w:ascii="Times New Roman" w:hAnsi="Times New Roman" w:cs="Times New Roman"/>
          <w:sz w:val="20"/>
          <w:szCs w:val="20"/>
          <w:lang w:val="en-US"/>
        </w:rPr>
        <w:t>E J.</w:t>
      </w:r>
      <w:r w:rsidR="00E023B9">
        <w:rPr>
          <w:rFonts w:ascii="Times New Roman" w:hAnsi="Times New Roman" w:cs="Times New Roman"/>
          <w:sz w:val="20"/>
          <w:szCs w:val="20"/>
          <w:lang w:val="en-US"/>
        </w:rPr>
        <w:t>2016; 10:911-20.</w:t>
      </w:r>
      <w:r w:rsidRPr="00F50612">
        <w:rPr>
          <w:rFonts w:ascii="Times New Roman" w:hAnsi="Times New Roman" w:cs="Times New Roman"/>
          <w:sz w:val="20"/>
          <w:szCs w:val="20"/>
          <w:lang w:val="en-US"/>
        </w:rPr>
        <w:t xml:space="preserve"> </w:t>
      </w:r>
    </w:p>
    <w:p w14:paraId="337C7DF5" w14:textId="255C61C3"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16. Mushegian AA, Walser J-C, Sullam KE, Ebert D. The microbiota of diapause: How host–microbe associations are formed after dormancy in an aquatic crustacean. J Anim Ecol. 2018;87:400–13. </w:t>
      </w:r>
    </w:p>
    <w:p w14:paraId="49F8F38C"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lastRenderedPageBreak/>
        <w:t xml:space="preserve">17. Sullam KE, Pichon S, Schaer TMM, Ebert D. The Combined Effect of Temperature and Host Clonal Line on the Microbiota of a Planktonic Crustacean. Microb Ecol. 2018;76:506–17. </w:t>
      </w:r>
    </w:p>
    <w:p w14:paraId="6EA43000" w14:textId="6EFA63EF"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18. Preiswerk D, Walser J-C, Ebert D. Temporal dynamics of microbiota before and after host death. ISME J. </w:t>
      </w:r>
    </w:p>
    <w:p w14:paraId="2BD270A7"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19. Sison-Mangus MP, Metzger CMJA, Ebert D. Host genotype-specific microbiota do not influence the susceptibility of D. magna to a bacterial pathogen. Sci Rep. 2018;8:9407. </w:t>
      </w:r>
    </w:p>
    <w:p w14:paraId="43388BDD" w14:textId="77777777" w:rsidR="00506CEB" w:rsidRPr="00F50612" w:rsidRDefault="00506CEB" w:rsidP="00506CEB">
      <w:pPr>
        <w:pStyle w:val="Bibliography"/>
        <w:rPr>
          <w:rFonts w:ascii="Times New Roman" w:hAnsi="Times New Roman" w:cs="Times New Roman"/>
          <w:sz w:val="20"/>
          <w:szCs w:val="20"/>
          <w:lang w:val="fr-FR"/>
        </w:rPr>
      </w:pPr>
      <w:r w:rsidRPr="00F50612">
        <w:rPr>
          <w:rFonts w:ascii="Times New Roman" w:hAnsi="Times New Roman" w:cs="Times New Roman"/>
          <w:sz w:val="20"/>
          <w:szCs w:val="20"/>
          <w:lang w:val="en-US"/>
        </w:rPr>
        <w:t xml:space="preserve">20. Mushegian AA, Arbore R, Walser J-C, Ebert D. Environmental Sources of Bacteria and Genetic Variation in Behavior Influence Host-Associated Microbiota. </w:t>
      </w:r>
      <w:r w:rsidRPr="00F50612">
        <w:rPr>
          <w:rFonts w:ascii="Times New Roman" w:hAnsi="Times New Roman" w:cs="Times New Roman"/>
          <w:sz w:val="20"/>
          <w:szCs w:val="20"/>
          <w:lang w:val="fr-FR"/>
        </w:rPr>
        <w:t xml:space="preserve">Appl Environ Microbiol. 2019;85:e01547-18. </w:t>
      </w:r>
    </w:p>
    <w:p w14:paraId="6B5A64EA"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fr-FR"/>
        </w:rPr>
        <w:t xml:space="preserve">21. Fong JC, De Guzman BE, Lamborg CH, Sison-Mangus MP. </w:t>
      </w:r>
      <w:r w:rsidRPr="00F50612">
        <w:rPr>
          <w:rFonts w:ascii="Times New Roman" w:hAnsi="Times New Roman" w:cs="Times New Roman"/>
          <w:sz w:val="20"/>
          <w:szCs w:val="20"/>
          <w:lang w:val="en-US"/>
        </w:rPr>
        <w:t xml:space="preserve">The Mercury-Tolerant Microbiota of the Zooplankton Daphnia Aids in Host Survival and Maintains Fecundity under Mercury Stress. Environ Sci Technol. 2019;53:14688–99. </w:t>
      </w:r>
    </w:p>
    <w:p w14:paraId="05DE57BA"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22. Frankel-Bricker J, Song MJ, Benner MJ, Schaack S. Variation in the Microbiota Associated with Daphnia magna Across Genotypes, Populations, and Temperature. Microb Ecol. 2020;79:731–42. </w:t>
      </w:r>
    </w:p>
    <w:p w14:paraId="3DD831A5"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23. Motiei A, Brindefalk B, Ogonowski M, El-Shehawy R, Pastuszek P, Ek K, et al. Disparate effects of antibiotic-induced microbiome change and enhanced fitness in Daphnia magna. PLoS One. 2020;15:e0214833. </w:t>
      </w:r>
    </w:p>
    <w:p w14:paraId="29F54DD3"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24. Sadeq SA, Mills RIL, Beckerman AP. The microbiome mediates the interaction between predation and heavy metals. Science of The Total Environment. 2021;775:145144. </w:t>
      </w:r>
    </w:p>
    <w:p w14:paraId="42B76B0C"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25. Suppa A, Kvist J, Li X, Dhandapani V, Almulla H, Tian AY, et al. Roundup causes embryonic development failure and alters metabolic pathways and gut microbiota functionality in non-target species. Microbiome. 2020;8:170. </w:t>
      </w:r>
    </w:p>
    <w:p w14:paraId="11928B92" w14:textId="2C50CE1F"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26. Akbar S, Gu L, Sun Y, Zhou Q, Zhang L, Lyu K, et al. Changes in the life history traits of </w:t>
      </w:r>
      <w:r w:rsidRPr="00F50612">
        <w:rPr>
          <w:rFonts w:ascii="Times New Roman" w:hAnsi="Times New Roman" w:cs="Times New Roman"/>
          <w:i/>
          <w:iCs/>
          <w:sz w:val="20"/>
          <w:szCs w:val="20"/>
          <w:lang w:val="en-US"/>
        </w:rPr>
        <w:t>Daphnia magna</w:t>
      </w:r>
      <w:r w:rsidRPr="00F50612">
        <w:rPr>
          <w:rFonts w:ascii="Times New Roman" w:hAnsi="Times New Roman" w:cs="Times New Roman"/>
          <w:sz w:val="20"/>
          <w:szCs w:val="20"/>
          <w:lang w:val="en-US"/>
        </w:rPr>
        <w:t xml:space="preserve"> are associated with the gut microbiota composition shaped by diet and antibiotics. Sci Tot Environ. 2020;705:135827. </w:t>
      </w:r>
    </w:p>
    <w:p w14:paraId="3E011C35"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27. Sangkuanun T, Wichienchot S, Kato Y, Watanabe H, Peerakietkhajorn S. Oligosaccharides derived from dragon fruit modulate gut microbiota, reduce oxidative stress and stimulate toll-pathway related gene expression in freshwater crustacean Daphnia magna. Fish Shellfish Immunol. 2020;103:126–34. </w:t>
      </w:r>
    </w:p>
    <w:p w14:paraId="4BA3F19F"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28. Liu Q, Akbar S, Ding Z, Zhou Q, Gu L, Sun Y, et al. Anti-predation Defense Traits of Daphnia are Associated With the Gut Microbiota Composition Shaped by Fish Kairomone [Internet]. Research Square; 2021 [cited 2025 Jan 22]. Available from: https://www.researchsquare.com/article/rs-757585/v1</w:t>
      </w:r>
    </w:p>
    <w:p w14:paraId="6B794ED4"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29. Li Y, Xu Z, Liu H. Nutrient-imbalanced conditions shift the interplay between zooplankton and gut microbiota. BMC Genomics. 2021;22:37. </w:t>
      </w:r>
    </w:p>
    <w:p w14:paraId="27D214B3" w14:textId="77777777" w:rsidR="00506CEB" w:rsidRPr="00F50612" w:rsidRDefault="00506CEB" w:rsidP="00506CEB">
      <w:pPr>
        <w:pStyle w:val="Bibliography"/>
        <w:rPr>
          <w:rFonts w:ascii="Times New Roman" w:hAnsi="Times New Roman" w:cs="Times New Roman"/>
          <w:sz w:val="20"/>
          <w:szCs w:val="20"/>
          <w:lang w:val="fr-FR"/>
        </w:rPr>
      </w:pPr>
      <w:r w:rsidRPr="00F50612">
        <w:rPr>
          <w:rFonts w:ascii="Times New Roman" w:hAnsi="Times New Roman" w:cs="Times New Roman"/>
          <w:sz w:val="20"/>
          <w:szCs w:val="20"/>
          <w:lang w:val="en-US"/>
        </w:rPr>
        <w:t xml:space="preserve">30. Akbar S, Huang J, Zhou Q, Gu L, Sun Y, Zhang L, et al. Elevated temperature and toxic </w:t>
      </w:r>
      <w:r w:rsidRPr="00F50612">
        <w:rPr>
          <w:rFonts w:ascii="Times New Roman" w:hAnsi="Times New Roman" w:cs="Times New Roman"/>
          <w:i/>
          <w:iCs/>
          <w:sz w:val="20"/>
          <w:szCs w:val="20"/>
          <w:lang w:val="en-US"/>
        </w:rPr>
        <w:t>Microcystis</w:t>
      </w:r>
      <w:r w:rsidRPr="00F50612">
        <w:rPr>
          <w:rFonts w:ascii="Times New Roman" w:hAnsi="Times New Roman" w:cs="Times New Roman"/>
          <w:sz w:val="20"/>
          <w:szCs w:val="20"/>
          <w:lang w:val="en-US"/>
        </w:rPr>
        <w:t xml:space="preserve"> reduce </w:t>
      </w:r>
      <w:r w:rsidRPr="00F50612">
        <w:rPr>
          <w:rFonts w:ascii="Times New Roman" w:hAnsi="Times New Roman" w:cs="Times New Roman"/>
          <w:i/>
          <w:iCs/>
          <w:sz w:val="20"/>
          <w:szCs w:val="20"/>
          <w:lang w:val="en-US"/>
        </w:rPr>
        <w:t>Daphnia</w:t>
      </w:r>
      <w:r w:rsidRPr="00F50612">
        <w:rPr>
          <w:rFonts w:ascii="Times New Roman" w:hAnsi="Times New Roman" w:cs="Times New Roman"/>
          <w:sz w:val="20"/>
          <w:szCs w:val="20"/>
          <w:lang w:val="en-US"/>
        </w:rPr>
        <w:t xml:space="preserve"> fitness and modulate gut microbiota. </w:t>
      </w:r>
      <w:r w:rsidRPr="00F50612">
        <w:rPr>
          <w:rFonts w:ascii="Times New Roman" w:hAnsi="Times New Roman" w:cs="Times New Roman"/>
          <w:sz w:val="20"/>
          <w:szCs w:val="20"/>
          <w:lang w:val="fr-FR"/>
        </w:rPr>
        <w:t xml:space="preserve">Environmental Pollution. 2021;271:116409. </w:t>
      </w:r>
    </w:p>
    <w:p w14:paraId="4170F044"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fr-FR"/>
        </w:rPr>
        <w:lastRenderedPageBreak/>
        <w:t xml:space="preserve">31. Akbar S, Li X, Ding Z, Liu Q, Huang J, Zhou Q, et al. </w:t>
      </w:r>
      <w:r w:rsidRPr="00F50612">
        <w:rPr>
          <w:rFonts w:ascii="Times New Roman" w:hAnsi="Times New Roman" w:cs="Times New Roman"/>
          <w:sz w:val="20"/>
          <w:szCs w:val="20"/>
          <w:lang w:val="en-US"/>
        </w:rPr>
        <w:t xml:space="preserve">Disentangling Diet- and Medium-Associated Microbes in Shaping Daphnia Gut Microbiome. Microb Ecol. 2022;84:911–21. </w:t>
      </w:r>
    </w:p>
    <w:p w14:paraId="24BE475B"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32. El-Shehawy R, Luecke-Johansson S, Ribbenstedt A, Gorokhova E. Microbiota-Dependent and -Independent Production of l-Dopa in the Gut of Daphnia magna. mSystems. 2021;6:e00892-21. </w:t>
      </w:r>
    </w:p>
    <w:p w14:paraId="32C4420E" w14:textId="77777777" w:rsidR="00506CEB" w:rsidRPr="00F50612" w:rsidRDefault="00506CEB" w:rsidP="00506CEB">
      <w:pPr>
        <w:pStyle w:val="Bibliography"/>
        <w:rPr>
          <w:rFonts w:ascii="Times New Roman" w:hAnsi="Times New Roman" w:cs="Times New Roman"/>
          <w:sz w:val="20"/>
          <w:szCs w:val="20"/>
          <w:lang w:val="en-US"/>
        </w:rPr>
      </w:pPr>
      <w:r w:rsidRPr="00F50612">
        <w:rPr>
          <w:rFonts w:ascii="Times New Roman" w:hAnsi="Times New Roman" w:cs="Times New Roman"/>
          <w:sz w:val="20"/>
          <w:szCs w:val="20"/>
          <w:lang w:val="en-US"/>
        </w:rPr>
        <w:t xml:space="preserve">33. Rajarajan A, Wolinska J, Walser J-C, Dennis SR, Spaak P. Host-Associated Bacterial Communities Vary Between Daphnia galeata Genotypes but Not by Host Genetic Distance. Microb Ecol. 2023;85:1578–89. </w:t>
      </w:r>
    </w:p>
    <w:p w14:paraId="2E26DE51" w14:textId="77777777" w:rsidR="00506CEB" w:rsidRPr="00F50612" w:rsidRDefault="00506CEB" w:rsidP="00506CEB">
      <w:pPr>
        <w:pStyle w:val="Bibliography"/>
        <w:rPr>
          <w:rFonts w:ascii="Times New Roman" w:hAnsi="Times New Roman" w:cs="Times New Roman"/>
          <w:sz w:val="20"/>
          <w:szCs w:val="20"/>
        </w:rPr>
      </w:pPr>
      <w:r w:rsidRPr="00F50612">
        <w:rPr>
          <w:rFonts w:ascii="Times New Roman" w:hAnsi="Times New Roman" w:cs="Times New Roman"/>
          <w:sz w:val="20"/>
          <w:szCs w:val="20"/>
          <w:lang w:val="en-US"/>
        </w:rPr>
        <w:t xml:space="preserve">34. Moher D, Liberati A, Tetzlaff J, Altman DG, PRISMA Group. Preferred reporting items for systematic reviews and meta-analyses: the PRISMA statement. </w:t>
      </w:r>
      <w:r w:rsidRPr="00F50612">
        <w:rPr>
          <w:rFonts w:ascii="Times New Roman" w:hAnsi="Times New Roman" w:cs="Times New Roman"/>
          <w:sz w:val="20"/>
          <w:szCs w:val="20"/>
        </w:rPr>
        <w:t xml:space="preserve">PLoS Med. 2009;6:e1000097. </w:t>
      </w:r>
    </w:p>
    <w:p w14:paraId="676F8B43" w14:textId="063EECB2" w:rsidR="001F17B5" w:rsidRPr="001F17B5" w:rsidRDefault="00506CEB" w:rsidP="007D38DE">
      <w:pPr>
        <w:rPr>
          <w:rFonts w:ascii="Times New Roman" w:hAnsi="Times New Roman" w:cs="Times New Roman"/>
          <w:b/>
          <w:bCs/>
          <w:lang w:val="en-US"/>
        </w:rPr>
      </w:pPr>
      <w:r w:rsidRPr="00F50612">
        <w:rPr>
          <w:rFonts w:ascii="Times New Roman" w:hAnsi="Times New Roman" w:cs="Times New Roman"/>
          <w:b/>
          <w:bCs/>
          <w:sz w:val="20"/>
          <w:szCs w:val="20"/>
          <w:lang w:val="en-US"/>
        </w:rPr>
        <w:fldChar w:fldCharType="end"/>
      </w:r>
    </w:p>
    <w:p w14:paraId="41544D0D" w14:textId="77777777" w:rsidR="001F17B5" w:rsidRDefault="001F17B5" w:rsidP="007D38DE">
      <w:pPr>
        <w:rPr>
          <w:rFonts w:ascii="Times New Roman" w:hAnsi="Times New Roman" w:cs="Times New Roman"/>
          <w:lang w:val="en-US"/>
        </w:rPr>
      </w:pPr>
    </w:p>
    <w:sectPr w:rsidR="001F17B5" w:rsidSect="00501E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D150B6"/>
    <w:multiLevelType w:val="hybridMultilevel"/>
    <w:tmpl w:val="EAA4349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D6905A1"/>
    <w:multiLevelType w:val="hybridMultilevel"/>
    <w:tmpl w:val="5964B89E"/>
    <w:lvl w:ilvl="0" w:tplc="0813000F">
      <w:start w:val="1"/>
      <w:numFmt w:val="decimal"/>
      <w:lvlText w:val="%1."/>
      <w:lvlJc w:val="left"/>
      <w:pPr>
        <w:ind w:left="502"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173256119">
    <w:abstractNumId w:val="0"/>
  </w:num>
  <w:num w:numId="2" w16cid:durableId="1865628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CB"/>
    <w:rsid w:val="00022A04"/>
    <w:rsid w:val="00087203"/>
    <w:rsid w:val="000A2396"/>
    <w:rsid w:val="000B181E"/>
    <w:rsid w:val="000F493A"/>
    <w:rsid w:val="0012700A"/>
    <w:rsid w:val="00144059"/>
    <w:rsid w:val="001713E0"/>
    <w:rsid w:val="00182E1C"/>
    <w:rsid w:val="001866D1"/>
    <w:rsid w:val="001A1368"/>
    <w:rsid w:val="001A40B0"/>
    <w:rsid w:val="001A6B8A"/>
    <w:rsid w:val="001D46D6"/>
    <w:rsid w:val="001F17B5"/>
    <w:rsid w:val="0023030F"/>
    <w:rsid w:val="00243851"/>
    <w:rsid w:val="00266D40"/>
    <w:rsid w:val="00275E43"/>
    <w:rsid w:val="002C2B9B"/>
    <w:rsid w:val="002D53FF"/>
    <w:rsid w:val="002F2FA6"/>
    <w:rsid w:val="00353F2A"/>
    <w:rsid w:val="00394C41"/>
    <w:rsid w:val="004137FC"/>
    <w:rsid w:val="00440E97"/>
    <w:rsid w:val="0046547B"/>
    <w:rsid w:val="00494E44"/>
    <w:rsid w:val="004A32BE"/>
    <w:rsid w:val="00501ECB"/>
    <w:rsid w:val="00506CEB"/>
    <w:rsid w:val="00547ABA"/>
    <w:rsid w:val="0055436A"/>
    <w:rsid w:val="00584BBC"/>
    <w:rsid w:val="005B73A1"/>
    <w:rsid w:val="00631FD9"/>
    <w:rsid w:val="00655268"/>
    <w:rsid w:val="006C4573"/>
    <w:rsid w:val="007D38DE"/>
    <w:rsid w:val="007D4FB3"/>
    <w:rsid w:val="007F6E8F"/>
    <w:rsid w:val="0080373D"/>
    <w:rsid w:val="00824A0E"/>
    <w:rsid w:val="00842438"/>
    <w:rsid w:val="008A60C5"/>
    <w:rsid w:val="008E3647"/>
    <w:rsid w:val="009A50C8"/>
    <w:rsid w:val="009E46B2"/>
    <w:rsid w:val="00A453D3"/>
    <w:rsid w:val="00A544A1"/>
    <w:rsid w:val="00A60163"/>
    <w:rsid w:val="00A826EE"/>
    <w:rsid w:val="00A8406B"/>
    <w:rsid w:val="00A96A26"/>
    <w:rsid w:val="00AC5BA1"/>
    <w:rsid w:val="00AF3896"/>
    <w:rsid w:val="00B12A83"/>
    <w:rsid w:val="00B20B43"/>
    <w:rsid w:val="00B337AA"/>
    <w:rsid w:val="00B40F84"/>
    <w:rsid w:val="00B44546"/>
    <w:rsid w:val="00B4514B"/>
    <w:rsid w:val="00B867A7"/>
    <w:rsid w:val="00B95E0D"/>
    <w:rsid w:val="00BB1E62"/>
    <w:rsid w:val="00BC0A28"/>
    <w:rsid w:val="00BD3303"/>
    <w:rsid w:val="00C05423"/>
    <w:rsid w:val="00C06356"/>
    <w:rsid w:val="00C20341"/>
    <w:rsid w:val="00C26A85"/>
    <w:rsid w:val="00C5303C"/>
    <w:rsid w:val="00C628D6"/>
    <w:rsid w:val="00CA5A21"/>
    <w:rsid w:val="00CB2D1F"/>
    <w:rsid w:val="00CD1430"/>
    <w:rsid w:val="00D059B1"/>
    <w:rsid w:val="00D32A9A"/>
    <w:rsid w:val="00D61688"/>
    <w:rsid w:val="00D75E12"/>
    <w:rsid w:val="00D963EC"/>
    <w:rsid w:val="00DF4328"/>
    <w:rsid w:val="00E023B9"/>
    <w:rsid w:val="00E06B8A"/>
    <w:rsid w:val="00E50223"/>
    <w:rsid w:val="00E5317C"/>
    <w:rsid w:val="00E66634"/>
    <w:rsid w:val="00E752BD"/>
    <w:rsid w:val="00EB119F"/>
    <w:rsid w:val="00F50612"/>
    <w:rsid w:val="00F50D9D"/>
    <w:rsid w:val="00F76BC8"/>
    <w:rsid w:val="00F81F2D"/>
    <w:rsid w:val="00F9667E"/>
    <w:rsid w:val="00FB0434"/>
    <w:rsid w:val="00FD5B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C8587"/>
  <w15:docId w15:val="{918ED3E1-3D70-4722-9286-AA654E4A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501ECB"/>
    <w:pPr>
      <w:spacing w:line="240" w:lineRule="auto"/>
    </w:pPr>
    <w:rPr>
      <w:sz w:val="20"/>
      <w:szCs w:val="20"/>
    </w:rPr>
  </w:style>
  <w:style w:type="character" w:customStyle="1" w:styleId="CommentTextChar">
    <w:name w:val="Comment Text Char"/>
    <w:basedOn w:val="DefaultParagraphFont"/>
    <w:link w:val="CommentText"/>
    <w:uiPriority w:val="99"/>
    <w:rsid w:val="00501ECB"/>
    <w:rPr>
      <w:sz w:val="20"/>
      <w:szCs w:val="20"/>
    </w:rPr>
  </w:style>
  <w:style w:type="character" w:styleId="CommentReference">
    <w:name w:val="annotation reference"/>
    <w:basedOn w:val="DefaultParagraphFont"/>
    <w:uiPriority w:val="99"/>
    <w:semiHidden/>
    <w:unhideWhenUsed/>
    <w:rsid w:val="00501ECB"/>
    <w:rPr>
      <w:sz w:val="16"/>
      <w:szCs w:val="16"/>
    </w:rPr>
  </w:style>
  <w:style w:type="table" w:styleId="TableGrid">
    <w:name w:val="Table Grid"/>
    <w:basedOn w:val="TableNormal"/>
    <w:uiPriority w:val="39"/>
    <w:rsid w:val="00501ECB"/>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8DE"/>
    <w:pPr>
      <w:ind w:left="720"/>
      <w:contextualSpacing/>
    </w:pPr>
  </w:style>
  <w:style w:type="paragraph" w:styleId="Bibliography">
    <w:name w:val="Bibliography"/>
    <w:basedOn w:val="Normal"/>
    <w:next w:val="Normal"/>
    <w:uiPriority w:val="37"/>
    <w:unhideWhenUsed/>
    <w:rsid w:val="001A1368"/>
  </w:style>
  <w:style w:type="table" w:customStyle="1" w:styleId="TableGrid1">
    <w:name w:val="Table Grid1"/>
    <w:basedOn w:val="TableNormal"/>
    <w:next w:val="TableGrid"/>
    <w:uiPriority w:val="39"/>
    <w:rsid w:val="00D05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sciencedirect-com.kuleuven.e-bronnen.be/topics/agricultural-and-biological-sciences/ribosomal-dn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19994</Words>
  <Characters>109973</Characters>
  <Application>Microsoft Office Word</Application>
  <DocSecurity>0</DocSecurity>
  <Lines>916</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Aditi Gurung</dc:creator>
  <cp:keywords/>
  <dc:description/>
  <cp:lastModifiedBy>Aditi Gurung</cp:lastModifiedBy>
  <cp:revision>2</cp:revision>
  <dcterms:created xsi:type="dcterms:W3CDTF">2025-10-13T19:58:00Z</dcterms:created>
  <dcterms:modified xsi:type="dcterms:W3CDTF">2025-10-13T19:58:00Z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id="ZEFy1jn1"/&gt;&lt;style id="http://www.zotero.org/styles/microbiome" hasBibliography="1" bibliographyStyleHasBeenSet="1"/&gt;&lt;prefs&gt;&lt;pref name="fieldType" value="Field"/&gt;&lt;/prefs&gt;&lt;/data&gt;</vt:lpwstr>
  </property>
</Properties>
</file>