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DF512" w14:textId="53D0221B" w:rsidR="002E1124" w:rsidRPr="002E1124" w:rsidRDefault="007835A9" w:rsidP="002E1124">
      <w:pPr>
        <w:pStyle w:val="Title"/>
        <w:jc w:val="center"/>
        <w:rPr>
          <w:rFonts w:asciiTheme="minorHAnsi" w:hAnsiTheme="minorHAnsi" w:cstheme="minorHAnsi"/>
          <w:sz w:val="28"/>
          <w:szCs w:val="28"/>
        </w:rPr>
      </w:pPr>
      <w:r w:rsidRPr="007835A9">
        <w:rPr>
          <w:rFonts w:asciiTheme="minorHAnsi" w:hAnsiTheme="minorHAnsi" w:cstheme="minorHAnsi"/>
          <w:sz w:val="28"/>
          <w:szCs w:val="28"/>
        </w:rPr>
        <w:t>Phylogeny-based prediction of seed microbiome composition using machine learning</w:t>
      </w:r>
    </w:p>
    <w:p w14:paraId="4EEF92FF" w14:textId="77777777" w:rsidR="002E1124" w:rsidRPr="00F32131" w:rsidRDefault="002E1124" w:rsidP="002E1124"/>
    <w:p w14:paraId="57E72A36" w14:textId="47AAD812" w:rsidR="002E1124" w:rsidRPr="00A47D1B" w:rsidRDefault="002E1124" w:rsidP="002E1124">
      <w:pPr>
        <w:rPr>
          <w:lang w:val="de-DE"/>
        </w:rPr>
      </w:pPr>
      <w:r w:rsidRPr="00A47D1B">
        <w:rPr>
          <w:lang w:val="de-DE"/>
        </w:rPr>
        <w:t>Julia Herbinger</w:t>
      </w:r>
      <w:r w:rsidRPr="00A47D1B">
        <w:rPr>
          <w:vertAlign w:val="superscript"/>
          <w:lang w:val="de-DE"/>
        </w:rPr>
        <w:t>1</w:t>
      </w:r>
      <w:r w:rsidR="00ED5885" w:rsidRPr="00A47D1B">
        <w:rPr>
          <w:vertAlign w:val="superscript"/>
          <w:lang w:val="de-DE"/>
        </w:rPr>
        <w:t>†</w:t>
      </w:r>
      <w:r w:rsidRPr="00A47D1B">
        <w:rPr>
          <w:lang w:val="de-DE"/>
        </w:rPr>
        <w:t>, Dinesh Kumar Ramakrishnan</w:t>
      </w:r>
      <w:r w:rsidRPr="00A47D1B">
        <w:rPr>
          <w:vertAlign w:val="superscript"/>
          <w:lang w:val="de-DE"/>
        </w:rPr>
        <w:t>2,3</w:t>
      </w:r>
      <w:bookmarkStart w:id="0" w:name="_Hlk230776212"/>
      <w:r w:rsidRPr="00A47D1B">
        <w:rPr>
          <w:vertAlign w:val="superscript"/>
          <w:lang w:val="de-DE"/>
        </w:rPr>
        <w:t>†</w:t>
      </w:r>
      <w:bookmarkEnd w:id="0"/>
      <w:r w:rsidRPr="00A47D1B">
        <w:rPr>
          <w:lang w:val="de-DE"/>
        </w:rPr>
        <w:t>, Jannik Reißfelder</w:t>
      </w:r>
      <w:r w:rsidRPr="00A47D1B">
        <w:rPr>
          <w:vertAlign w:val="superscript"/>
          <w:lang w:val="de-DE"/>
        </w:rPr>
        <w:t>1</w:t>
      </w:r>
      <w:r w:rsidRPr="00A47D1B">
        <w:rPr>
          <w:lang w:val="de-DE"/>
        </w:rPr>
        <w:t xml:space="preserve">, </w:t>
      </w:r>
      <w:r w:rsidRPr="00A47D1B">
        <w:rPr>
          <w:rFonts w:eastAsia="Times New Roman"/>
          <w:lang w:val="de-DE"/>
        </w:rPr>
        <w:t>Majharulislam Babor</w:t>
      </w:r>
      <w:r w:rsidR="004C7955" w:rsidRPr="00A47D1B">
        <w:rPr>
          <w:vertAlign w:val="superscript"/>
          <w:lang w:val="de-DE"/>
        </w:rPr>
        <w:t>1</w:t>
      </w:r>
      <w:r w:rsidRPr="00A47D1B">
        <w:rPr>
          <w:rFonts w:eastAsia="Times New Roman"/>
          <w:lang w:val="de-DE"/>
        </w:rPr>
        <w:t>,</w:t>
      </w:r>
      <w:r w:rsidRPr="00A47D1B">
        <w:rPr>
          <w:lang w:val="de-DE"/>
        </w:rPr>
        <w:t xml:space="preserve"> Marina Höhne</w:t>
      </w:r>
      <w:r w:rsidRPr="00A47D1B">
        <w:rPr>
          <w:vertAlign w:val="superscript"/>
          <w:lang w:val="de-DE"/>
        </w:rPr>
        <w:t>1,4</w:t>
      </w:r>
      <w:r w:rsidRPr="00A47D1B">
        <w:rPr>
          <w:lang w:val="de-DE"/>
        </w:rPr>
        <w:t>, Ahmed Abdelfattah</w:t>
      </w:r>
      <w:r w:rsidRPr="00A47D1B">
        <w:rPr>
          <w:vertAlign w:val="superscript"/>
          <w:lang w:val="de-DE"/>
        </w:rPr>
        <w:t>2*</w:t>
      </w:r>
      <w:r w:rsidRPr="00A47D1B">
        <w:rPr>
          <w:lang w:val="de-DE"/>
        </w:rPr>
        <w:t xml:space="preserve"> </w:t>
      </w:r>
    </w:p>
    <w:p w14:paraId="5A4B30D5" w14:textId="77777777" w:rsidR="002E1124" w:rsidRPr="00A47D1B" w:rsidRDefault="002E1124" w:rsidP="002E1124">
      <w:pPr>
        <w:spacing w:after="0" w:line="240" w:lineRule="auto"/>
        <w:jc w:val="both"/>
      </w:pPr>
      <w:r w:rsidRPr="00A47D1B">
        <w:t xml:space="preserve">1 Department of Data Science, Leibniz Institute for Agricultural Engineering and </w:t>
      </w:r>
      <w:proofErr w:type="spellStart"/>
      <w:r w:rsidRPr="00A47D1B">
        <w:t>Bioeconomy</w:t>
      </w:r>
      <w:proofErr w:type="spellEnd"/>
      <w:r w:rsidRPr="00A47D1B">
        <w:t xml:space="preserve"> (ATB), Max-</w:t>
      </w:r>
      <w:proofErr w:type="spellStart"/>
      <w:r w:rsidRPr="00A47D1B">
        <w:t>Eyth</w:t>
      </w:r>
      <w:proofErr w:type="spellEnd"/>
      <w:r w:rsidRPr="00A47D1B">
        <w:t>-</w:t>
      </w:r>
      <w:proofErr w:type="spellStart"/>
      <w:r w:rsidRPr="00A47D1B">
        <w:t>Allee</w:t>
      </w:r>
      <w:proofErr w:type="spellEnd"/>
      <w:r w:rsidRPr="00A47D1B">
        <w:t xml:space="preserve"> 100, 14469 Potsdam, Germany</w:t>
      </w:r>
    </w:p>
    <w:p w14:paraId="119D45B5" w14:textId="77777777" w:rsidR="002E1124" w:rsidRPr="00A47D1B" w:rsidRDefault="002E1124" w:rsidP="002E1124">
      <w:pPr>
        <w:spacing w:after="0" w:line="240" w:lineRule="auto"/>
        <w:jc w:val="both"/>
      </w:pPr>
      <w:r w:rsidRPr="00A47D1B">
        <w:t xml:space="preserve">2 Department of Microbiome Biotechnology, Leibniz Institute for Agricultural Engineering and </w:t>
      </w:r>
      <w:proofErr w:type="spellStart"/>
      <w:r w:rsidRPr="00A47D1B">
        <w:t>Bioeconomy</w:t>
      </w:r>
      <w:proofErr w:type="spellEnd"/>
      <w:r w:rsidRPr="00A47D1B">
        <w:t xml:space="preserve"> (ATB), Max-</w:t>
      </w:r>
      <w:proofErr w:type="spellStart"/>
      <w:r w:rsidRPr="00A47D1B">
        <w:t>Eyth</w:t>
      </w:r>
      <w:proofErr w:type="spellEnd"/>
      <w:r w:rsidRPr="00A47D1B">
        <w:t>-</w:t>
      </w:r>
      <w:proofErr w:type="spellStart"/>
      <w:r w:rsidRPr="00A47D1B">
        <w:t>Allee</w:t>
      </w:r>
      <w:proofErr w:type="spellEnd"/>
      <w:r w:rsidRPr="00A47D1B">
        <w:t xml:space="preserve"> 100, 14469 Potsdam, Germany</w:t>
      </w:r>
    </w:p>
    <w:p w14:paraId="5987DA90" w14:textId="77777777" w:rsidR="002E1124" w:rsidRPr="00A47D1B" w:rsidRDefault="002E1124" w:rsidP="002E1124">
      <w:pPr>
        <w:spacing w:after="0" w:line="240" w:lineRule="auto"/>
        <w:jc w:val="both"/>
      </w:pPr>
      <w:r w:rsidRPr="00A47D1B">
        <w:t>3 Institute for Biochemistry and Biology, University of Potsdam, Karl-Liebknecht-Str. 24/25, 14476 Potsdam, Germany</w:t>
      </w:r>
    </w:p>
    <w:p w14:paraId="4BD8ADCA" w14:textId="77777777" w:rsidR="002E1124" w:rsidRDefault="002E1124" w:rsidP="002E1124">
      <w:pPr>
        <w:spacing w:after="0" w:line="240" w:lineRule="auto"/>
        <w:jc w:val="both"/>
      </w:pPr>
      <w:r w:rsidRPr="00A47D1B">
        <w:t xml:space="preserve">4 Department of Computer Science, University of Potsdam, </w:t>
      </w:r>
      <w:proofErr w:type="gramStart"/>
      <w:r w:rsidRPr="00A47D1B">
        <w:t>An</w:t>
      </w:r>
      <w:proofErr w:type="gramEnd"/>
      <w:r w:rsidRPr="00A47D1B">
        <w:t xml:space="preserve"> der </w:t>
      </w:r>
      <w:proofErr w:type="spellStart"/>
      <w:r w:rsidRPr="00A47D1B">
        <w:t>Bahn</w:t>
      </w:r>
      <w:proofErr w:type="spellEnd"/>
      <w:r w:rsidRPr="00A47D1B">
        <w:t xml:space="preserve"> 2, 14476 Potsdam, Germany</w:t>
      </w:r>
    </w:p>
    <w:p w14:paraId="528FF24D" w14:textId="77777777" w:rsidR="002E1124" w:rsidRPr="00A47D1B" w:rsidRDefault="002E1124" w:rsidP="002E1124">
      <w:pPr>
        <w:spacing w:after="0" w:line="240" w:lineRule="auto"/>
        <w:rPr>
          <w:lang w:val="en-US"/>
        </w:rPr>
      </w:pPr>
      <w:r w:rsidRPr="00A47D1B">
        <w:rPr>
          <w:rFonts w:cstheme="minorHAnsi"/>
          <w:lang w:val="en-US"/>
        </w:rPr>
        <w:t>† Equally contributing authors</w:t>
      </w:r>
    </w:p>
    <w:p w14:paraId="774F5E98" w14:textId="77777777" w:rsidR="002E1124" w:rsidRDefault="002E1124" w:rsidP="002E1124">
      <w:pPr>
        <w:spacing w:after="0" w:line="240" w:lineRule="auto"/>
        <w:rPr>
          <w:rFonts w:cstheme="minorHAnsi"/>
          <w:color w:val="0000FF"/>
          <w:w w:val="110"/>
        </w:rPr>
      </w:pPr>
      <w:r w:rsidRPr="00A47D1B">
        <w:rPr>
          <w:rFonts w:cstheme="minorHAnsi"/>
          <w:w w:val="110"/>
        </w:rPr>
        <w:t xml:space="preserve">*Corresponding author </w:t>
      </w:r>
      <w:hyperlink r:id="rId8" w:history="1">
        <w:r w:rsidRPr="00A47D1B">
          <w:rPr>
            <w:rStyle w:val="Hyperlink"/>
            <w:rFonts w:cstheme="minorHAnsi"/>
            <w:w w:val="110"/>
          </w:rPr>
          <w:t>aabdelfattah@atb-potsdam.de</w:t>
        </w:r>
      </w:hyperlink>
      <w:r w:rsidRPr="00A47D1B">
        <w:rPr>
          <w:rFonts w:cstheme="minorHAnsi"/>
          <w:color w:val="0000FF"/>
          <w:w w:val="110"/>
        </w:rPr>
        <w:t xml:space="preserve"> </w:t>
      </w:r>
    </w:p>
    <w:p w14:paraId="3AECD944" w14:textId="77777777" w:rsidR="002E1124" w:rsidRDefault="002E1124" w:rsidP="002E1124">
      <w:pPr>
        <w:spacing w:after="0" w:line="240" w:lineRule="auto"/>
        <w:rPr>
          <w:rFonts w:cstheme="minorHAnsi"/>
          <w:color w:val="0000FF"/>
          <w:w w:val="110"/>
        </w:rPr>
      </w:pPr>
    </w:p>
    <w:p w14:paraId="2B57DCD9" w14:textId="77777777" w:rsidR="002E1124" w:rsidRPr="00721F3E" w:rsidRDefault="002E1124" w:rsidP="002E1124">
      <w:pPr>
        <w:spacing w:after="0" w:line="240" w:lineRule="auto"/>
        <w:rPr>
          <w:lang w:val="de-DE"/>
        </w:rPr>
      </w:pPr>
      <w:r w:rsidRPr="00A47D1B">
        <w:rPr>
          <w:lang w:val="de-DE"/>
        </w:rPr>
        <w:t>Julia Herbinger</w:t>
      </w:r>
      <w:r w:rsidRPr="00721F3E">
        <w:rPr>
          <w:lang w:val="de-DE"/>
        </w:rPr>
        <w:t xml:space="preserve">: </w:t>
      </w:r>
      <w:hyperlink r:id="rId9" w:history="1">
        <w:r w:rsidRPr="0071521A">
          <w:rPr>
            <w:rStyle w:val="Hyperlink"/>
            <w:lang w:val="de-DE"/>
          </w:rPr>
          <w:t>julia.herbinger@gmail.com</w:t>
        </w:r>
      </w:hyperlink>
      <w:r>
        <w:rPr>
          <w:lang w:val="de-DE"/>
        </w:rPr>
        <w:t xml:space="preserve"> </w:t>
      </w:r>
    </w:p>
    <w:p w14:paraId="64C02DD2" w14:textId="77777777" w:rsidR="002E1124" w:rsidRPr="00721F3E" w:rsidRDefault="002E1124" w:rsidP="002E1124">
      <w:pPr>
        <w:spacing w:after="0" w:line="240" w:lineRule="auto"/>
        <w:rPr>
          <w:lang w:val="de-DE"/>
        </w:rPr>
      </w:pPr>
      <w:r w:rsidRPr="00721F3E">
        <w:rPr>
          <w:lang w:val="de-DE"/>
        </w:rPr>
        <w:t xml:space="preserve">Dinesh Kumar Ramakrishnan: 0009-0009-0339-4029 </w:t>
      </w:r>
      <w:r w:rsidR="00A0387F">
        <w:rPr>
          <w:rStyle w:val="Hyperlink"/>
          <w:lang w:val="de-DE"/>
        </w:rPr>
        <w:fldChar w:fldCharType="begin"/>
      </w:r>
      <w:r w:rsidR="00A0387F">
        <w:rPr>
          <w:rStyle w:val="Hyperlink"/>
          <w:lang w:val="de-DE"/>
        </w:rPr>
        <w:instrText xml:space="preserve"> HYPERLINK "mailto:DRamakrishnan@atb-potsdam.de" </w:instrText>
      </w:r>
      <w:r w:rsidR="00A0387F">
        <w:rPr>
          <w:rStyle w:val="Hyperlink"/>
          <w:lang w:val="de-DE"/>
        </w:rPr>
        <w:fldChar w:fldCharType="separate"/>
      </w:r>
      <w:r w:rsidRPr="00721F3E">
        <w:rPr>
          <w:rStyle w:val="Hyperlink"/>
          <w:lang w:val="de-DE"/>
        </w:rPr>
        <w:t>DRamakrishnan@atb-potsdam.de</w:t>
      </w:r>
      <w:r w:rsidR="00A0387F">
        <w:rPr>
          <w:rStyle w:val="Hyperlink"/>
          <w:lang w:val="de-DE"/>
        </w:rPr>
        <w:fldChar w:fldCharType="end"/>
      </w:r>
      <w:r w:rsidRPr="00721F3E">
        <w:rPr>
          <w:lang w:val="de-DE"/>
        </w:rPr>
        <w:t xml:space="preserve"> </w:t>
      </w:r>
    </w:p>
    <w:p w14:paraId="3BAACBF2" w14:textId="77777777" w:rsidR="002E1124" w:rsidRPr="00721F3E" w:rsidRDefault="002E1124" w:rsidP="002E1124">
      <w:pPr>
        <w:spacing w:after="0" w:line="240" w:lineRule="auto"/>
        <w:rPr>
          <w:lang w:val="de-DE"/>
        </w:rPr>
      </w:pPr>
      <w:r w:rsidRPr="00A47D1B">
        <w:rPr>
          <w:lang w:val="de-DE"/>
        </w:rPr>
        <w:t>Jannik Reißfelder</w:t>
      </w:r>
      <w:r>
        <w:rPr>
          <w:lang w:val="de-DE"/>
        </w:rPr>
        <w:t>:</w:t>
      </w:r>
      <w:r w:rsidRPr="00721F3E">
        <w:rPr>
          <w:lang w:val="de-DE"/>
        </w:rPr>
        <w:t xml:space="preserve"> </w:t>
      </w:r>
      <w:hyperlink r:id="rId10" w:history="1">
        <w:r w:rsidRPr="00A47D1B">
          <w:rPr>
            <w:rStyle w:val="Hyperlink"/>
            <w:rFonts w:ascii="Calibri" w:hAnsi="Calibri" w:cs="Calibri"/>
            <w:lang w:val="de-DE"/>
          </w:rPr>
          <w:t>jannik.reissfelder@gmail.com</w:t>
        </w:r>
      </w:hyperlink>
    </w:p>
    <w:p w14:paraId="225EEA04" w14:textId="77777777" w:rsidR="002E1124" w:rsidRDefault="002E1124" w:rsidP="002E1124">
      <w:pPr>
        <w:spacing w:after="0" w:line="240" w:lineRule="auto"/>
        <w:rPr>
          <w:lang w:val="de-DE"/>
        </w:rPr>
      </w:pPr>
      <w:r w:rsidRPr="00A47D1B">
        <w:rPr>
          <w:rFonts w:eastAsia="Times New Roman"/>
          <w:lang w:val="de-DE"/>
        </w:rPr>
        <w:t>Majharulislam Babor</w:t>
      </w:r>
      <w:r w:rsidRPr="00721F3E">
        <w:rPr>
          <w:lang w:val="de-DE"/>
        </w:rPr>
        <w:t xml:space="preserve">: </w:t>
      </w:r>
      <w:hyperlink r:id="rId11" w:history="1">
        <w:r w:rsidRPr="00A47D1B">
          <w:rPr>
            <w:rStyle w:val="Hyperlink"/>
            <w:rFonts w:ascii="Calibri" w:hAnsi="Calibri" w:cs="Calibri"/>
            <w:lang w:val="de-DE"/>
          </w:rPr>
          <w:t>MBabor@atb-potsdam.de</w:t>
        </w:r>
      </w:hyperlink>
    </w:p>
    <w:p w14:paraId="2E4472E5" w14:textId="77777777" w:rsidR="002E1124" w:rsidRPr="00E751B6" w:rsidRDefault="002E1124" w:rsidP="002E1124">
      <w:pPr>
        <w:spacing w:after="0" w:line="240" w:lineRule="auto"/>
        <w:rPr>
          <w:lang w:val="de-DE"/>
        </w:rPr>
      </w:pPr>
      <w:r w:rsidRPr="00A47D1B">
        <w:rPr>
          <w:lang w:val="de-DE"/>
        </w:rPr>
        <w:t>Marina Höhne</w:t>
      </w:r>
      <w:r w:rsidRPr="00E751B6">
        <w:rPr>
          <w:lang w:val="de-DE"/>
        </w:rPr>
        <w:t xml:space="preserve">: 0000-0003-3090-6279 </w:t>
      </w:r>
      <w:r w:rsidR="00A0387F">
        <w:rPr>
          <w:rStyle w:val="Hyperlink"/>
          <w:lang w:val="de-DE"/>
        </w:rPr>
        <w:fldChar w:fldCharType="begin"/>
      </w:r>
      <w:r w:rsidR="00A0387F">
        <w:rPr>
          <w:rStyle w:val="Hyperlink"/>
          <w:lang w:val="de-DE"/>
        </w:rPr>
        <w:instrText xml:space="preserve"> HYPERLINK "mailto:hoehne5@uni-potsdam.de" </w:instrText>
      </w:r>
      <w:r w:rsidR="00A0387F">
        <w:rPr>
          <w:rStyle w:val="Hyperlink"/>
          <w:lang w:val="de-DE"/>
        </w:rPr>
        <w:fldChar w:fldCharType="separate"/>
      </w:r>
      <w:r w:rsidRPr="00E751B6">
        <w:rPr>
          <w:rStyle w:val="Hyperlink"/>
          <w:lang w:val="de-DE"/>
        </w:rPr>
        <w:t>hoehne5@uni-potsdam.de</w:t>
      </w:r>
      <w:r w:rsidR="00A0387F">
        <w:rPr>
          <w:rStyle w:val="Hyperlink"/>
          <w:lang w:val="de-DE"/>
        </w:rPr>
        <w:fldChar w:fldCharType="end"/>
      </w:r>
      <w:r w:rsidRPr="00E751B6">
        <w:rPr>
          <w:lang w:val="de-DE"/>
        </w:rPr>
        <w:t xml:space="preserve">  </w:t>
      </w:r>
    </w:p>
    <w:p w14:paraId="12F8940F" w14:textId="77777777" w:rsidR="002E1124" w:rsidRPr="00A47D1B" w:rsidRDefault="002E1124" w:rsidP="002E1124">
      <w:pPr>
        <w:spacing w:after="0"/>
        <w:rPr>
          <w:lang w:val="en-US"/>
        </w:rPr>
      </w:pPr>
      <w:r w:rsidRPr="009E1514">
        <w:rPr>
          <w:lang w:val="en-US"/>
        </w:rPr>
        <w:t xml:space="preserve">Ahmed Abdelfattah: 0000-0001-6090-7200 </w:t>
      </w:r>
      <w:hyperlink r:id="rId12" w:history="1">
        <w:r>
          <w:rPr>
            <w:rStyle w:val="Hyperlink"/>
            <w:rFonts w:eastAsia="Times New Roman"/>
          </w:rPr>
          <w:t>AAbdelfattah@atb-potsdam.de</w:t>
        </w:r>
      </w:hyperlink>
    </w:p>
    <w:p w14:paraId="4E8150B8" w14:textId="77777777" w:rsidR="002E1124" w:rsidRPr="002E1124" w:rsidRDefault="002E1124" w:rsidP="002E1124">
      <w:pPr>
        <w:jc w:val="both"/>
        <w:rPr>
          <w:lang w:val="en-US"/>
        </w:rPr>
      </w:pPr>
    </w:p>
    <w:p w14:paraId="11A40835" w14:textId="77777777" w:rsidR="002E1124" w:rsidRDefault="002E1124" w:rsidP="002E1124">
      <w:pPr>
        <w:pStyle w:val="Heading1"/>
        <w:rPr>
          <w:rFonts w:asciiTheme="minorHAnsi" w:hAnsiTheme="minorHAnsi" w:cstheme="minorHAnsi"/>
          <w:b/>
          <w:color w:val="auto"/>
          <w:sz w:val="28"/>
          <w:szCs w:val="28"/>
        </w:rPr>
      </w:pPr>
    </w:p>
    <w:p w14:paraId="52028E24" w14:textId="5504787C" w:rsidR="002E1124" w:rsidRPr="002E1124" w:rsidRDefault="002E1124" w:rsidP="002E1124">
      <w:pPr>
        <w:pStyle w:val="Heading1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2E1124">
        <w:rPr>
          <w:rFonts w:asciiTheme="minorHAnsi" w:hAnsiTheme="minorHAnsi" w:cstheme="minorHAnsi"/>
          <w:b/>
          <w:color w:val="auto"/>
          <w:sz w:val="28"/>
          <w:szCs w:val="28"/>
        </w:rPr>
        <w:t xml:space="preserve">Supplementary </w:t>
      </w:r>
      <w:r w:rsidR="00ED5885">
        <w:rPr>
          <w:rFonts w:asciiTheme="minorHAnsi" w:hAnsiTheme="minorHAnsi" w:cstheme="minorHAnsi"/>
          <w:b/>
          <w:color w:val="auto"/>
          <w:sz w:val="28"/>
          <w:szCs w:val="28"/>
        </w:rPr>
        <w:t>Figures</w:t>
      </w:r>
    </w:p>
    <w:p w14:paraId="4CA9D834" w14:textId="77777777" w:rsidR="00ED5885" w:rsidRDefault="00ED5885" w:rsidP="002E1124"/>
    <w:p w14:paraId="7754B13D" w14:textId="77777777" w:rsidR="00ED5885" w:rsidRDefault="00ED5885" w:rsidP="002E1124"/>
    <w:p w14:paraId="05619B5D" w14:textId="77777777" w:rsidR="00ED5885" w:rsidRDefault="00ED5885" w:rsidP="002E1124"/>
    <w:p w14:paraId="75163266" w14:textId="77777777" w:rsidR="00ED5885" w:rsidRDefault="00ED5885" w:rsidP="002E1124"/>
    <w:p w14:paraId="33CAF8AC" w14:textId="77777777" w:rsidR="00ED5885" w:rsidRDefault="00ED5885" w:rsidP="002E1124"/>
    <w:p w14:paraId="68058A46" w14:textId="77777777" w:rsidR="00ED5885" w:rsidRDefault="00ED5885" w:rsidP="002E1124"/>
    <w:p w14:paraId="6EE93004" w14:textId="77777777" w:rsidR="00ED5885" w:rsidRDefault="00ED5885" w:rsidP="002E1124"/>
    <w:p w14:paraId="5EFD99AC" w14:textId="77777777" w:rsidR="00ED5885" w:rsidRDefault="00ED5885" w:rsidP="002E1124"/>
    <w:p w14:paraId="00FFC5E3" w14:textId="77777777" w:rsidR="00ED5885" w:rsidRDefault="00ED5885" w:rsidP="002E1124"/>
    <w:p w14:paraId="0B794668" w14:textId="77777777" w:rsidR="00ED5885" w:rsidRDefault="00ED5885" w:rsidP="002E1124"/>
    <w:p w14:paraId="2AE2BAC2" w14:textId="78817F67" w:rsidR="00ED5885" w:rsidRPr="00ED5885" w:rsidRDefault="00ED5885" w:rsidP="00ED5885">
      <w:pPr>
        <w:jc w:val="both"/>
        <w:rPr>
          <w:b/>
          <w:bCs/>
        </w:rPr>
      </w:pPr>
      <w:r w:rsidRPr="00A258A8">
        <w:rPr>
          <w:noProof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3DF2B314" wp14:editId="1666A8EB">
            <wp:simplePos x="0" y="0"/>
            <wp:positionH relativeFrom="margin">
              <wp:posOffset>577850</wp:posOffset>
            </wp:positionH>
            <wp:positionV relativeFrom="paragraph">
              <wp:posOffset>526415</wp:posOffset>
            </wp:positionV>
            <wp:extent cx="4827905" cy="6606540"/>
            <wp:effectExtent l="0" t="0" r="0" b="3810"/>
            <wp:wrapTopAndBottom/>
            <wp:docPr id="2" name="Picture 2" descr="L:\Abt1\Microbiome-Management\Dinesh\13_Prediction_Jannik\01_Manuscript\figure\Supplementary Figure 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Abt1\Microbiome-Management\Dinesh\13_Prediction_Jannik\01_Manuscript\figure\Supplementary Figure 1.tif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5" cy="660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5885">
        <w:rPr>
          <w:b/>
          <w:bCs/>
        </w:rPr>
        <w:t>Supplementary Figure S1. Effect of neighbour number on HD-KNN prediction accuracy across plant species</w:t>
      </w:r>
    </w:p>
    <w:p w14:paraId="775526E5" w14:textId="2A661FE7" w:rsidR="002E1124" w:rsidRPr="00ED5885" w:rsidRDefault="00ED5885" w:rsidP="002E1124">
      <w:pPr>
        <w:pStyle w:val="Caption"/>
        <w:jc w:val="both"/>
        <w:rPr>
          <w:sz w:val="20"/>
          <w:szCs w:val="20"/>
        </w:rPr>
      </w:pPr>
      <w:r w:rsidRPr="00ED5885">
        <w:rPr>
          <w:sz w:val="20"/>
          <w:szCs w:val="20"/>
        </w:rPr>
        <w:t xml:space="preserve">Supplementary Figure S1. Effect of neighbour number on HD-KNN prediction accuracy across plant species. Species-specific HD-KNN performance was evaluated across different values of k for </w:t>
      </w:r>
      <w:proofErr w:type="spellStart"/>
      <w:r w:rsidRPr="00ED5885">
        <w:rPr>
          <w:sz w:val="20"/>
          <w:szCs w:val="20"/>
        </w:rPr>
        <w:t>Brassicaceae</w:t>
      </w:r>
      <w:proofErr w:type="spellEnd"/>
      <w:r w:rsidRPr="00ED5885">
        <w:rPr>
          <w:sz w:val="20"/>
          <w:szCs w:val="20"/>
        </w:rPr>
        <w:t xml:space="preserve">, </w:t>
      </w:r>
      <w:proofErr w:type="spellStart"/>
      <w:r w:rsidRPr="00ED5885">
        <w:rPr>
          <w:sz w:val="20"/>
          <w:szCs w:val="20"/>
        </w:rPr>
        <w:t>Poaceae</w:t>
      </w:r>
      <w:proofErr w:type="spellEnd"/>
      <w:r w:rsidRPr="00ED5885">
        <w:rPr>
          <w:sz w:val="20"/>
          <w:szCs w:val="20"/>
        </w:rPr>
        <w:t>, and the remaining plant species. Red dashed lines show microbial community prediction error measured as Jensen</w:t>
      </w:r>
      <w:r>
        <w:rPr>
          <w:sz w:val="20"/>
          <w:szCs w:val="20"/>
        </w:rPr>
        <w:t>-</w:t>
      </w:r>
      <w:r w:rsidRPr="00ED5885">
        <w:rPr>
          <w:sz w:val="20"/>
          <w:szCs w:val="20"/>
        </w:rPr>
        <w:t xml:space="preserve">Shannon divergence (JSD), green dashed lines show prediction error measured as mean absolute error (MAE), and blue solid lines show the average plant nuclear ITS-derived host-relatedness distance, measured as normalized Hamming distance, between each held-out species and its k nearest neighbours. Lower JSD and MAE values indicate better prediction accuracy, whereas lower Hamming distances indicate closer host-relatedness among selected neighbours. The figure illustrates that species with closer neighbours, particularly within densely sampled </w:t>
      </w:r>
      <w:proofErr w:type="spellStart"/>
      <w:r w:rsidRPr="00ED5885">
        <w:rPr>
          <w:sz w:val="20"/>
          <w:szCs w:val="20"/>
        </w:rPr>
        <w:t>Brassicaceae</w:t>
      </w:r>
      <w:proofErr w:type="spellEnd"/>
      <w:r w:rsidRPr="00ED5885">
        <w:rPr>
          <w:sz w:val="20"/>
          <w:szCs w:val="20"/>
        </w:rPr>
        <w:t xml:space="preserve"> and </w:t>
      </w:r>
      <w:proofErr w:type="spellStart"/>
      <w:r w:rsidRPr="00ED5885">
        <w:rPr>
          <w:sz w:val="20"/>
          <w:szCs w:val="20"/>
        </w:rPr>
        <w:t>Poaceae</w:t>
      </w:r>
      <w:proofErr w:type="spellEnd"/>
      <w:r w:rsidRPr="00ED5885">
        <w:rPr>
          <w:sz w:val="20"/>
          <w:szCs w:val="20"/>
        </w:rPr>
        <w:t xml:space="preserve"> groups, generally showed improved HD-KNN performance, supporting the local-neighbour structure of the model.</w:t>
      </w:r>
    </w:p>
    <w:p w14:paraId="5006F60D" w14:textId="7B4EE8E7" w:rsidR="00C5545F" w:rsidRDefault="006136CE" w:rsidP="002E1124">
      <w:pPr>
        <w:jc w:val="both"/>
        <w:rPr>
          <w:b/>
          <w:bCs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0EC43B4C" wp14:editId="11A8DE59">
            <wp:simplePos x="0" y="0"/>
            <wp:positionH relativeFrom="margin">
              <wp:align>left</wp:align>
            </wp:positionH>
            <wp:positionV relativeFrom="paragraph">
              <wp:posOffset>416610</wp:posOffset>
            </wp:positionV>
            <wp:extent cx="5456555" cy="2906395"/>
            <wp:effectExtent l="0" t="0" r="0" b="825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2"/>
                    <a:stretch/>
                  </pic:blipFill>
                  <pic:spPr bwMode="auto">
                    <a:xfrm>
                      <a:off x="0" y="0"/>
                      <a:ext cx="5456555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45F" w:rsidRPr="00C5545F">
        <w:rPr>
          <w:b/>
          <w:bCs/>
        </w:rPr>
        <w:t>Supplementary Figure S</w:t>
      </w:r>
      <w:r w:rsidR="001D4915">
        <w:rPr>
          <w:b/>
          <w:bCs/>
        </w:rPr>
        <w:t>2</w:t>
      </w:r>
      <w:r w:rsidR="00C5545F" w:rsidRPr="00C5545F">
        <w:rPr>
          <w:b/>
          <w:bCs/>
        </w:rPr>
        <w:t>a. Number of OTUs retained across intra-species CV thresholds</w:t>
      </w:r>
    </w:p>
    <w:p w14:paraId="23A7454A" w14:textId="54E3C350" w:rsidR="006136CE" w:rsidRPr="00A44E01" w:rsidRDefault="006136CE" w:rsidP="002E1124">
      <w:pPr>
        <w:jc w:val="both"/>
        <w:rPr>
          <w:b/>
          <w:bCs/>
        </w:rPr>
      </w:pPr>
    </w:p>
    <w:p w14:paraId="159B11A6" w14:textId="2EE38E57" w:rsidR="00A44E01" w:rsidRPr="00A44E01" w:rsidRDefault="00A44E01" w:rsidP="00A44E01">
      <w:pPr>
        <w:jc w:val="both"/>
        <w:rPr>
          <w:i/>
          <w:iCs/>
          <w:sz w:val="20"/>
          <w:szCs w:val="20"/>
        </w:rPr>
      </w:pPr>
      <w:r w:rsidRPr="00A44E01">
        <w:rPr>
          <w:i/>
          <w:iCs/>
          <w:sz w:val="20"/>
          <w:szCs w:val="20"/>
        </w:rPr>
        <w:t xml:space="preserve">The number of OTUs retained under different intra-species coefficient of variation (CV) thresholds. OTUs were retained if their CV was below the given threshold in at least one plant species. The </w:t>
      </w:r>
      <w:r w:rsidR="001D2B5B" w:rsidRPr="001D2B5B">
        <w:rPr>
          <w:i/>
          <w:iCs/>
          <w:sz w:val="20"/>
          <w:szCs w:val="20"/>
        </w:rPr>
        <w:t>selected threshold</w:t>
      </w:r>
      <w:r w:rsidRPr="00A44E01">
        <w:rPr>
          <w:i/>
          <w:iCs/>
          <w:sz w:val="20"/>
          <w:szCs w:val="20"/>
        </w:rPr>
        <w:t xml:space="preserve">, CV &lt;0.5, retained 372 OTUs from the initial 11,739 OTUs. Relaxing the threshold increased the number of retained OTUs gradually, indicating that the selected threshold does not represent an abrupt </w:t>
      </w:r>
      <w:proofErr w:type="spellStart"/>
      <w:r w:rsidRPr="00A44E01">
        <w:rPr>
          <w:i/>
          <w:iCs/>
          <w:sz w:val="20"/>
          <w:szCs w:val="20"/>
        </w:rPr>
        <w:t>cutoff</w:t>
      </w:r>
      <w:proofErr w:type="spellEnd"/>
      <w:r w:rsidRPr="00A44E01">
        <w:rPr>
          <w:i/>
          <w:iCs/>
          <w:sz w:val="20"/>
          <w:szCs w:val="20"/>
        </w:rPr>
        <w:t>.</w:t>
      </w:r>
    </w:p>
    <w:p w14:paraId="571BD606" w14:textId="56345145" w:rsidR="00C5545F" w:rsidRDefault="006136CE" w:rsidP="002E1124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61016EC" wp14:editId="515DAC53">
            <wp:simplePos x="0" y="0"/>
            <wp:positionH relativeFrom="margin">
              <wp:posOffset>102235</wp:posOffset>
            </wp:positionH>
            <wp:positionV relativeFrom="paragraph">
              <wp:posOffset>334010</wp:posOffset>
            </wp:positionV>
            <wp:extent cx="5062855" cy="2465070"/>
            <wp:effectExtent l="0" t="0" r="4445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32" b="7436"/>
                    <a:stretch/>
                  </pic:blipFill>
                  <pic:spPr bwMode="auto">
                    <a:xfrm>
                      <a:off x="0" y="0"/>
                      <a:ext cx="5062855" cy="246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E01" w:rsidRPr="00A44E01">
        <w:rPr>
          <w:b/>
          <w:bCs/>
        </w:rPr>
        <w:t>Supplementary Figure S</w:t>
      </w:r>
      <w:r w:rsidR="001D4915">
        <w:rPr>
          <w:b/>
          <w:bCs/>
        </w:rPr>
        <w:t>2b</w:t>
      </w:r>
      <w:r w:rsidR="00A44E01" w:rsidRPr="00A44E01">
        <w:rPr>
          <w:b/>
          <w:bCs/>
        </w:rPr>
        <w:t>. Read-count distribution of retained and discarded OTUs</w:t>
      </w:r>
    </w:p>
    <w:p w14:paraId="62DE9D94" w14:textId="59AFC446" w:rsidR="00A44E01" w:rsidRPr="00A44E01" w:rsidRDefault="00A44E01" w:rsidP="00A44E01">
      <w:pPr>
        <w:jc w:val="both"/>
        <w:rPr>
          <w:i/>
          <w:iCs/>
          <w:sz w:val="20"/>
          <w:szCs w:val="20"/>
        </w:rPr>
      </w:pPr>
      <w:r w:rsidRPr="00A44E01">
        <w:rPr>
          <w:i/>
          <w:iCs/>
          <w:sz w:val="20"/>
          <w:szCs w:val="20"/>
        </w:rPr>
        <w:t>Distribution of raw read counts for OTUs retained by the CV &lt;0.5 filter compared with discarded OTUs. The retained 372 OTUs represented only 3.2% of total OTU richness but accounted for 64.58% of total raw sequencing reads, indicating that the filtered target space captured a numerically dominant fraction of the seed-associated bacterial community.</w:t>
      </w:r>
    </w:p>
    <w:p w14:paraId="7B3F86F8" w14:textId="77777777" w:rsidR="006136CE" w:rsidRDefault="006136CE" w:rsidP="002E1124">
      <w:pPr>
        <w:jc w:val="both"/>
        <w:rPr>
          <w:noProof/>
        </w:rPr>
      </w:pPr>
    </w:p>
    <w:p w14:paraId="3F2EAE43" w14:textId="50B294AA" w:rsidR="00A44E01" w:rsidRPr="00A44E01" w:rsidRDefault="006136CE" w:rsidP="002E1124">
      <w:pPr>
        <w:jc w:val="both"/>
        <w:rPr>
          <w:b/>
          <w:bCs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0" locked="0" layoutInCell="1" allowOverlap="1" wp14:anchorId="5FBD2E52" wp14:editId="1124F1D1">
            <wp:simplePos x="0" y="0"/>
            <wp:positionH relativeFrom="margin">
              <wp:align>right</wp:align>
            </wp:positionH>
            <wp:positionV relativeFrom="paragraph">
              <wp:posOffset>380009</wp:posOffset>
            </wp:positionV>
            <wp:extent cx="5731510" cy="3049270"/>
            <wp:effectExtent l="0" t="0" r="254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1"/>
                    <a:stretch/>
                  </pic:blipFill>
                  <pic:spPr bwMode="auto">
                    <a:xfrm>
                      <a:off x="0" y="0"/>
                      <a:ext cx="5731510" cy="304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44E01" w:rsidRPr="00A44E01">
        <w:rPr>
          <w:b/>
          <w:bCs/>
        </w:rPr>
        <w:t>Supplementary Figure S</w:t>
      </w:r>
      <w:r w:rsidR="001D4915">
        <w:rPr>
          <w:b/>
          <w:bCs/>
        </w:rPr>
        <w:t>2c</w:t>
      </w:r>
      <w:r w:rsidR="00A44E01" w:rsidRPr="00A44E01">
        <w:rPr>
          <w:b/>
          <w:bCs/>
        </w:rPr>
        <w:t>. HD-KNN prediction performance across stricter CV-filtered OTU subsets</w:t>
      </w:r>
    </w:p>
    <w:p w14:paraId="442DC2F1" w14:textId="0AFA8540" w:rsidR="00A44E01" w:rsidRPr="00A44E01" w:rsidRDefault="00A44E01" w:rsidP="00A44E01">
      <w:pPr>
        <w:jc w:val="both"/>
        <w:rPr>
          <w:i/>
          <w:iCs/>
          <w:sz w:val="20"/>
          <w:szCs w:val="20"/>
        </w:rPr>
      </w:pPr>
      <w:r w:rsidRPr="00A44E01">
        <w:rPr>
          <w:i/>
          <w:iCs/>
          <w:sz w:val="20"/>
          <w:szCs w:val="20"/>
        </w:rPr>
        <w:t>Mean Jensen</w:t>
      </w:r>
      <w:r w:rsidR="001D4915">
        <w:rPr>
          <w:i/>
          <w:iCs/>
          <w:sz w:val="20"/>
          <w:szCs w:val="20"/>
        </w:rPr>
        <w:t>-</w:t>
      </w:r>
      <w:r w:rsidRPr="00A44E01">
        <w:rPr>
          <w:i/>
          <w:iCs/>
          <w:sz w:val="20"/>
          <w:szCs w:val="20"/>
        </w:rPr>
        <w:t xml:space="preserve">Shannon divergence (JSD) for HD-KNN predictions computed across OTU subsets retained under stricter intra-species CV thresholds. JSD was evaluated using the original benchmark predictions for OTUs contained within the 372-OTU </w:t>
      </w:r>
      <w:r w:rsidR="001D2B5B" w:rsidRPr="001D2B5B">
        <w:rPr>
          <w:i/>
          <w:iCs/>
          <w:sz w:val="20"/>
          <w:szCs w:val="20"/>
        </w:rPr>
        <w:t>benchmarked target space</w:t>
      </w:r>
      <w:r w:rsidRPr="00A44E01">
        <w:rPr>
          <w:i/>
          <w:iCs/>
          <w:sz w:val="20"/>
          <w:szCs w:val="20"/>
        </w:rPr>
        <w:t xml:space="preserve">. Mean JSD changed gradually from 0.2534 ± 0.1749 at CV &lt;0.2 to 0.2757 ± 0.1712 at the </w:t>
      </w:r>
      <w:r w:rsidR="001D2B5B" w:rsidRPr="001D2B5B">
        <w:rPr>
          <w:i/>
          <w:iCs/>
          <w:sz w:val="20"/>
          <w:szCs w:val="20"/>
        </w:rPr>
        <w:t>selected threshold</w:t>
      </w:r>
      <w:r w:rsidR="001D2B5B">
        <w:rPr>
          <w:i/>
          <w:iCs/>
          <w:sz w:val="20"/>
          <w:szCs w:val="20"/>
        </w:rPr>
        <w:t xml:space="preserve"> </w:t>
      </w:r>
      <w:r w:rsidRPr="00A44E01">
        <w:rPr>
          <w:i/>
          <w:iCs/>
          <w:sz w:val="20"/>
          <w:szCs w:val="20"/>
        </w:rPr>
        <w:t>of CV &lt;0.5. Thresholds above CV &lt;0.5 admit additional OTUs that were not included in the original benchmark and therefore were not interpreted as full model sensitivity analyses.</w:t>
      </w:r>
    </w:p>
    <w:p w14:paraId="66A8561A" w14:textId="57D60D11" w:rsidR="00C5545F" w:rsidRPr="00930B35" w:rsidRDefault="00930B35" w:rsidP="002E1124">
      <w:pPr>
        <w:jc w:val="both"/>
        <w:rPr>
          <w:b/>
          <w:bCs/>
        </w:rPr>
      </w:pPr>
      <w:r w:rsidRPr="00930B35">
        <w:rPr>
          <w:b/>
          <w:bCs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275BA62" wp14:editId="50ED5B07">
            <wp:simplePos x="0" y="0"/>
            <wp:positionH relativeFrom="margin">
              <wp:posOffset>98704</wp:posOffset>
            </wp:positionH>
            <wp:positionV relativeFrom="paragraph">
              <wp:posOffset>434671</wp:posOffset>
            </wp:positionV>
            <wp:extent cx="5124450" cy="3020695"/>
            <wp:effectExtent l="0" t="0" r="0" b="825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59"/>
                    <a:stretch/>
                  </pic:blipFill>
                  <pic:spPr bwMode="auto">
                    <a:xfrm>
                      <a:off x="0" y="0"/>
                      <a:ext cx="512445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30B35">
        <w:rPr>
          <w:b/>
          <w:bCs/>
        </w:rPr>
        <w:t>Supplementary Figure S</w:t>
      </w:r>
      <w:r w:rsidR="00CE5627">
        <w:rPr>
          <w:b/>
          <w:bCs/>
        </w:rPr>
        <w:t>3</w:t>
      </w:r>
      <w:r w:rsidRPr="00930B35">
        <w:rPr>
          <w:b/>
          <w:bCs/>
        </w:rPr>
        <w:t>. Baseline and proposed HD model comparison</w:t>
      </w:r>
    </w:p>
    <w:p w14:paraId="756F8D31" w14:textId="5CF1A85F" w:rsidR="00930B35" w:rsidRPr="00930B35" w:rsidRDefault="00930B35" w:rsidP="00930B35">
      <w:pPr>
        <w:jc w:val="both"/>
        <w:rPr>
          <w:i/>
          <w:iCs/>
          <w:sz w:val="20"/>
          <w:szCs w:val="20"/>
        </w:rPr>
      </w:pPr>
      <w:r w:rsidRPr="00930B35">
        <w:rPr>
          <w:i/>
          <w:iCs/>
          <w:sz w:val="20"/>
          <w:szCs w:val="20"/>
        </w:rPr>
        <w:t>Mean Jensen</w:t>
      </w:r>
      <w:r w:rsidR="00CE5627">
        <w:rPr>
          <w:i/>
          <w:iCs/>
          <w:sz w:val="20"/>
          <w:szCs w:val="20"/>
        </w:rPr>
        <w:t>-</w:t>
      </w:r>
      <w:r w:rsidRPr="00930B35">
        <w:rPr>
          <w:i/>
          <w:iCs/>
          <w:sz w:val="20"/>
          <w:szCs w:val="20"/>
        </w:rPr>
        <w:t>Shannon divergence (JSD) across 61 plant species for baseline/null models and the proposed Hamming-distance-based models. Lower JSD indicates better prediction. Error bars indicate standard deviation across species. All models were evaluated using the same 61-species × 372-OTU target matrix and leave-one-species-out protocol.</w:t>
      </w:r>
    </w:p>
    <w:p w14:paraId="138BCF53" w14:textId="3567D4D4" w:rsidR="001B771A" w:rsidRDefault="001B771A" w:rsidP="009E0180">
      <w:pPr>
        <w:jc w:val="both"/>
        <w:rPr>
          <w:b/>
          <w:bCs/>
        </w:rPr>
      </w:pPr>
      <w:r>
        <w:rPr>
          <w:noProof/>
          <w:lang w:val="en-US"/>
        </w:rPr>
        <w:drawing>
          <wp:anchor distT="0" distB="0" distL="114300" distR="114300" simplePos="0" relativeHeight="251665408" behindDoc="1" locked="0" layoutInCell="1" allowOverlap="1" wp14:anchorId="00D58EE5" wp14:editId="7AFB2E1C">
            <wp:simplePos x="0" y="0"/>
            <wp:positionH relativeFrom="margin">
              <wp:posOffset>246939</wp:posOffset>
            </wp:positionH>
            <wp:positionV relativeFrom="paragraph">
              <wp:posOffset>346990</wp:posOffset>
            </wp:positionV>
            <wp:extent cx="514985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493" y="21494"/>
                <wp:lineTo x="21493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40" b="5143"/>
                    <a:stretch/>
                  </pic:blipFill>
                  <pic:spPr bwMode="auto">
                    <a:xfrm>
                      <a:off x="0" y="0"/>
                      <a:ext cx="5149850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71A">
        <w:rPr>
          <w:b/>
          <w:bCs/>
        </w:rPr>
        <w:t>Supplementary Figure S</w:t>
      </w:r>
      <w:r w:rsidR="00CE5627">
        <w:rPr>
          <w:b/>
          <w:bCs/>
        </w:rPr>
        <w:t>4</w:t>
      </w:r>
      <w:r w:rsidRPr="001B771A">
        <w:rPr>
          <w:b/>
          <w:bCs/>
        </w:rPr>
        <w:t>. Host species representation across major groups</w:t>
      </w:r>
    </w:p>
    <w:p w14:paraId="29EF2BBE" w14:textId="180F5918" w:rsidR="001B771A" w:rsidRPr="001B771A" w:rsidRDefault="001B771A" w:rsidP="009E0180">
      <w:pPr>
        <w:jc w:val="both"/>
        <w:rPr>
          <w:i/>
          <w:iCs/>
          <w:sz w:val="20"/>
          <w:szCs w:val="20"/>
        </w:rPr>
      </w:pPr>
      <w:r w:rsidRPr="001B771A">
        <w:rPr>
          <w:i/>
          <w:iCs/>
          <w:sz w:val="20"/>
          <w:szCs w:val="20"/>
        </w:rPr>
        <w:t xml:space="preserve">Number of plant species included in each host group used for the 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-exclusion sensitivity analysis. The dataset contained 61 plant species in total: 15 </w:t>
      </w:r>
      <w:proofErr w:type="spellStart"/>
      <w:r w:rsidRPr="001B771A">
        <w:rPr>
          <w:i/>
          <w:iCs/>
          <w:sz w:val="20"/>
          <w:szCs w:val="20"/>
        </w:rPr>
        <w:t>Brassicaceae</w:t>
      </w:r>
      <w:proofErr w:type="spellEnd"/>
      <w:r w:rsidRPr="001B771A">
        <w:rPr>
          <w:i/>
          <w:iCs/>
          <w:sz w:val="20"/>
          <w:szCs w:val="20"/>
        </w:rPr>
        <w:t xml:space="preserve"> species, 18 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species, 6 non-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</w:t>
      </w:r>
      <w:proofErr w:type="spellStart"/>
      <w:r w:rsidRPr="001B771A">
        <w:rPr>
          <w:i/>
          <w:iCs/>
          <w:sz w:val="20"/>
          <w:szCs w:val="20"/>
        </w:rPr>
        <w:t>Poaceae</w:t>
      </w:r>
      <w:proofErr w:type="spellEnd"/>
      <w:r w:rsidRPr="001B771A">
        <w:rPr>
          <w:i/>
          <w:iCs/>
          <w:sz w:val="20"/>
          <w:szCs w:val="20"/>
        </w:rPr>
        <w:t xml:space="preserve"> species, 5 </w:t>
      </w:r>
      <w:proofErr w:type="spellStart"/>
      <w:r w:rsidRPr="001B771A">
        <w:rPr>
          <w:i/>
          <w:iCs/>
          <w:sz w:val="20"/>
          <w:szCs w:val="20"/>
        </w:rPr>
        <w:t>Fabaceae</w:t>
      </w:r>
      <w:proofErr w:type="spellEnd"/>
      <w:r w:rsidRPr="001B771A">
        <w:rPr>
          <w:i/>
          <w:iCs/>
          <w:sz w:val="20"/>
          <w:szCs w:val="20"/>
        </w:rPr>
        <w:t xml:space="preserve"> species, and 17 </w:t>
      </w:r>
      <w:proofErr w:type="gramStart"/>
      <w:r w:rsidRPr="001B771A">
        <w:rPr>
          <w:i/>
          <w:iCs/>
          <w:sz w:val="20"/>
          <w:szCs w:val="20"/>
        </w:rPr>
        <w:t>Other</w:t>
      </w:r>
      <w:proofErr w:type="gramEnd"/>
      <w:r w:rsidRPr="001B771A">
        <w:rPr>
          <w:i/>
          <w:iCs/>
          <w:sz w:val="20"/>
          <w:szCs w:val="20"/>
        </w:rPr>
        <w:t xml:space="preserve"> species. 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represented 18 of 24 </w:t>
      </w:r>
      <w:proofErr w:type="spellStart"/>
      <w:r w:rsidRPr="001B771A">
        <w:rPr>
          <w:i/>
          <w:iCs/>
          <w:sz w:val="20"/>
          <w:szCs w:val="20"/>
        </w:rPr>
        <w:t>Poaceae</w:t>
      </w:r>
      <w:proofErr w:type="spellEnd"/>
      <w:r w:rsidRPr="001B771A">
        <w:rPr>
          <w:i/>
          <w:iCs/>
          <w:sz w:val="20"/>
          <w:szCs w:val="20"/>
        </w:rPr>
        <w:t xml:space="preserve"> species, corresponding to 75% of </w:t>
      </w:r>
      <w:proofErr w:type="spellStart"/>
      <w:r w:rsidRPr="001B771A">
        <w:rPr>
          <w:i/>
          <w:iCs/>
          <w:sz w:val="20"/>
          <w:szCs w:val="20"/>
        </w:rPr>
        <w:t>Poaceae</w:t>
      </w:r>
      <w:proofErr w:type="spellEnd"/>
      <w:r w:rsidRPr="001B771A">
        <w:rPr>
          <w:i/>
          <w:iCs/>
          <w:sz w:val="20"/>
          <w:szCs w:val="20"/>
        </w:rPr>
        <w:t xml:space="preserve"> and 29.5% of all analysed plant species, highlighting the uneven host representation in the dataset.</w:t>
      </w:r>
    </w:p>
    <w:p w14:paraId="70ADDB2F" w14:textId="2F05250B" w:rsidR="001B771A" w:rsidRDefault="001B771A" w:rsidP="009E0180">
      <w:pPr>
        <w:jc w:val="both"/>
        <w:rPr>
          <w:b/>
          <w:bCs/>
        </w:rPr>
      </w:pPr>
    </w:p>
    <w:p w14:paraId="25FE7A80" w14:textId="08FAF1EB" w:rsidR="001B771A" w:rsidRDefault="001B771A" w:rsidP="009E0180">
      <w:pPr>
        <w:jc w:val="both"/>
        <w:rPr>
          <w:b/>
          <w:bCs/>
        </w:rPr>
      </w:pPr>
    </w:p>
    <w:p w14:paraId="13142BE7" w14:textId="77777777" w:rsidR="001B771A" w:rsidRDefault="001B771A" w:rsidP="009E0180">
      <w:pPr>
        <w:jc w:val="both"/>
        <w:rPr>
          <w:b/>
          <w:bCs/>
        </w:rPr>
      </w:pPr>
    </w:p>
    <w:p w14:paraId="185B6432" w14:textId="62E25DEA" w:rsidR="009E0180" w:rsidRDefault="001B771A" w:rsidP="009E0180">
      <w:pPr>
        <w:jc w:val="both"/>
        <w:rPr>
          <w:b/>
          <w:bCs/>
          <w:i/>
          <w:iCs/>
        </w:rPr>
      </w:pPr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68FEA362" wp14:editId="38C2EEAE">
            <wp:simplePos x="0" y="0"/>
            <wp:positionH relativeFrom="margin">
              <wp:align>center</wp:align>
            </wp:positionH>
            <wp:positionV relativeFrom="paragraph">
              <wp:posOffset>636321</wp:posOffset>
            </wp:positionV>
            <wp:extent cx="4813300" cy="2683510"/>
            <wp:effectExtent l="0" t="0" r="6350" b="2540"/>
            <wp:wrapTight wrapText="bothSides">
              <wp:wrapPolygon edited="0">
                <wp:start x="0" y="0"/>
                <wp:lineTo x="0" y="21467"/>
                <wp:lineTo x="21543" y="21467"/>
                <wp:lineTo x="2154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9" b="5239"/>
                    <a:stretch/>
                  </pic:blipFill>
                  <pic:spPr bwMode="auto">
                    <a:xfrm>
                      <a:off x="0" y="0"/>
                      <a:ext cx="481330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0180" w:rsidRPr="009E0180">
        <w:rPr>
          <w:b/>
          <w:bCs/>
        </w:rPr>
        <w:t>Supplementary Figure S</w:t>
      </w:r>
      <w:r w:rsidR="008F55C7">
        <w:rPr>
          <w:b/>
          <w:bCs/>
        </w:rPr>
        <w:t>5</w:t>
      </w:r>
      <w:r w:rsidR="009E0180" w:rsidRPr="009E0180">
        <w:rPr>
          <w:b/>
          <w:bCs/>
        </w:rPr>
        <w:t xml:space="preserve">. HD-KNN prediction performance across host groups with </w:t>
      </w:r>
      <w:proofErr w:type="spellStart"/>
      <w:r w:rsidR="009E0180" w:rsidRPr="009E0180">
        <w:rPr>
          <w:b/>
          <w:bCs/>
          <w:i/>
          <w:iCs/>
        </w:rPr>
        <w:t>Oryza</w:t>
      </w:r>
      <w:proofErr w:type="spellEnd"/>
      <w:r w:rsidR="009E0180" w:rsidRPr="009E0180">
        <w:rPr>
          <w:b/>
          <w:bCs/>
        </w:rPr>
        <w:t xml:space="preserve"> separated from non-</w:t>
      </w:r>
      <w:proofErr w:type="spellStart"/>
      <w:r w:rsidR="009E0180" w:rsidRPr="009E0180">
        <w:rPr>
          <w:b/>
          <w:bCs/>
          <w:i/>
          <w:iCs/>
        </w:rPr>
        <w:t>Oryza</w:t>
      </w:r>
      <w:proofErr w:type="spellEnd"/>
      <w:r w:rsidR="009E0180" w:rsidRPr="009E0180">
        <w:rPr>
          <w:b/>
          <w:bCs/>
        </w:rPr>
        <w:t xml:space="preserve"> </w:t>
      </w:r>
      <w:proofErr w:type="spellStart"/>
      <w:r w:rsidR="009E0180" w:rsidRPr="009E0180">
        <w:rPr>
          <w:b/>
          <w:bCs/>
          <w:i/>
          <w:iCs/>
        </w:rPr>
        <w:t>Poaceae</w:t>
      </w:r>
      <w:proofErr w:type="spellEnd"/>
    </w:p>
    <w:p w14:paraId="4291A184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717AD7C0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6EAD7D86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77AF8CDF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5993C232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3D4CFDDF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4E487612" w14:textId="77777777" w:rsidR="001B771A" w:rsidRDefault="001B771A" w:rsidP="009E0180">
      <w:pPr>
        <w:jc w:val="both"/>
        <w:rPr>
          <w:b/>
          <w:bCs/>
          <w:i/>
          <w:iCs/>
        </w:rPr>
      </w:pPr>
    </w:p>
    <w:p w14:paraId="450372E2" w14:textId="77777777" w:rsidR="001B771A" w:rsidRPr="009E0180" w:rsidRDefault="001B771A" w:rsidP="009E0180">
      <w:pPr>
        <w:jc w:val="both"/>
      </w:pPr>
    </w:p>
    <w:p w14:paraId="7EF7AB52" w14:textId="52625298" w:rsidR="001B771A" w:rsidRPr="001B771A" w:rsidRDefault="001B771A" w:rsidP="001B771A">
      <w:pPr>
        <w:jc w:val="both"/>
        <w:rPr>
          <w:i/>
          <w:iCs/>
          <w:sz w:val="20"/>
          <w:szCs w:val="20"/>
        </w:rPr>
      </w:pPr>
      <w:r w:rsidRPr="001B771A">
        <w:rPr>
          <w:i/>
          <w:iCs/>
          <w:sz w:val="20"/>
          <w:szCs w:val="20"/>
        </w:rPr>
        <w:t>Jensen</w:t>
      </w:r>
      <w:r>
        <w:rPr>
          <w:i/>
          <w:iCs/>
          <w:sz w:val="20"/>
          <w:szCs w:val="20"/>
        </w:rPr>
        <w:t>-</w:t>
      </w:r>
      <w:r w:rsidRPr="001B771A">
        <w:rPr>
          <w:i/>
          <w:iCs/>
          <w:sz w:val="20"/>
          <w:szCs w:val="20"/>
        </w:rPr>
        <w:t xml:space="preserve">Shannon divergence (JSD) values are shown for individual plant species grouped as </w:t>
      </w:r>
      <w:proofErr w:type="spellStart"/>
      <w:r w:rsidRPr="001B771A">
        <w:rPr>
          <w:i/>
          <w:iCs/>
          <w:sz w:val="20"/>
          <w:szCs w:val="20"/>
        </w:rPr>
        <w:t>Brassicaceae</w:t>
      </w:r>
      <w:proofErr w:type="spellEnd"/>
      <w:r w:rsidRPr="001B771A">
        <w:rPr>
          <w:i/>
          <w:iCs/>
          <w:sz w:val="20"/>
          <w:szCs w:val="20"/>
        </w:rPr>
        <w:t xml:space="preserve">, 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>, non-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</w:t>
      </w:r>
      <w:proofErr w:type="spellStart"/>
      <w:r w:rsidRPr="001B771A">
        <w:rPr>
          <w:i/>
          <w:iCs/>
          <w:sz w:val="20"/>
          <w:szCs w:val="20"/>
        </w:rPr>
        <w:t>Poaceae</w:t>
      </w:r>
      <w:proofErr w:type="spellEnd"/>
      <w:r w:rsidRPr="001B771A">
        <w:rPr>
          <w:i/>
          <w:iCs/>
          <w:sz w:val="20"/>
          <w:szCs w:val="20"/>
        </w:rPr>
        <w:t xml:space="preserve">, and Other/Remaining species. Lower JSD indicates better prediction. Boxplots show the median and interquartile range, points represent individual species, and white diamonds indicate group means. 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species showed lower prediction error than non-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</w:t>
      </w:r>
      <w:proofErr w:type="spellStart"/>
      <w:r w:rsidRPr="001B771A">
        <w:rPr>
          <w:i/>
          <w:iCs/>
          <w:sz w:val="20"/>
          <w:szCs w:val="20"/>
        </w:rPr>
        <w:t>Poaceae</w:t>
      </w:r>
      <w:proofErr w:type="spellEnd"/>
      <w:r w:rsidRPr="001B771A">
        <w:rPr>
          <w:i/>
          <w:iCs/>
          <w:sz w:val="20"/>
          <w:szCs w:val="20"/>
        </w:rPr>
        <w:t>, while the Other/Remaining group showed the highest error. Because the non-</w:t>
      </w:r>
      <w:proofErr w:type="spellStart"/>
      <w:r w:rsidRPr="001B771A">
        <w:rPr>
          <w:i/>
          <w:iCs/>
          <w:sz w:val="20"/>
          <w:szCs w:val="20"/>
        </w:rPr>
        <w:t>Oryza</w:t>
      </w:r>
      <w:proofErr w:type="spellEnd"/>
      <w:r w:rsidRPr="001B771A">
        <w:rPr>
          <w:i/>
          <w:iCs/>
          <w:sz w:val="20"/>
          <w:szCs w:val="20"/>
        </w:rPr>
        <w:t xml:space="preserve"> </w:t>
      </w:r>
      <w:proofErr w:type="spellStart"/>
      <w:r w:rsidRPr="001B771A">
        <w:rPr>
          <w:i/>
          <w:iCs/>
          <w:sz w:val="20"/>
          <w:szCs w:val="20"/>
        </w:rPr>
        <w:t>Poaceae</w:t>
      </w:r>
      <w:proofErr w:type="spellEnd"/>
      <w:r w:rsidRPr="001B771A">
        <w:rPr>
          <w:i/>
          <w:iCs/>
          <w:sz w:val="20"/>
          <w:szCs w:val="20"/>
        </w:rPr>
        <w:t xml:space="preserve"> group contained only six species, this comparison should be interpreted descriptively.</w:t>
      </w:r>
    </w:p>
    <w:p w14:paraId="640D27C1" w14:textId="74F213B7" w:rsidR="002A06FE" w:rsidRDefault="002A06FE" w:rsidP="002E1124">
      <w:pPr>
        <w:jc w:val="both"/>
      </w:pPr>
    </w:p>
    <w:p w14:paraId="0F566312" w14:textId="47E86118" w:rsidR="009E0180" w:rsidRDefault="009E0180" w:rsidP="002E1124">
      <w:pPr>
        <w:jc w:val="both"/>
      </w:pPr>
    </w:p>
    <w:p w14:paraId="5C2421BB" w14:textId="77777777" w:rsidR="002A06FE" w:rsidRDefault="002A06FE" w:rsidP="002E1124">
      <w:pPr>
        <w:jc w:val="both"/>
      </w:pPr>
    </w:p>
    <w:p w14:paraId="7E1C05F2" w14:textId="77777777" w:rsidR="002A06FE" w:rsidRDefault="002A06FE" w:rsidP="002E1124">
      <w:pPr>
        <w:jc w:val="both"/>
      </w:pPr>
    </w:p>
    <w:p w14:paraId="352FE4E6" w14:textId="1559BD0B" w:rsidR="00C5545F" w:rsidRDefault="00C5545F" w:rsidP="002E1124">
      <w:pPr>
        <w:jc w:val="both"/>
      </w:pPr>
    </w:p>
    <w:p w14:paraId="03C056C8" w14:textId="77777777" w:rsidR="00C5545F" w:rsidRPr="00F32131" w:rsidRDefault="00C5545F" w:rsidP="002E1124">
      <w:pPr>
        <w:jc w:val="both"/>
      </w:pPr>
      <w:bookmarkStart w:id="1" w:name="_GoBack"/>
      <w:bookmarkEnd w:id="1"/>
    </w:p>
    <w:sectPr w:rsidR="00C5545F" w:rsidRPr="00F32131" w:rsidSect="00A0387F"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A3B2C" w14:textId="77777777" w:rsidR="00AC488D" w:rsidRDefault="00AC488D">
      <w:pPr>
        <w:spacing w:after="0" w:line="240" w:lineRule="auto"/>
      </w:pPr>
      <w:r>
        <w:separator/>
      </w:r>
    </w:p>
  </w:endnote>
  <w:endnote w:type="continuationSeparator" w:id="0">
    <w:p w14:paraId="7BFCB031" w14:textId="77777777" w:rsidR="00AC488D" w:rsidRDefault="00AC4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6880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95D3C8" w14:textId="74E080D4" w:rsidR="00C87E61" w:rsidRDefault="002E11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387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3EA76DF" w14:textId="77777777" w:rsidR="00C87E61" w:rsidRDefault="00C87E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DC0A8" w14:textId="77777777" w:rsidR="00AC488D" w:rsidRDefault="00AC488D">
      <w:pPr>
        <w:spacing w:after="0" w:line="240" w:lineRule="auto"/>
      </w:pPr>
      <w:r>
        <w:separator/>
      </w:r>
    </w:p>
  </w:footnote>
  <w:footnote w:type="continuationSeparator" w:id="0">
    <w:p w14:paraId="03CFA5FA" w14:textId="77777777" w:rsidR="00AC488D" w:rsidRDefault="00AC4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41158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A6F"/>
    <w:rsid w:val="00005A6F"/>
    <w:rsid w:val="0005378B"/>
    <w:rsid w:val="0006141F"/>
    <w:rsid w:val="000F7ADC"/>
    <w:rsid w:val="00100168"/>
    <w:rsid w:val="001037BE"/>
    <w:rsid w:val="001B771A"/>
    <w:rsid w:val="001D2B5B"/>
    <w:rsid w:val="001D4915"/>
    <w:rsid w:val="001D4BC9"/>
    <w:rsid w:val="00217D3B"/>
    <w:rsid w:val="00252E0B"/>
    <w:rsid w:val="002A06FE"/>
    <w:rsid w:val="002A6ADC"/>
    <w:rsid w:val="002B2050"/>
    <w:rsid w:val="002E1124"/>
    <w:rsid w:val="00330453"/>
    <w:rsid w:val="00340BEC"/>
    <w:rsid w:val="003444C5"/>
    <w:rsid w:val="00380981"/>
    <w:rsid w:val="00395279"/>
    <w:rsid w:val="00397D07"/>
    <w:rsid w:val="003C2BB1"/>
    <w:rsid w:val="004C7955"/>
    <w:rsid w:val="005359C2"/>
    <w:rsid w:val="005901E2"/>
    <w:rsid w:val="005C055F"/>
    <w:rsid w:val="005C7C24"/>
    <w:rsid w:val="005E24EF"/>
    <w:rsid w:val="006136CE"/>
    <w:rsid w:val="00624E67"/>
    <w:rsid w:val="00666570"/>
    <w:rsid w:val="00673256"/>
    <w:rsid w:val="006D3321"/>
    <w:rsid w:val="00741E5B"/>
    <w:rsid w:val="00754EE7"/>
    <w:rsid w:val="007716B2"/>
    <w:rsid w:val="00782F64"/>
    <w:rsid w:val="007835A9"/>
    <w:rsid w:val="00790ADC"/>
    <w:rsid w:val="007D53E3"/>
    <w:rsid w:val="00807B44"/>
    <w:rsid w:val="008226F8"/>
    <w:rsid w:val="00826B92"/>
    <w:rsid w:val="0088018C"/>
    <w:rsid w:val="008D5B73"/>
    <w:rsid w:val="008E34D1"/>
    <w:rsid w:val="008E5AFA"/>
    <w:rsid w:val="008F3B6B"/>
    <w:rsid w:val="008F55C7"/>
    <w:rsid w:val="00930B35"/>
    <w:rsid w:val="0093659F"/>
    <w:rsid w:val="0095405F"/>
    <w:rsid w:val="009C7FE6"/>
    <w:rsid w:val="009E0180"/>
    <w:rsid w:val="009E315C"/>
    <w:rsid w:val="009F2CD6"/>
    <w:rsid w:val="00A0387F"/>
    <w:rsid w:val="00A33362"/>
    <w:rsid w:val="00A36850"/>
    <w:rsid w:val="00A44E01"/>
    <w:rsid w:val="00A57D90"/>
    <w:rsid w:val="00A71224"/>
    <w:rsid w:val="00AB09E1"/>
    <w:rsid w:val="00AC1D70"/>
    <w:rsid w:val="00AC488D"/>
    <w:rsid w:val="00AF6F5F"/>
    <w:rsid w:val="00B030C0"/>
    <w:rsid w:val="00B1118F"/>
    <w:rsid w:val="00B56FCD"/>
    <w:rsid w:val="00BA4F96"/>
    <w:rsid w:val="00C5545F"/>
    <w:rsid w:val="00C87E61"/>
    <w:rsid w:val="00C92A04"/>
    <w:rsid w:val="00CD74D5"/>
    <w:rsid w:val="00CE5627"/>
    <w:rsid w:val="00CE759E"/>
    <w:rsid w:val="00CF3842"/>
    <w:rsid w:val="00D52C95"/>
    <w:rsid w:val="00E95AF4"/>
    <w:rsid w:val="00ED5885"/>
    <w:rsid w:val="00EF72A8"/>
    <w:rsid w:val="00F03031"/>
    <w:rsid w:val="00F71AB6"/>
    <w:rsid w:val="00FB0E24"/>
    <w:rsid w:val="00FD1A64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1F53"/>
  <w15:chartTrackingRefBased/>
  <w15:docId w15:val="{0A6E2EAA-0461-49BE-938C-20EDF768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AF4"/>
    <w:pPr>
      <w:spacing w:line="360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1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5AF4"/>
    <w:p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E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5AF4"/>
    <w:rPr>
      <w:b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95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5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5AF4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F4"/>
    <w:rPr>
      <w:rFonts w:ascii="Segoe U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5C7C2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C24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001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16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B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B44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E759E"/>
    <w:pPr>
      <w:ind w:left="720"/>
      <w:contextualSpacing/>
    </w:p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40BE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95405F"/>
    <w:rPr>
      <w:i/>
      <w:iCs/>
      <w:color w:val="44546A" w:themeColor="text2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741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E112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E11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124"/>
    <w:rPr>
      <w:lang w:val="en-GB"/>
    </w:rPr>
  </w:style>
  <w:style w:type="character" w:styleId="Strong">
    <w:name w:val="Strong"/>
    <w:basedOn w:val="DefaultParagraphFont"/>
    <w:uiPriority w:val="22"/>
    <w:qFormat/>
    <w:rsid w:val="002E1124"/>
    <w:rPr>
      <w:b/>
      <w:bCs/>
    </w:rPr>
  </w:style>
  <w:style w:type="character" w:customStyle="1" w:styleId="mord">
    <w:name w:val="mord"/>
    <w:basedOn w:val="DefaultParagraphFont"/>
    <w:rsid w:val="002E1124"/>
  </w:style>
  <w:style w:type="table" w:styleId="PlainTable2">
    <w:name w:val="Plain Table 2"/>
    <w:basedOn w:val="TableNormal"/>
    <w:uiPriority w:val="42"/>
    <w:rsid w:val="002E1124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2E1124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katex-mathml">
    <w:name w:val="katex-mathml"/>
    <w:basedOn w:val="DefaultParagraphFont"/>
    <w:rsid w:val="002E1124"/>
  </w:style>
  <w:style w:type="character" w:customStyle="1" w:styleId="mrel">
    <w:name w:val="mrel"/>
    <w:basedOn w:val="DefaultParagraphFont"/>
    <w:rsid w:val="002E1124"/>
  </w:style>
  <w:style w:type="table" w:styleId="PlainTable1">
    <w:name w:val="Plain Table 1"/>
    <w:basedOn w:val="TableNormal"/>
    <w:uiPriority w:val="41"/>
    <w:rsid w:val="002E1124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E1124"/>
  </w:style>
  <w:style w:type="character" w:customStyle="1" w:styleId="Heading3Char">
    <w:name w:val="Heading 3 Char"/>
    <w:basedOn w:val="DefaultParagraphFont"/>
    <w:link w:val="Heading3"/>
    <w:uiPriority w:val="9"/>
    <w:semiHidden/>
    <w:rsid w:val="00A44E0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4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2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46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5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bdelfattah@atb-potsdam.de" TargetMode="External"/><Relationship Id="rId13" Type="http://schemas.openxmlformats.org/officeDocument/2006/relationships/image" Target="media/image1.tiff"/><Relationship Id="rId18" Type="http://schemas.openxmlformats.org/officeDocument/2006/relationships/image" Target="media/image6.tif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Abdelfattah@atb-potsdam.de" TargetMode="External"/><Relationship Id="rId17" Type="http://schemas.openxmlformats.org/officeDocument/2006/relationships/image" Target="media/image5.tiff"/><Relationship Id="rId2" Type="http://schemas.openxmlformats.org/officeDocument/2006/relationships/numbering" Target="numbering.xml"/><Relationship Id="rId16" Type="http://schemas.openxmlformats.org/officeDocument/2006/relationships/image" Target="media/image4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Babor@atb-potsdam.d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tiff"/><Relationship Id="rId10" Type="http://schemas.openxmlformats.org/officeDocument/2006/relationships/hyperlink" Target="mailto:jannik.reissfelder@gmail.com" TargetMode="External"/><Relationship Id="rId19" Type="http://schemas.openxmlformats.org/officeDocument/2006/relationships/image" Target="media/image7.tiff"/><Relationship Id="rId4" Type="http://schemas.openxmlformats.org/officeDocument/2006/relationships/settings" Target="settings.xml"/><Relationship Id="rId9" Type="http://schemas.openxmlformats.org/officeDocument/2006/relationships/hyperlink" Target="mailto:julia.herbinger@gmail.com" TargetMode="External"/><Relationship Id="rId14" Type="http://schemas.openxmlformats.org/officeDocument/2006/relationships/image" Target="media/image2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1C814-2F8A-49FD-B51D-9EBF7DC12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871</Words>
  <Characters>4971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ATB Potsdam</Company>
  <LinksUpToDate>false</LinksUpToDate>
  <CharactersWithSpaces>5831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Höfle, Daniel</dc:creator>
  <cp:keywords/>
  <dc:description/>
  <cp:lastModifiedBy>Ramya Ezhumalai</cp:lastModifiedBy>
  <cp:revision>23</cp:revision>
  <dcterms:created xsi:type="dcterms:W3CDTF">2025-05-06T15:26:00Z</dcterms:created>
  <dcterms:modified xsi:type="dcterms:W3CDTF">2026-07-08T04:01:00Z</dcterms:modified>
</cp:coreProperties>
</file>