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97A8A9" w14:textId="5882D195" w:rsidR="00741E6C" w:rsidRDefault="00E82534" w:rsidP="0021435D">
      <w:r w:rsidRPr="00E82534">
        <w:t xml:space="preserve">Supplementary Table </w:t>
      </w:r>
      <w:r>
        <w:t xml:space="preserve">1: </w:t>
      </w:r>
      <w:r w:rsidR="00000000">
        <w:t>A checklist including 19</w:t>
      </w:r>
      <w:r w:rsidR="0021435D">
        <w:t>-</w:t>
      </w:r>
      <w:r w:rsidR="00000000">
        <w:t xml:space="preserve">item of health and age factors that are known to increase a person’s risk of getting serious flu complications according to Centers for Disease Control and Prevention (CDC) </w:t>
      </w:r>
    </w:p>
    <w:p w14:paraId="552E067A" w14:textId="77777777" w:rsidR="00741E6C" w:rsidRDefault="00000000">
      <w:pPr>
        <w:spacing w:after="0" w:line="259" w:lineRule="auto"/>
      </w:pPr>
      <w:r>
        <w:rPr>
          <w:rFonts w:ascii="Calibri" w:eastAsia="Calibri" w:hAnsi="Calibri" w:cs="Calibri"/>
          <w:sz w:val="22"/>
        </w:rPr>
        <w:t xml:space="preserve">  </w:t>
      </w:r>
    </w:p>
    <w:tbl>
      <w:tblPr>
        <w:tblStyle w:val="TableGrid"/>
        <w:tblW w:w="9496" w:type="dxa"/>
        <w:tblInd w:w="5" w:type="dxa"/>
        <w:tblCellMar>
          <w:top w:w="40" w:type="dxa"/>
          <w:left w:w="108" w:type="dxa"/>
          <w:bottom w:w="0" w:type="dxa"/>
          <w:right w:w="115" w:type="dxa"/>
        </w:tblCellMar>
        <w:tblLook w:val="04A0" w:firstRow="1" w:lastRow="0" w:firstColumn="1" w:lastColumn="0" w:noHBand="0" w:noVBand="1"/>
      </w:tblPr>
      <w:tblGrid>
        <w:gridCol w:w="9496"/>
      </w:tblGrid>
      <w:tr w:rsidR="0021435D" w14:paraId="41D37376" w14:textId="77777777" w:rsidTr="0021435D">
        <w:trPr>
          <w:trHeight w:val="718"/>
        </w:trPr>
        <w:tc>
          <w:tcPr>
            <w:tcW w:w="9496" w:type="dxa"/>
            <w:tcBorders>
              <w:top w:val="single" w:sz="4" w:space="0" w:color="000000"/>
              <w:left w:val="single" w:sz="4" w:space="0" w:color="000000"/>
              <w:bottom w:val="single" w:sz="4" w:space="0" w:color="000000"/>
              <w:right w:val="single" w:sz="4" w:space="0" w:color="000000"/>
            </w:tcBorders>
          </w:tcPr>
          <w:p w14:paraId="61BB612B" w14:textId="77777777" w:rsidR="0021435D" w:rsidRDefault="0021435D" w:rsidP="0021435D">
            <w:pPr>
              <w:spacing w:after="0" w:line="259" w:lineRule="auto"/>
            </w:pPr>
            <w:r>
              <w:rPr>
                <w:rFonts w:ascii="Calibri" w:eastAsia="Calibri" w:hAnsi="Calibri" w:cs="Calibri"/>
                <w:b/>
                <w:sz w:val="26"/>
              </w:rPr>
              <w:t>Following is a list of all the health and age factors that are known to increase a person’s risk of getting serious flu complications:</w:t>
            </w:r>
            <w:r>
              <w:rPr>
                <w:rFonts w:ascii="Calibri" w:eastAsia="Calibri" w:hAnsi="Calibri" w:cs="Calibri"/>
                <w:sz w:val="26"/>
              </w:rPr>
              <w:t xml:space="preserve"> </w:t>
            </w:r>
          </w:p>
        </w:tc>
      </w:tr>
      <w:tr w:rsidR="0021435D" w14:paraId="6295BC12" w14:textId="77777777" w:rsidTr="0021435D">
        <w:trPr>
          <w:trHeight w:val="646"/>
        </w:trPr>
        <w:tc>
          <w:tcPr>
            <w:tcW w:w="9496" w:type="dxa"/>
            <w:tcBorders>
              <w:top w:val="single" w:sz="4" w:space="0" w:color="000000"/>
              <w:left w:val="single" w:sz="4" w:space="0" w:color="000000"/>
              <w:bottom w:val="single" w:sz="4" w:space="0" w:color="000000"/>
              <w:right w:val="single" w:sz="4" w:space="0" w:color="000000"/>
            </w:tcBorders>
          </w:tcPr>
          <w:p w14:paraId="68013BC6" w14:textId="15EE5370"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Adults 65 years and older </w:t>
            </w:r>
          </w:p>
        </w:tc>
      </w:tr>
      <w:tr w:rsidR="0021435D" w14:paraId="04E02676" w14:textId="77777777" w:rsidTr="0021435D">
        <w:trPr>
          <w:trHeight w:val="644"/>
        </w:trPr>
        <w:tc>
          <w:tcPr>
            <w:tcW w:w="9496" w:type="dxa"/>
            <w:tcBorders>
              <w:top w:val="single" w:sz="4" w:space="0" w:color="000000"/>
              <w:left w:val="single" w:sz="4" w:space="0" w:color="000000"/>
              <w:bottom w:val="single" w:sz="4" w:space="0" w:color="000000"/>
              <w:right w:val="single" w:sz="4" w:space="0" w:color="000000"/>
            </w:tcBorders>
          </w:tcPr>
          <w:p w14:paraId="255CDC34" w14:textId="70A530C0" w:rsidR="0021435D" w:rsidRDefault="0021435D" w:rsidP="0021435D">
            <w:pPr>
              <w:pStyle w:val="ListParagraph"/>
              <w:numPr>
                <w:ilvl w:val="0"/>
                <w:numId w:val="2"/>
              </w:numPr>
              <w:spacing w:after="0" w:line="259" w:lineRule="auto"/>
            </w:pPr>
            <w:r w:rsidRPr="0021435D">
              <w:rPr>
                <w:rFonts w:ascii="Calibri" w:eastAsia="Calibri" w:hAnsi="Calibri" w:cs="Calibri"/>
                <w:sz w:val="26"/>
              </w:rPr>
              <w:t>Children younger than 2 years old</w:t>
            </w:r>
            <w:r w:rsidRPr="0021435D">
              <w:rPr>
                <w:rFonts w:ascii="Calibri" w:eastAsia="Calibri" w:hAnsi="Calibri" w:cs="Calibri"/>
                <w:sz w:val="17"/>
                <w:vertAlign w:val="superscript"/>
              </w:rPr>
              <w:t>1</w:t>
            </w:r>
            <w:r w:rsidRPr="0021435D">
              <w:rPr>
                <w:rFonts w:ascii="Calibri" w:eastAsia="Calibri" w:hAnsi="Calibri" w:cs="Calibri"/>
                <w:sz w:val="26"/>
              </w:rPr>
              <w:t xml:space="preserve"> </w:t>
            </w:r>
          </w:p>
        </w:tc>
      </w:tr>
      <w:tr w:rsidR="0021435D" w14:paraId="4284D709" w14:textId="77777777" w:rsidTr="0021435D">
        <w:trPr>
          <w:trHeight w:val="646"/>
        </w:trPr>
        <w:tc>
          <w:tcPr>
            <w:tcW w:w="9496" w:type="dxa"/>
            <w:tcBorders>
              <w:top w:val="single" w:sz="4" w:space="0" w:color="000000"/>
              <w:left w:val="single" w:sz="4" w:space="0" w:color="000000"/>
              <w:bottom w:val="single" w:sz="4" w:space="0" w:color="000000"/>
              <w:right w:val="single" w:sz="4" w:space="0" w:color="000000"/>
            </w:tcBorders>
          </w:tcPr>
          <w:p w14:paraId="263037D6" w14:textId="61713263"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Asthma </w:t>
            </w:r>
          </w:p>
        </w:tc>
      </w:tr>
      <w:tr w:rsidR="0021435D" w14:paraId="173B7932" w14:textId="77777777" w:rsidTr="0021435D">
        <w:trPr>
          <w:trHeight w:val="643"/>
        </w:trPr>
        <w:tc>
          <w:tcPr>
            <w:tcW w:w="9496" w:type="dxa"/>
            <w:tcBorders>
              <w:top w:val="single" w:sz="4" w:space="0" w:color="000000"/>
              <w:left w:val="single" w:sz="4" w:space="0" w:color="000000"/>
              <w:bottom w:val="single" w:sz="4" w:space="0" w:color="000000"/>
              <w:right w:val="single" w:sz="4" w:space="0" w:color="000000"/>
            </w:tcBorders>
          </w:tcPr>
          <w:p w14:paraId="7D3A4198" w14:textId="759EFBBC"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Neurologic and neurodevelopment conditions </w:t>
            </w:r>
          </w:p>
        </w:tc>
      </w:tr>
      <w:tr w:rsidR="0021435D" w14:paraId="19517FC2" w14:textId="77777777" w:rsidTr="0021435D">
        <w:trPr>
          <w:trHeight w:val="643"/>
        </w:trPr>
        <w:tc>
          <w:tcPr>
            <w:tcW w:w="9496" w:type="dxa"/>
            <w:tcBorders>
              <w:top w:val="single" w:sz="4" w:space="0" w:color="000000"/>
              <w:left w:val="single" w:sz="4" w:space="0" w:color="000000"/>
              <w:bottom w:val="single" w:sz="4" w:space="0" w:color="000000"/>
              <w:right w:val="single" w:sz="4" w:space="0" w:color="000000"/>
            </w:tcBorders>
          </w:tcPr>
          <w:p w14:paraId="5FA53027" w14:textId="0FAB9E1F"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Blood disorders (such as sickle cell disease) </w:t>
            </w:r>
          </w:p>
        </w:tc>
      </w:tr>
      <w:tr w:rsidR="0021435D" w14:paraId="03D45BF4" w14:textId="77777777" w:rsidTr="0021435D">
        <w:trPr>
          <w:trHeight w:val="998"/>
        </w:trPr>
        <w:tc>
          <w:tcPr>
            <w:tcW w:w="9496" w:type="dxa"/>
            <w:tcBorders>
              <w:top w:val="single" w:sz="4" w:space="0" w:color="000000"/>
              <w:left w:val="single" w:sz="4" w:space="0" w:color="000000"/>
              <w:bottom w:val="single" w:sz="4" w:space="0" w:color="000000"/>
              <w:right w:val="single" w:sz="4" w:space="0" w:color="000000"/>
            </w:tcBorders>
          </w:tcPr>
          <w:p w14:paraId="669EE68D" w14:textId="66D42B5D"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Chronic lung disease (such as chronic obstructive pulmonary disease [COPD] and cystic fibrosis) </w:t>
            </w:r>
          </w:p>
        </w:tc>
      </w:tr>
      <w:tr w:rsidR="0021435D" w14:paraId="3CE2DBC8" w14:textId="77777777" w:rsidTr="0021435D">
        <w:trPr>
          <w:trHeight w:val="646"/>
        </w:trPr>
        <w:tc>
          <w:tcPr>
            <w:tcW w:w="9496" w:type="dxa"/>
            <w:tcBorders>
              <w:top w:val="single" w:sz="4" w:space="0" w:color="000000"/>
              <w:left w:val="single" w:sz="4" w:space="0" w:color="000000"/>
              <w:bottom w:val="single" w:sz="4" w:space="0" w:color="000000"/>
              <w:right w:val="single" w:sz="4" w:space="0" w:color="000000"/>
            </w:tcBorders>
          </w:tcPr>
          <w:p w14:paraId="04D861F5" w14:textId="67EA1BAB"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Endocrine disorders (such as diabetes mellitus) </w:t>
            </w:r>
          </w:p>
        </w:tc>
      </w:tr>
      <w:tr w:rsidR="0021435D" w14:paraId="406D1925" w14:textId="77777777" w:rsidTr="0021435D">
        <w:trPr>
          <w:trHeight w:val="996"/>
        </w:trPr>
        <w:tc>
          <w:tcPr>
            <w:tcW w:w="9496" w:type="dxa"/>
            <w:tcBorders>
              <w:top w:val="single" w:sz="4" w:space="0" w:color="000000"/>
              <w:left w:val="single" w:sz="4" w:space="0" w:color="000000"/>
              <w:bottom w:val="single" w:sz="4" w:space="0" w:color="000000"/>
              <w:right w:val="single" w:sz="4" w:space="0" w:color="000000"/>
            </w:tcBorders>
          </w:tcPr>
          <w:p w14:paraId="66165368" w14:textId="41FC3EBA"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Heart disease (such as congenital heart disease, congestive heart failure and coronary artery disease) </w:t>
            </w:r>
          </w:p>
        </w:tc>
      </w:tr>
      <w:tr w:rsidR="0021435D" w14:paraId="299E2562" w14:textId="77777777" w:rsidTr="0021435D">
        <w:trPr>
          <w:trHeight w:val="646"/>
        </w:trPr>
        <w:tc>
          <w:tcPr>
            <w:tcW w:w="9496" w:type="dxa"/>
            <w:tcBorders>
              <w:top w:val="single" w:sz="4" w:space="0" w:color="000000"/>
              <w:left w:val="single" w:sz="4" w:space="0" w:color="000000"/>
              <w:bottom w:val="single" w:sz="4" w:space="0" w:color="000000"/>
              <w:right w:val="single" w:sz="4" w:space="0" w:color="000000"/>
            </w:tcBorders>
          </w:tcPr>
          <w:p w14:paraId="346A74F6" w14:textId="4DFFBE86"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Kidney diseases </w:t>
            </w:r>
          </w:p>
        </w:tc>
      </w:tr>
      <w:tr w:rsidR="0021435D" w14:paraId="4AB69CA6" w14:textId="77777777" w:rsidTr="0021435D">
        <w:trPr>
          <w:trHeight w:val="643"/>
        </w:trPr>
        <w:tc>
          <w:tcPr>
            <w:tcW w:w="9496" w:type="dxa"/>
            <w:tcBorders>
              <w:top w:val="single" w:sz="4" w:space="0" w:color="000000"/>
              <w:left w:val="single" w:sz="4" w:space="0" w:color="000000"/>
              <w:bottom w:val="single" w:sz="4" w:space="0" w:color="000000"/>
              <w:right w:val="single" w:sz="4" w:space="0" w:color="000000"/>
            </w:tcBorders>
          </w:tcPr>
          <w:p w14:paraId="330CE9F5" w14:textId="2AA54B29"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Liver disorders </w:t>
            </w:r>
          </w:p>
        </w:tc>
      </w:tr>
      <w:tr w:rsidR="0021435D" w14:paraId="5A374C33" w14:textId="77777777" w:rsidTr="0021435D">
        <w:trPr>
          <w:trHeight w:val="998"/>
        </w:trPr>
        <w:tc>
          <w:tcPr>
            <w:tcW w:w="9496" w:type="dxa"/>
            <w:tcBorders>
              <w:top w:val="single" w:sz="4" w:space="0" w:color="000000"/>
              <w:left w:val="single" w:sz="4" w:space="0" w:color="000000"/>
              <w:bottom w:val="single" w:sz="4" w:space="0" w:color="000000"/>
              <w:right w:val="single" w:sz="4" w:space="0" w:color="000000"/>
            </w:tcBorders>
          </w:tcPr>
          <w:p w14:paraId="5AA47B32" w14:textId="38411121"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Metabolic disorders (such as inherited metabolic disorders and mitochondrial disorders) </w:t>
            </w:r>
          </w:p>
        </w:tc>
      </w:tr>
      <w:tr w:rsidR="0021435D" w14:paraId="2983F5C0" w14:textId="77777777" w:rsidTr="0021435D">
        <w:trPr>
          <w:trHeight w:val="644"/>
        </w:trPr>
        <w:tc>
          <w:tcPr>
            <w:tcW w:w="9496" w:type="dxa"/>
            <w:tcBorders>
              <w:top w:val="single" w:sz="4" w:space="0" w:color="000000"/>
              <w:left w:val="single" w:sz="4" w:space="0" w:color="000000"/>
              <w:bottom w:val="single" w:sz="4" w:space="0" w:color="000000"/>
              <w:right w:val="single" w:sz="4" w:space="0" w:color="000000"/>
            </w:tcBorders>
          </w:tcPr>
          <w:p w14:paraId="16732B74" w14:textId="78742E2B"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People who are obese with a body mass index [BMI] of 40 or higher </w:t>
            </w:r>
          </w:p>
        </w:tc>
      </w:tr>
      <w:tr w:rsidR="0021435D" w14:paraId="723FFCB2" w14:textId="77777777" w:rsidTr="0021435D">
        <w:trPr>
          <w:trHeight w:val="998"/>
        </w:trPr>
        <w:tc>
          <w:tcPr>
            <w:tcW w:w="9496" w:type="dxa"/>
            <w:tcBorders>
              <w:top w:val="single" w:sz="4" w:space="0" w:color="000000"/>
              <w:left w:val="single" w:sz="4" w:space="0" w:color="000000"/>
              <w:bottom w:val="single" w:sz="4" w:space="0" w:color="000000"/>
              <w:right w:val="single" w:sz="4" w:space="0" w:color="000000"/>
            </w:tcBorders>
          </w:tcPr>
          <w:p w14:paraId="46779DAB" w14:textId="1DA776CA"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People younger than 19 years old on long-term aspirin- or salicylate-containing medications. </w:t>
            </w:r>
          </w:p>
        </w:tc>
      </w:tr>
      <w:tr w:rsidR="0021435D" w14:paraId="46A80719" w14:textId="77777777" w:rsidTr="0021435D">
        <w:trPr>
          <w:trHeight w:val="1428"/>
        </w:trPr>
        <w:tc>
          <w:tcPr>
            <w:tcW w:w="9496" w:type="dxa"/>
            <w:tcBorders>
              <w:top w:val="single" w:sz="4" w:space="0" w:color="000000"/>
              <w:left w:val="single" w:sz="4" w:space="0" w:color="000000"/>
              <w:bottom w:val="single" w:sz="4" w:space="0" w:color="000000"/>
              <w:right w:val="single" w:sz="4" w:space="0" w:color="000000"/>
            </w:tcBorders>
          </w:tcPr>
          <w:p w14:paraId="1BCE1ECB" w14:textId="0F4F36DA" w:rsidR="0021435D" w:rsidRDefault="0021435D" w:rsidP="0021435D">
            <w:pPr>
              <w:pStyle w:val="ListParagraph"/>
              <w:numPr>
                <w:ilvl w:val="0"/>
                <w:numId w:val="2"/>
              </w:numPr>
              <w:spacing w:after="0" w:line="259" w:lineRule="auto"/>
            </w:pPr>
            <w:r w:rsidRPr="0021435D">
              <w:rPr>
                <w:rFonts w:ascii="Calibri" w:eastAsia="Calibri" w:hAnsi="Calibri" w:cs="Calibri"/>
                <w:sz w:val="26"/>
              </w:rPr>
              <w:lastRenderedPageBreak/>
              <w:t xml:space="preserve">People with a weakened immune system due to disease (such as people with HIV or AIDS, or some cancers such as leukemia) or medications (such as those receiving chemotherapy or radiation treatment for cancer, or persons with chronic conditions requiring </w:t>
            </w:r>
            <w:r w:rsidRPr="0021435D">
              <w:rPr>
                <w:rFonts w:ascii="Calibri" w:eastAsia="Calibri" w:hAnsi="Calibri" w:cs="Calibri"/>
                <w:sz w:val="26"/>
              </w:rPr>
              <w:t>chronic corticosteroids or other drugs that suppress the immune system)</w:t>
            </w:r>
          </w:p>
        </w:tc>
      </w:tr>
      <w:tr w:rsidR="0021435D" w14:paraId="3EAD2352" w14:textId="77777777" w:rsidTr="0021435D">
        <w:trPr>
          <w:trHeight w:val="365"/>
        </w:trPr>
        <w:tc>
          <w:tcPr>
            <w:tcW w:w="9496" w:type="dxa"/>
            <w:tcBorders>
              <w:top w:val="single" w:sz="4" w:space="0" w:color="000000"/>
              <w:left w:val="single" w:sz="4" w:space="0" w:color="000000"/>
              <w:bottom w:val="single" w:sz="4" w:space="0" w:color="000000"/>
              <w:right w:val="single" w:sz="4" w:space="0" w:color="000000"/>
            </w:tcBorders>
          </w:tcPr>
          <w:p w14:paraId="5CB20314" w14:textId="7EB0FAA8"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People who have had a stroke </w:t>
            </w:r>
          </w:p>
        </w:tc>
      </w:tr>
      <w:tr w:rsidR="0021435D" w14:paraId="762E69A0" w14:textId="77777777" w:rsidTr="0021435D">
        <w:trPr>
          <w:trHeight w:val="643"/>
        </w:trPr>
        <w:tc>
          <w:tcPr>
            <w:tcW w:w="9496" w:type="dxa"/>
            <w:tcBorders>
              <w:top w:val="single" w:sz="4" w:space="0" w:color="000000"/>
              <w:left w:val="single" w:sz="4" w:space="0" w:color="000000"/>
              <w:bottom w:val="single" w:sz="4" w:space="0" w:color="000000"/>
              <w:right w:val="single" w:sz="4" w:space="0" w:color="000000"/>
            </w:tcBorders>
          </w:tcPr>
          <w:p w14:paraId="6ADD4580" w14:textId="7E2C2068"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Pregnant people and people up to 2 weeks after the end of pregnancy </w:t>
            </w:r>
          </w:p>
        </w:tc>
      </w:tr>
      <w:tr w:rsidR="0021435D" w14:paraId="36B8CEEF" w14:textId="77777777" w:rsidTr="0021435D">
        <w:trPr>
          <w:trHeight w:val="643"/>
        </w:trPr>
        <w:tc>
          <w:tcPr>
            <w:tcW w:w="9496" w:type="dxa"/>
            <w:tcBorders>
              <w:top w:val="single" w:sz="4" w:space="0" w:color="000000"/>
              <w:left w:val="single" w:sz="4" w:space="0" w:color="000000"/>
              <w:bottom w:val="single" w:sz="4" w:space="0" w:color="000000"/>
              <w:right w:val="single" w:sz="4" w:space="0" w:color="000000"/>
            </w:tcBorders>
          </w:tcPr>
          <w:p w14:paraId="6D970F5D" w14:textId="10CDA1CF" w:rsidR="0021435D" w:rsidRDefault="0021435D" w:rsidP="0021435D">
            <w:pPr>
              <w:pStyle w:val="ListParagraph"/>
              <w:numPr>
                <w:ilvl w:val="0"/>
                <w:numId w:val="2"/>
              </w:numPr>
              <w:spacing w:after="0" w:line="259" w:lineRule="auto"/>
              <w:ind w:right="329"/>
            </w:pPr>
            <w:r w:rsidRPr="0021435D">
              <w:rPr>
                <w:rFonts w:ascii="Calibri" w:eastAsia="Calibri" w:hAnsi="Calibri" w:cs="Calibri"/>
                <w:sz w:val="26"/>
              </w:rPr>
              <w:t xml:space="preserve">People who live in nursing homes and other long-term care facilities </w:t>
            </w:r>
          </w:p>
        </w:tc>
      </w:tr>
      <w:tr w:rsidR="0021435D" w14:paraId="3FD5F9B7" w14:textId="77777777" w:rsidTr="0021435D">
        <w:trPr>
          <w:trHeight w:val="1707"/>
        </w:trPr>
        <w:tc>
          <w:tcPr>
            <w:tcW w:w="9496" w:type="dxa"/>
            <w:tcBorders>
              <w:top w:val="single" w:sz="4" w:space="0" w:color="000000"/>
              <w:left w:val="single" w:sz="4" w:space="0" w:color="000000"/>
              <w:bottom w:val="single" w:sz="4" w:space="0" w:color="000000"/>
              <w:right w:val="single" w:sz="4" w:space="0" w:color="000000"/>
            </w:tcBorders>
          </w:tcPr>
          <w:p w14:paraId="6AE770B4" w14:textId="3995D9F4"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People from certain racial and ethnic minority groups are at increased risk for hospitalization with flu, including non-Hispanic Black persons, Hispanic or Latino persons, and American Indian or Alaska Native persons </w:t>
            </w:r>
          </w:p>
        </w:tc>
      </w:tr>
      <w:tr w:rsidR="0021435D" w14:paraId="3BED8F85" w14:textId="77777777" w:rsidTr="0021435D">
        <w:trPr>
          <w:trHeight w:val="1428"/>
        </w:trPr>
        <w:tc>
          <w:tcPr>
            <w:tcW w:w="9496" w:type="dxa"/>
            <w:tcBorders>
              <w:top w:val="single" w:sz="4" w:space="0" w:color="000000"/>
              <w:left w:val="single" w:sz="4" w:space="0" w:color="000000"/>
              <w:bottom w:val="single" w:sz="4" w:space="0" w:color="000000"/>
              <w:right w:val="single" w:sz="4" w:space="0" w:color="000000"/>
            </w:tcBorders>
          </w:tcPr>
          <w:p w14:paraId="0ED9B39B" w14:textId="1D8605B6" w:rsidR="0021435D" w:rsidRDefault="0021435D" w:rsidP="0021435D">
            <w:pPr>
              <w:pStyle w:val="ListParagraph"/>
              <w:numPr>
                <w:ilvl w:val="0"/>
                <w:numId w:val="2"/>
              </w:numPr>
              <w:spacing w:after="0" w:line="259" w:lineRule="auto"/>
            </w:pPr>
            <w:r w:rsidRPr="0021435D">
              <w:rPr>
                <w:rFonts w:ascii="Calibri" w:eastAsia="Calibri" w:hAnsi="Calibri" w:cs="Calibri"/>
                <w:sz w:val="26"/>
              </w:rPr>
              <w:t xml:space="preserve">All children younger than 5 years old are considered at higher risk of serious flu complications, the highest risk is for those younger than 2 years old, with the highest hospitalization and death rates among infants younger than 6 months old. </w:t>
            </w:r>
          </w:p>
        </w:tc>
      </w:tr>
    </w:tbl>
    <w:p w14:paraId="23A7AF52" w14:textId="77777777" w:rsidR="00741E6C" w:rsidRDefault="00000000">
      <w:pPr>
        <w:spacing w:after="0" w:line="259" w:lineRule="auto"/>
        <w:jc w:val="both"/>
      </w:pPr>
      <w:r>
        <w:rPr>
          <w:rFonts w:ascii="Calibri" w:eastAsia="Calibri" w:hAnsi="Calibri" w:cs="Calibri"/>
          <w:sz w:val="22"/>
        </w:rPr>
        <w:t xml:space="preserve"> </w:t>
      </w:r>
    </w:p>
    <w:sectPr w:rsidR="00741E6C">
      <w:pgSz w:w="11906" w:h="16838"/>
      <w:pgMar w:top="857" w:right="1064" w:bottom="1529" w:left="8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5BF0"/>
    <w:multiLevelType w:val="hybridMultilevel"/>
    <w:tmpl w:val="7FEA94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6033379"/>
    <w:multiLevelType w:val="hybridMultilevel"/>
    <w:tmpl w:val="C5FCC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1230443">
    <w:abstractNumId w:val="1"/>
  </w:num>
  <w:num w:numId="2" w16cid:durableId="406807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E6C"/>
    <w:rsid w:val="0021435D"/>
    <w:rsid w:val="00741E6C"/>
    <w:rsid w:val="00E82534"/>
    <w:rsid w:val="00EF65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9A36C"/>
  <w15:docId w15:val="{3F99BC96-DE20-4E21-9C85-673736671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7" w:line="271" w:lineRule="auto"/>
    </w:pPr>
    <w:rPr>
      <w:rFonts w:ascii="Times New Roman" w:eastAsia="Times New Roman" w:hAnsi="Times New Roman" w:cs="Times New Roman"/>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2143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321</Words>
  <Characters>1715</Characters>
  <Application>Microsoft Office Word</Application>
  <DocSecurity>0</DocSecurity>
  <Lines>39</Lines>
  <Paragraphs>24</Paragraphs>
  <ScaleCrop>false</ScaleCrop>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Sadie151620</dc:creator>
  <cp:keywords/>
  <cp:lastModifiedBy>Saadi Mahdi Saleh</cp:lastModifiedBy>
  <cp:revision>2</cp:revision>
  <dcterms:created xsi:type="dcterms:W3CDTF">2024-06-23T22:39:00Z</dcterms:created>
  <dcterms:modified xsi:type="dcterms:W3CDTF">2024-06-23T22:39:00Z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84d2113e3784ffb9107d9aaf1b6a55b9c8a70c878fff29968667d8c2c2f5897a</vt:lpwstr>
  </property>
</Properties>
</file>