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964" w:type="dxa"/>
        <w:tblLook w:val="04A0" w:firstRow="1" w:lastRow="0" w:firstColumn="1" w:lastColumn="0" w:noHBand="0" w:noVBand="1"/>
      </w:tblPr>
      <w:tblGrid>
        <w:gridCol w:w="9964"/>
      </w:tblGrid>
      <w:tr w:rsidR="00F804EC" w:rsidRPr="00926D0B" w14:paraId="375086B0" w14:textId="77777777" w:rsidTr="0040084E">
        <w:trPr>
          <w:trHeight w:val="379"/>
        </w:trPr>
        <w:tc>
          <w:tcPr>
            <w:tcW w:w="9964" w:type="dxa"/>
          </w:tcPr>
          <w:p w14:paraId="620D67B5" w14:textId="4BFA5D13" w:rsidR="00F804EC" w:rsidRPr="00381A48" w:rsidRDefault="00926D0B" w:rsidP="00E47C02">
            <w:pPr>
              <w:rPr>
                <w:rFonts w:ascii="Roboto" w:hAnsi="Roboto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Roboto" w:hAnsi="Roboto"/>
                <w:b/>
                <w:bCs/>
                <w:sz w:val="24"/>
                <w:szCs w:val="24"/>
                <w:lang w:val="en-US"/>
              </w:rPr>
              <w:t>Appendix 3</w:t>
            </w:r>
            <w:r w:rsidR="00AA7157">
              <w:rPr>
                <w:rFonts w:ascii="Roboto" w:hAnsi="Roboto"/>
                <w:b/>
                <w:bCs/>
                <w:sz w:val="24"/>
                <w:szCs w:val="24"/>
                <w:lang w:val="en-US"/>
              </w:rPr>
              <w:t>.</w:t>
            </w:r>
            <w:r>
              <w:rPr>
                <w:rFonts w:ascii="Roboto" w:hAnsi="Roboto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E47C02" w:rsidRPr="00381A48">
              <w:rPr>
                <w:rFonts w:ascii="Roboto" w:hAnsi="Roboto"/>
                <w:b/>
                <w:bCs/>
                <w:sz w:val="24"/>
                <w:szCs w:val="24"/>
                <w:lang w:val="en-US"/>
              </w:rPr>
              <w:t>D</w:t>
            </w:r>
            <w:r w:rsidR="003E721C">
              <w:rPr>
                <w:rFonts w:ascii="Roboto" w:hAnsi="Roboto"/>
                <w:b/>
                <w:bCs/>
                <w:sz w:val="24"/>
                <w:szCs w:val="24"/>
                <w:lang w:val="en-US"/>
              </w:rPr>
              <w:t xml:space="preserve">efinitions for </w:t>
            </w:r>
            <w:r w:rsidR="001979A1">
              <w:rPr>
                <w:rFonts w:ascii="Roboto" w:hAnsi="Roboto"/>
                <w:b/>
                <w:bCs/>
                <w:sz w:val="24"/>
                <w:szCs w:val="24"/>
                <w:lang w:val="en-US"/>
              </w:rPr>
              <w:t>WHO-defined severe malaria (adapted from reference 9)</w:t>
            </w:r>
          </w:p>
        </w:tc>
      </w:tr>
      <w:tr w:rsidR="001979A1" w:rsidRPr="001933EE" w14:paraId="7B743CED" w14:textId="77777777" w:rsidTr="001979A1">
        <w:trPr>
          <w:trHeight w:val="367"/>
        </w:trPr>
        <w:tc>
          <w:tcPr>
            <w:tcW w:w="9964" w:type="dxa"/>
          </w:tcPr>
          <w:p w14:paraId="4FCF084A" w14:textId="77777777" w:rsidR="001979A1" w:rsidRPr="001933EE" w:rsidRDefault="001979A1" w:rsidP="005E10F5">
            <w:pPr>
              <w:rPr>
                <w:rFonts w:ascii="Roboto" w:hAnsi="Roboto"/>
                <w:sz w:val="24"/>
                <w:szCs w:val="24"/>
              </w:rPr>
            </w:pPr>
            <w:r w:rsidRPr="001933EE">
              <w:rPr>
                <w:rFonts w:ascii="Roboto" w:hAnsi="Roboto"/>
                <w:sz w:val="24"/>
                <w:szCs w:val="24"/>
              </w:rPr>
              <w:t>Impaired consciousness</w:t>
            </w:r>
          </w:p>
        </w:tc>
      </w:tr>
      <w:tr w:rsidR="001979A1" w:rsidRPr="001933EE" w14:paraId="39CE3F94" w14:textId="77777777" w:rsidTr="001979A1">
        <w:trPr>
          <w:trHeight w:val="379"/>
        </w:trPr>
        <w:tc>
          <w:tcPr>
            <w:tcW w:w="9964" w:type="dxa"/>
          </w:tcPr>
          <w:p w14:paraId="35525219" w14:textId="77777777" w:rsidR="001979A1" w:rsidRPr="001933EE" w:rsidRDefault="001979A1" w:rsidP="005E10F5">
            <w:pPr>
              <w:rPr>
                <w:rFonts w:ascii="Roboto" w:hAnsi="Roboto"/>
                <w:sz w:val="24"/>
                <w:szCs w:val="24"/>
              </w:rPr>
            </w:pPr>
            <w:r w:rsidRPr="001933EE">
              <w:rPr>
                <w:rFonts w:ascii="Roboto" w:hAnsi="Roboto"/>
                <w:sz w:val="24"/>
                <w:szCs w:val="24"/>
              </w:rPr>
              <w:t>Prostration</w:t>
            </w:r>
          </w:p>
        </w:tc>
      </w:tr>
      <w:tr w:rsidR="001979A1" w:rsidRPr="001933EE" w14:paraId="1F15F56A" w14:textId="77777777" w:rsidTr="001979A1">
        <w:trPr>
          <w:trHeight w:val="367"/>
        </w:trPr>
        <w:tc>
          <w:tcPr>
            <w:tcW w:w="9964" w:type="dxa"/>
          </w:tcPr>
          <w:p w14:paraId="3869E3DD" w14:textId="77777777" w:rsidR="001979A1" w:rsidRPr="001933EE" w:rsidRDefault="001979A1" w:rsidP="005E10F5">
            <w:pPr>
              <w:rPr>
                <w:rFonts w:ascii="Roboto" w:hAnsi="Roboto"/>
                <w:sz w:val="24"/>
                <w:szCs w:val="24"/>
              </w:rPr>
            </w:pPr>
            <w:r w:rsidRPr="001933EE">
              <w:rPr>
                <w:rFonts w:ascii="Roboto" w:hAnsi="Roboto"/>
                <w:sz w:val="24"/>
                <w:szCs w:val="24"/>
              </w:rPr>
              <w:t>Multiple convulsions</w:t>
            </w:r>
          </w:p>
        </w:tc>
      </w:tr>
      <w:tr w:rsidR="001979A1" w:rsidRPr="001933EE" w14:paraId="3C1A74EC" w14:textId="77777777" w:rsidTr="001979A1">
        <w:trPr>
          <w:trHeight w:val="379"/>
        </w:trPr>
        <w:tc>
          <w:tcPr>
            <w:tcW w:w="9964" w:type="dxa"/>
          </w:tcPr>
          <w:p w14:paraId="2874B661" w14:textId="77777777" w:rsidR="001979A1" w:rsidRPr="001933EE" w:rsidRDefault="001979A1" w:rsidP="005E10F5">
            <w:pPr>
              <w:rPr>
                <w:rFonts w:ascii="Roboto" w:hAnsi="Roboto"/>
                <w:sz w:val="24"/>
                <w:szCs w:val="24"/>
              </w:rPr>
            </w:pPr>
            <w:r w:rsidRPr="001933EE">
              <w:rPr>
                <w:rFonts w:ascii="Roboto" w:hAnsi="Roboto"/>
                <w:sz w:val="24"/>
                <w:szCs w:val="24"/>
              </w:rPr>
              <w:t>Acidosis</w:t>
            </w:r>
          </w:p>
        </w:tc>
      </w:tr>
      <w:tr w:rsidR="001979A1" w:rsidRPr="001933EE" w14:paraId="0AD44E1B" w14:textId="77777777" w:rsidTr="001979A1">
        <w:trPr>
          <w:trHeight w:val="367"/>
        </w:trPr>
        <w:tc>
          <w:tcPr>
            <w:tcW w:w="9964" w:type="dxa"/>
          </w:tcPr>
          <w:p w14:paraId="5E04537B" w14:textId="6DEF9EAE" w:rsidR="001979A1" w:rsidRPr="001933EE" w:rsidRDefault="001979A1" w:rsidP="005E10F5">
            <w:pPr>
              <w:rPr>
                <w:rFonts w:ascii="Roboto" w:hAnsi="Roboto"/>
                <w:sz w:val="24"/>
                <w:szCs w:val="24"/>
              </w:rPr>
            </w:pPr>
            <w:r w:rsidRPr="001933EE">
              <w:rPr>
                <w:rFonts w:ascii="Roboto" w:hAnsi="Roboto"/>
                <w:sz w:val="24"/>
                <w:szCs w:val="24"/>
              </w:rPr>
              <w:t>Hypoglycemia</w:t>
            </w:r>
          </w:p>
        </w:tc>
      </w:tr>
      <w:tr w:rsidR="001979A1" w:rsidRPr="001933EE" w14:paraId="206A7633" w14:textId="77777777" w:rsidTr="001979A1">
        <w:trPr>
          <w:trHeight w:val="379"/>
        </w:trPr>
        <w:tc>
          <w:tcPr>
            <w:tcW w:w="9964" w:type="dxa"/>
          </w:tcPr>
          <w:p w14:paraId="0DC50793" w14:textId="77777777" w:rsidR="001979A1" w:rsidRPr="001933EE" w:rsidRDefault="001979A1" w:rsidP="005E10F5">
            <w:pPr>
              <w:rPr>
                <w:rFonts w:ascii="Roboto" w:hAnsi="Roboto"/>
                <w:sz w:val="24"/>
                <w:szCs w:val="24"/>
              </w:rPr>
            </w:pPr>
            <w:r w:rsidRPr="001933EE">
              <w:rPr>
                <w:rFonts w:ascii="Roboto" w:hAnsi="Roboto"/>
                <w:sz w:val="24"/>
                <w:szCs w:val="24"/>
              </w:rPr>
              <w:t>Severe malarial anemia</w:t>
            </w:r>
          </w:p>
        </w:tc>
      </w:tr>
      <w:tr w:rsidR="001979A1" w:rsidRPr="001933EE" w14:paraId="17F671B6" w14:textId="77777777" w:rsidTr="001979A1">
        <w:trPr>
          <w:trHeight w:val="379"/>
        </w:trPr>
        <w:tc>
          <w:tcPr>
            <w:tcW w:w="9964" w:type="dxa"/>
          </w:tcPr>
          <w:p w14:paraId="2F4558EC" w14:textId="77777777" w:rsidR="001979A1" w:rsidRPr="001933EE" w:rsidRDefault="001979A1" w:rsidP="005E10F5">
            <w:pPr>
              <w:rPr>
                <w:rFonts w:ascii="Roboto" w:hAnsi="Roboto"/>
                <w:sz w:val="24"/>
                <w:szCs w:val="24"/>
              </w:rPr>
            </w:pPr>
            <w:r w:rsidRPr="001933EE">
              <w:rPr>
                <w:rFonts w:ascii="Roboto" w:hAnsi="Roboto"/>
                <w:sz w:val="24"/>
                <w:szCs w:val="24"/>
              </w:rPr>
              <w:t>Renal impairment</w:t>
            </w:r>
          </w:p>
        </w:tc>
      </w:tr>
      <w:tr w:rsidR="001979A1" w:rsidRPr="001933EE" w14:paraId="33EB7A55" w14:textId="77777777" w:rsidTr="001979A1">
        <w:trPr>
          <w:trHeight w:val="367"/>
        </w:trPr>
        <w:tc>
          <w:tcPr>
            <w:tcW w:w="9964" w:type="dxa"/>
          </w:tcPr>
          <w:p w14:paraId="6475101B" w14:textId="77777777" w:rsidR="001979A1" w:rsidRPr="001933EE" w:rsidRDefault="001979A1" w:rsidP="005E10F5">
            <w:pPr>
              <w:rPr>
                <w:rFonts w:ascii="Roboto" w:hAnsi="Roboto"/>
                <w:sz w:val="24"/>
                <w:szCs w:val="24"/>
              </w:rPr>
            </w:pPr>
            <w:r w:rsidRPr="001933EE">
              <w:rPr>
                <w:rFonts w:ascii="Roboto" w:hAnsi="Roboto"/>
                <w:sz w:val="24"/>
                <w:szCs w:val="24"/>
              </w:rPr>
              <w:t>Jaundice</w:t>
            </w:r>
          </w:p>
        </w:tc>
      </w:tr>
      <w:tr w:rsidR="001979A1" w:rsidRPr="001933EE" w14:paraId="4C95E0FE" w14:textId="77777777" w:rsidTr="001979A1">
        <w:trPr>
          <w:trHeight w:val="379"/>
        </w:trPr>
        <w:tc>
          <w:tcPr>
            <w:tcW w:w="9964" w:type="dxa"/>
          </w:tcPr>
          <w:p w14:paraId="6BC0E651" w14:textId="77777777" w:rsidR="001979A1" w:rsidRPr="001933EE" w:rsidRDefault="001979A1" w:rsidP="005E10F5">
            <w:pPr>
              <w:rPr>
                <w:rFonts w:ascii="Roboto" w:hAnsi="Roboto"/>
                <w:sz w:val="24"/>
                <w:szCs w:val="24"/>
              </w:rPr>
            </w:pPr>
            <w:r w:rsidRPr="001933EE">
              <w:rPr>
                <w:rFonts w:ascii="Roboto" w:hAnsi="Roboto"/>
                <w:sz w:val="24"/>
                <w:szCs w:val="24"/>
              </w:rPr>
              <w:t>Pulmonary oedema</w:t>
            </w:r>
          </w:p>
        </w:tc>
      </w:tr>
      <w:tr w:rsidR="001979A1" w:rsidRPr="001933EE" w14:paraId="28BACAC0" w14:textId="77777777" w:rsidTr="001979A1">
        <w:trPr>
          <w:trHeight w:val="367"/>
        </w:trPr>
        <w:tc>
          <w:tcPr>
            <w:tcW w:w="9964" w:type="dxa"/>
          </w:tcPr>
          <w:p w14:paraId="2CE54073" w14:textId="77777777" w:rsidR="001979A1" w:rsidRPr="001933EE" w:rsidRDefault="001979A1" w:rsidP="005E10F5">
            <w:pPr>
              <w:rPr>
                <w:rFonts w:ascii="Roboto" w:hAnsi="Roboto"/>
                <w:sz w:val="24"/>
                <w:szCs w:val="24"/>
              </w:rPr>
            </w:pPr>
            <w:r w:rsidRPr="001933EE">
              <w:rPr>
                <w:rFonts w:ascii="Roboto" w:hAnsi="Roboto"/>
                <w:sz w:val="24"/>
                <w:szCs w:val="24"/>
              </w:rPr>
              <w:t>Significant bleeding</w:t>
            </w:r>
          </w:p>
        </w:tc>
      </w:tr>
      <w:tr w:rsidR="001979A1" w:rsidRPr="001933EE" w14:paraId="113D26ED" w14:textId="77777777" w:rsidTr="001979A1">
        <w:trPr>
          <w:trHeight w:val="379"/>
        </w:trPr>
        <w:tc>
          <w:tcPr>
            <w:tcW w:w="9964" w:type="dxa"/>
          </w:tcPr>
          <w:p w14:paraId="2100EC03" w14:textId="77777777" w:rsidR="001979A1" w:rsidRPr="001933EE" w:rsidRDefault="001979A1" w:rsidP="005E10F5">
            <w:pPr>
              <w:rPr>
                <w:rFonts w:ascii="Roboto" w:hAnsi="Roboto"/>
                <w:sz w:val="24"/>
                <w:szCs w:val="24"/>
              </w:rPr>
            </w:pPr>
            <w:r w:rsidRPr="001933EE">
              <w:rPr>
                <w:rFonts w:ascii="Roboto" w:hAnsi="Roboto"/>
                <w:sz w:val="24"/>
                <w:szCs w:val="24"/>
              </w:rPr>
              <w:t>Shock</w:t>
            </w:r>
          </w:p>
        </w:tc>
      </w:tr>
      <w:tr w:rsidR="001979A1" w:rsidRPr="001933EE" w14:paraId="210C0CD2" w14:textId="77777777" w:rsidTr="001979A1">
        <w:trPr>
          <w:trHeight w:val="367"/>
        </w:trPr>
        <w:tc>
          <w:tcPr>
            <w:tcW w:w="9964" w:type="dxa"/>
          </w:tcPr>
          <w:p w14:paraId="720B0126" w14:textId="1CA77D50" w:rsidR="001979A1" w:rsidRPr="001933EE" w:rsidRDefault="001979A1" w:rsidP="005E10F5">
            <w:pPr>
              <w:rPr>
                <w:rFonts w:ascii="Roboto" w:hAnsi="Roboto"/>
                <w:sz w:val="24"/>
                <w:szCs w:val="24"/>
                <w:lang w:val="en-US"/>
              </w:rPr>
            </w:pPr>
            <w:r w:rsidRPr="001933EE">
              <w:rPr>
                <w:rFonts w:ascii="Roboto" w:hAnsi="Roboto"/>
                <w:sz w:val="24"/>
                <w:szCs w:val="24"/>
              </w:rPr>
              <w:t>Hyperparasitemia</w:t>
            </w:r>
            <w:r w:rsidRPr="001933EE">
              <w:rPr>
                <w:rFonts w:ascii="Roboto" w:hAnsi="Roboto"/>
                <w:sz w:val="24"/>
                <w:szCs w:val="24"/>
                <w:lang w:val="en-US"/>
              </w:rPr>
              <w:t xml:space="preserve"> &gt;10%</w:t>
            </w:r>
          </w:p>
        </w:tc>
      </w:tr>
      <w:tr w:rsidR="001933EE" w:rsidRPr="00926D0B" w14:paraId="75A591DB" w14:textId="77777777" w:rsidTr="005E10F5">
        <w:trPr>
          <w:trHeight w:val="1149"/>
        </w:trPr>
        <w:tc>
          <w:tcPr>
            <w:tcW w:w="9964" w:type="dxa"/>
          </w:tcPr>
          <w:p w14:paraId="66549360" w14:textId="2C410382" w:rsidR="001933EE" w:rsidRPr="00381A48" w:rsidRDefault="001933EE" w:rsidP="005E10F5">
            <w:pPr>
              <w:rPr>
                <w:rFonts w:ascii="Roboto" w:eastAsia="Calibri" w:hAnsi="Roboto" w:cs="Calibri"/>
                <w:sz w:val="24"/>
                <w:szCs w:val="24"/>
                <w:lang w:val="en-US"/>
              </w:rPr>
            </w:pPr>
            <w:r w:rsidRPr="00381A48">
              <w:rPr>
                <w:rFonts w:ascii="Roboto" w:eastAsia="Calibri" w:hAnsi="Roboto" w:cs="Calibri"/>
                <w:sz w:val="24"/>
                <w:szCs w:val="24"/>
                <w:lang w:val="en-US"/>
              </w:rPr>
              <w:t xml:space="preserve">The WHO criteria were </w:t>
            </w:r>
            <w:r w:rsidR="00397AA0">
              <w:rPr>
                <w:rFonts w:ascii="Roboto" w:eastAsia="Calibri" w:hAnsi="Roboto" w:cs="Calibri"/>
                <w:sz w:val="24"/>
                <w:szCs w:val="24"/>
                <w:lang w:val="en-US"/>
              </w:rPr>
              <w:t>grouped</w:t>
            </w:r>
            <w:r w:rsidRPr="00381A48">
              <w:rPr>
                <w:rFonts w:ascii="Roboto" w:eastAsia="Calibri" w:hAnsi="Roboto" w:cs="Calibri"/>
                <w:sz w:val="24"/>
                <w:szCs w:val="24"/>
                <w:lang w:val="en-US"/>
              </w:rPr>
              <w:t xml:space="preserve"> into the following clinical parameters</w:t>
            </w:r>
            <w:r w:rsidR="00397AA0">
              <w:rPr>
                <w:rFonts w:ascii="Roboto" w:eastAsia="Calibri" w:hAnsi="Roboto" w:cs="Calibri"/>
                <w:sz w:val="24"/>
                <w:szCs w:val="24"/>
                <w:lang w:val="en-US"/>
              </w:rPr>
              <w:t>:</w:t>
            </w:r>
            <w:r w:rsidRPr="00381A48">
              <w:rPr>
                <w:rFonts w:ascii="Roboto" w:eastAsia="Calibri" w:hAnsi="Roboto" w:cs="Calibri"/>
                <w:sz w:val="24"/>
                <w:szCs w:val="24"/>
                <w:lang w:val="en-US"/>
              </w:rPr>
              <w:t xml:space="preserve"> respiratory insufficiency (mechanical ventilation, </w:t>
            </w:r>
            <w:r w:rsidR="00397AA0">
              <w:rPr>
                <w:rFonts w:ascii="Roboto" w:eastAsia="Calibri" w:hAnsi="Roboto" w:cs="Calibri"/>
                <w:sz w:val="24"/>
                <w:szCs w:val="24"/>
                <w:lang w:val="en-US"/>
              </w:rPr>
              <w:t xml:space="preserve">increased respiratory rate, </w:t>
            </w:r>
            <w:r w:rsidRPr="00381A48">
              <w:rPr>
                <w:rFonts w:ascii="Roboto" w:eastAsia="Calibri" w:hAnsi="Roboto" w:cs="Calibri"/>
                <w:sz w:val="24"/>
                <w:szCs w:val="24"/>
                <w:lang w:val="en-US"/>
              </w:rPr>
              <w:t>saturation &lt;92%)</w:t>
            </w:r>
            <w:r w:rsidR="009D61D3">
              <w:rPr>
                <w:rFonts w:ascii="Roboto" w:eastAsia="Calibri" w:hAnsi="Roboto" w:cs="Calibri"/>
                <w:sz w:val="24"/>
                <w:szCs w:val="24"/>
                <w:lang w:val="en-US"/>
              </w:rPr>
              <w:t>;</w:t>
            </w:r>
            <w:r w:rsidRPr="00381A48">
              <w:rPr>
                <w:rFonts w:ascii="Roboto" w:eastAsia="Calibri" w:hAnsi="Roboto" w:cs="Calibri"/>
                <w:sz w:val="24"/>
                <w:szCs w:val="24"/>
                <w:lang w:val="en-US"/>
              </w:rPr>
              <w:t xml:space="preserve"> kidney insufficiency (renal replacement therapy or </w:t>
            </w:r>
            <w:r w:rsidR="00397AA0">
              <w:rPr>
                <w:rFonts w:ascii="Roboto" w:eastAsia="Calibri" w:hAnsi="Roboto" w:cs="Calibri"/>
                <w:sz w:val="24"/>
                <w:szCs w:val="24"/>
                <w:lang w:val="en-US"/>
              </w:rPr>
              <w:t xml:space="preserve">serum </w:t>
            </w:r>
            <w:r w:rsidRPr="00381A48">
              <w:rPr>
                <w:rFonts w:ascii="Roboto" w:eastAsia="Calibri" w:hAnsi="Roboto" w:cs="Calibri"/>
                <w:sz w:val="24"/>
                <w:szCs w:val="24"/>
                <w:lang w:val="en-US"/>
              </w:rPr>
              <w:t>creatinine</w:t>
            </w:r>
            <w:r w:rsidR="00C6699D">
              <w:rPr>
                <w:rFonts w:ascii="Roboto" w:eastAsia="Calibri" w:hAnsi="Roboto" w:cs="Calibri"/>
                <w:sz w:val="24"/>
                <w:szCs w:val="24"/>
                <w:lang w:val="en-US"/>
              </w:rPr>
              <w:t>&gt;265 µmol/L or blood urea&gt;20 mmol/L</w:t>
            </w:r>
            <w:r w:rsidRPr="00381A48">
              <w:rPr>
                <w:rFonts w:ascii="Roboto" w:eastAsia="Calibri" w:hAnsi="Roboto" w:cs="Calibri"/>
                <w:sz w:val="24"/>
                <w:szCs w:val="24"/>
                <w:lang w:val="en-US"/>
              </w:rPr>
              <w:t>)</w:t>
            </w:r>
            <w:r w:rsidR="009D61D3">
              <w:rPr>
                <w:rFonts w:ascii="Roboto" w:eastAsia="Calibri" w:hAnsi="Roboto" w:cs="Calibri"/>
                <w:sz w:val="24"/>
                <w:szCs w:val="24"/>
                <w:lang w:val="en-US"/>
              </w:rPr>
              <w:t>;</w:t>
            </w:r>
            <w:r w:rsidRPr="00381A48">
              <w:rPr>
                <w:rFonts w:ascii="Roboto" w:eastAsia="Calibri" w:hAnsi="Roboto" w:cs="Calibri"/>
                <w:sz w:val="24"/>
                <w:szCs w:val="24"/>
                <w:lang w:val="en-US"/>
              </w:rPr>
              <w:t xml:space="preserve"> hepatic dysfunction (</w:t>
            </w:r>
            <w:r w:rsidR="003A7850">
              <w:rPr>
                <w:rFonts w:ascii="Roboto" w:eastAsia="Calibri" w:hAnsi="Roboto" w:cs="Calibri"/>
                <w:sz w:val="24"/>
                <w:szCs w:val="24"/>
                <w:lang w:val="en-US"/>
              </w:rPr>
              <w:t xml:space="preserve">clinical </w:t>
            </w:r>
            <w:r w:rsidRPr="00381A48">
              <w:rPr>
                <w:rFonts w:ascii="Roboto" w:eastAsia="Calibri" w:hAnsi="Roboto" w:cs="Calibri"/>
                <w:sz w:val="24"/>
                <w:szCs w:val="24"/>
                <w:lang w:val="en-US"/>
              </w:rPr>
              <w:t>jaundice, elevated bilirubin</w:t>
            </w:r>
            <w:r w:rsidR="003A7850">
              <w:rPr>
                <w:rFonts w:ascii="Roboto" w:eastAsia="Calibri" w:hAnsi="Roboto" w:cs="Calibri"/>
                <w:sz w:val="24"/>
                <w:szCs w:val="24"/>
                <w:lang w:val="en-US"/>
              </w:rPr>
              <w:t>&gt;50µ</w:t>
            </w:r>
            <w:r w:rsidR="00A02C9C">
              <w:rPr>
                <w:rFonts w:ascii="Roboto" w:eastAsia="Calibri" w:hAnsi="Roboto" w:cs="Calibri"/>
                <w:sz w:val="24"/>
                <w:szCs w:val="24"/>
                <w:lang w:val="en-US"/>
              </w:rPr>
              <w:t>mol/L with parasite count&gt;100,000/µL</w:t>
            </w:r>
            <w:r w:rsidRPr="00381A48">
              <w:rPr>
                <w:rFonts w:ascii="Roboto" w:eastAsia="Calibri" w:hAnsi="Roboto" w:cs="Calibri"/>
                <w:sz w:val="24"/>
                <w:szCs w:val="24"/>
                <w:lang w:val="en-US"/>
              </w:rPr>
              <w:t>)</w:t>
            </w:r>
            <w:r w:rsidR="009D61D3">
              <w:rPr>
                <w:rFonts w:ascii="Roboto" w:eastAsia="Calibri" w:hAnsi="Roboto" w:cs="Calibri"/>
                <w:sz w:val="24"/>
                <w:szCs w:val="24"/>
                <w:lang w:val="en-US"/>
              </w:rPr>
              <w:t>;</w:t>
            </w:r>
            <w:r w:rsidRPr="00381A48">
              <w:rPr>
                <w:rFonts w:ascii="Roboto" w:eastAsia="Calibri" w:hAnsi="Roboto" w:cs="Calibri"/>
                <w:sz w:val="24"/>
                <w:szCs w:val="24"/>
                <w:lang w:val="en-US"/>
              </w:rPr>
              <w:t xml:space="preserve"> metabolic deterioration (</w:t>
            </w:r>
            <w:r w:rsidR="00A02C9C">
              <w:rPr>
                <w:rFonts w:ascii="Roboto" w:eastAsia="Calibri" w:hAnsi="Roboto" w:cs="Calibri"/>
                <w:sz w:val="24"/>
                <w:szCs w:val="24"/>
                <w:lang w:val="en-US"/>
              </w:rPr>
              <w:t>plasma bicarbonate</w:t>
            </w:r>
            <w:r w:rsidR="00C01A42">
              <w:rPr>
                <w:rFonts w:ascii="Roboto" w:eastAsia="Calibri" w:hAnsi="Roboto" w:cs="Calibri"/>
                <w:sz w:val="24"/>
                <w:szCs w:val="24"/>
                <w:lang w:val="en-US"/>
              </w:rPr>
              <w:t>&lt;15 mmol/L, plasma lactate&gt;5 mmol/L</w:t>
            </w:r>
            <w:r w:rsidR="009D61D3">
              <w:rPr>
                <w:rFonts w:ascii="Roboto" w:eastAsia="Calibri" w:hAnsi="Roboto" w:cs="Calibri"/>
                <w:sz w:val="24"/>
                <w:szCs w:val="24"/>
                <w:lang w:val="en-US"/>
              </w:rPr>
              <w:t xml:space="preserve"> or blood glucose&lt;2.2 mmol/L</w:t>
            </w:r>
            <w:r w:rsidRPr="00381A48">
              <w:rPr>
                <w:rFonts w:ascii="Roboto" w:eastAsia="Calibri" w:hAnsi="Roboto" w:cs="Calibri"/>
                <w:sz w:val="24"/>
                <w:szCs w:val="24"/>
                <w:lang w:val="en-US"/>
              </w:rPr>
              <w:t>)</w:t>
            </w:r>
            <w:r w:rsidR="009D61D3">
              <w:rPr>
                <w:rFonts w:ascii="Roboto" w:eastAsia="Calibri" w:hAnsi="Roboto" w:cs="Calibri"/>
                <w:sz w:val="24"/>
                <w:szCs w:val="24"/>
                <w:lang w:val="en-US"/>
              </w:rPr>
              <w:t>;</w:t>
            </w:r>
            <w:r w:rsidRPr="00381A48">
              <w:rPr>
                <w:rFonts w:ascii="Roboto" w:eastAsia="Calibri" w:hAnsi="Roboto" w:cs="Calibri"/>
                <w:sz w:val="24"/>
                <w:szCs w:val="24"/>
                <w:lang w:val="en-US"/>
              </w:rPr>
              <w:t xml:space="preserve"> hemodynamic instability (</w:t>
            </w:r>
            <w:r w:rsidR="00D0682D">
              <w:rPr>
                <w:rFonts w:ascii="Roboto" w:eastAsia="Calibri" w:hAnsi="Roboto" w:cs="Calibri"/>
                <w:sz w:val="24"/>
                <w:szCs w:val="24"/>
                <w:lang w:val="en-US"/>
              </w:rPr>
              <w:t xml:space="preserve">use of vasopressors or inotropes, systolic bloodpressure&lt;80 mmHg, </w:t>
            </w:r>
            <w:r w:rsidR="00805A06">
              <w:rPr>
                <w:rFonts w:ascii="Roboto" w:eastAsia="Calibri" w:hAnsi="Roboto" w:cs="Calibri"/>
                <w:sz w:val="24"/>
                <w:szCs w:val="24"/>
                <w:lang w:val="en-US"/>
              </w:rPr>
              <w:t>significant bleeding, shock, severe anemia (</w:t>
            </w:r>
            <w:r w:rsidR="002C7FD6">
              <w:rPr>
                <w:rFonts w:ascii="Roboto" w:eastAsia="Calibri" w:hAnsi="Roboto" w:cs="Calibri"/>
                <w:sz w:val="24"/>
                <w:szCs w:val="24"/>
                <w:lang w:val="en-US"/>
              </w:rPr>
              <w:t>Hb&lt;4.3 mmol/L or hematocrite&lt;20% with parasite count&gt;10,000</w:t>
            </w:r>
            <w:r w:rsidR="00452E65">
              <w:rPr>
                <w:rFonts w:ascii="Roboto" w:eastAsia="Calibri" w:hAnsi="Roboto" w:cs="Calibri"/>
                <w:sz w:val="24"/>
                <w:szCs w:val="24"/>
                <w:lang w:val="en-US"/>
              </w:rPr>
              <w:t>/µL)</w:t>
            </w:r>
            <w:r w:rsidRPr="00381A48">
              <w:rPr>
                <w:rFonts w:ascii="Roboto" w:eastAsia="Calibri" w:hAnsi="Roboto" w:cs="Calibri"/>
                <w:sz w:val="24"/>
                <w:szCs w:val="24"/>
                <w:lang w:val="en-US"/>
              </w:rPr>
              <w:t xml:space="preserve"> and impaired consciousness (G</w:t>
            </w:r>
            <w:r w:rsidR="00452E65">
              <w:rPr>
                <w:rFonts w:ascii="Roboto" w:eastAsia="Calibri" w:hAnsi="Roboto" w:cs="Calibri"/>
                <w:sz w:val="24"/>
                <w:szCs w:val="24"/>
                <w:lang w:val="en-US"/>
              </w:rPr>
              <w:t>las</w:t>
            </w:r>
            <w:r w:rsidR="00610F9C">
              <w:rPr>
                <w:rFonts w:ascii="Roboto" w:eastAsia="Calibri" w:hAnsi="Roboto" w:cs="Calibri"/>
                <w:sz w:val="24"/>
                <w:szCs w:val="24"/>
                <w:lang w:val="en-US"/>
              </w:rPr>
              <w:t>gow Coma Scale</w:t>
            </w:r>
            <w:r w:rsidRPr="00381A48">
              <w:rPr>
                <w:rFonts w:ascii="Roboto" w:eastAsia="Calibri" w:hAnsi="Roboto" w:cs="Calibri"/>
                <w:sz w:val="24"/>
                <w:szCs w:val="24"/>
                <w:lang w:val="en-US"/>
              </w:rPr>
              <w:t xml:space="preserve"> &lt;11).</w:t>
            </w:r>
          </w:p>
          <w:p w14:paraId="7A4CF6D0" w14:textId="77777777" w:rsidR="001933EE" w:rsidRPr="00381A48" w:rsidRDefault="001933EE" w:rsidP="001979A1">
            <w:pPr>
              <w:rPr>
                <w:rFonts w:ascii="Roboto" w:hAnsi="Roboto"/>
                <w:sz w:val="24"/>
                <w:szCs w:val="24"/>
                <w:vertAlign w:val="superscript"/>
                <w:lang w:val="en-US"/>
              </w:rPr>
            </w:pPr>
          </w:p>
        </w:tc>
      </w:tr>
    </w:tbl>
    <w:p w14:paraId="3B034398" w14:textId="77777777" w:rsidR="006B22E4" w:rsidRPr="001933EE" w:rsidRDefault="006B22E4">
      <w:pPr>
        <w:rPr>
          <w:lang w:val="en-US"/>
        </w:rPr>
      </w:pPr>
    </w:p>
    <w:sectPr w:rsidR="006B22E4" w:rsidRPr="001933E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1FD033" w14:textId="77777777" w:rsidR="00830BB0" w:rsidRDefault="00830BB0" w:rsidP="008C5F12">
      <w:pPr>
        <w:spacing w:after="0" w:line="240" w:lineRule="auto"/>
      </w:pPr>
      <w:r>
        <w:separator/>
      </w:r>
    </w:p>
  </w:endnote>
  <w:endnote w:type="continuationSeparator" w:id="0">
    <w:p w14:paraId="4D5053ED" w14:textId="77777777" w:rsidR="00830BB0" w:rsidRDefault="00830BB0" w:rsidP="008C5F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21FE9" w14:textId="77777777" w:rsidR="008C5F12" w:rsidRDefault="008C5F1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0348A0" w14:textId="77777777" w:rsidR="008C5F12" w:rsidRDefault="008C5F1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D51AD" w14:textId="77777777" w:rsidR="008C5F12" w:rsidRDefault="008C5F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53D2F4" w14:textId="77777777" w:rsidR="00830BB0" w:rsidRDefault="00830BB0" w:rsidP="008C5F12">
      <w:pPr>
        <w:spacing w:after="0" w:line="240" w:lineRule="auto"/>
      </w:pPr>
      <w:r>
        <w:separator/>
      </w:r>
    </w:p>
  </w:footnote>
  <w:footnote w:type="continuationSeparator" w:id="0">
    <w:p w14:paraId="4292536E" w14:textId="77777777" w:rsidR="00830BB0" w:rsidRDefault="00830BB0" w:rsidP="008C5F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2799C" w14:textId="77777777" w:rsidR="008C5F12" w:rsidRDefault="008C5F1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41B78" w14:textId="77777777" w:rsidR="008C5F12" w:rsidRDefault="008C5F1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2B8C3" w14:textId="77777777" w:rsidR="008C5F12" w:rsidRDefault="008C5F1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22E4"/>
    <w:rsid w:val="001933EE"/>
    <w:rsid w:val="001979A1"/>
    <w:rsid w:val="002477EF"/>
    <w:rsid w:val="002C7FD6"/>
    <w:rsid w:val="00381A48"/>
    <w:rsid w:val="00397AA0"/>
    <w:rsid w:val="003A7850"/>
    <w:rsid w:val="003E721C"/>
    <w:rsid w:val="00452E65"/>
    <w:rsid w:val="00610F9C"/>
    <w:rsid w:val="006B22E4"/>
    <w:rsid w:val="00805A06"/>
    <w:rsid w:val="00830BB0"/>
    <w:rsid w:val="008A0748"/>
    <w:rsid w:val="008C5F12"/>
    <w:rsid w:val="008F7F12"/>
    <w:rsid w:val="00900A87"/>
    <w:rsid w:val="00926D0B"/>
    <w:rsid w:val="009D61D3"/>
    <w:rsid w:val="00A02C9C"/>
    <w:rsid w:val="00AA7157"/>
    <w:rsid w:val="00BD3918"/>
    <w:rsid w:val="00C01A42"/>
    <w:rsid w:val="00C6699D"/>
    <w:rsid w:val="00D0682D"/>
    <w:rsid w:val="00E47C02"/>
    <w:rsid w:val="00E74E17"/>
    <w:rsid w:val="00EE0DC7"/>
    <w:rsid w:val="00F804EC"/>
    <w:rsid w:val="00FA2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68F0965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C5F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5F12"/>
  </w:style>
  <w:style w:type="paragraph" w:styleId="Footer">
    <w:name w:val="footer"/>
    <w:basedOn w:val="Normal"/>
    <w:link w:val="FooterChar"/>
    <w:uiPriority w:val="99"/>
    <w:unhideWhenUsed/>
    <w:rsid w:val="008C5F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5F12"/>
  </w:style>
  <w:style w:type="table" w:styleId="TableGrid">
    <w:name w:val="Table Grid"/>
    <w:basedOn w:val="TableNormal"/>
    <w:uiPriority w:val="59"/>
    <w:rsid w:val="001933EE"/>
    <w:pPr>
      <w:spacing w:after="0" w:line="240" w:lineRule="auto"/>
    </w:pPr>
    <w:rPr>
      <w:rFonts w:eastAsiaTheme="minorEastAsia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911</Characters>
  <Application>Microsoft Office Word</Application>
  <DocSecurity>0</DocSecurity>
  <Lines>23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2025-04-03T18:01:00Z</dcterms:created>
  <dcterms:modified xsi:type="dcterms:W3CDTF">2025-04-04T08:32:00Z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8eb4d60bcf9a29b8d2422effd859a4969b026967c63736587eed22543bc472b9</vt:lpwstr>
  </property>
</Properties>
</file>