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bookmarkStart w:id="11" w:name="_GoBack"/>
      <w:bookmarkEnd w:id="11"/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Vitamin D Metabolites and Gut Microbiota Dietary Index Are Associated with Reduced All-Cause Mortality in US Adults: Evidence from a National Population-Based Study</w:t>
      </w:r>
    </w:p>
    <w:p>
      <w:pPr>
        <w:spacing w:line="48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vertAlign w:val="superscript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Q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iang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Zou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Bolin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Fu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Yongsheng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Gou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G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ang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Zhong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Yalan Liu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vertAlign w:val="superscript"/>
          <w:lang w:val="en-US" w:eastAsia="zh-CN"/>
        </w:rPr>
        <w:t>2,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vertAlign w:val="superscript"/>
          <w:lang w:val="en-US" w:eastAsia="zh-CN"/>
        </w:rPr>
        <w:t>*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i/>
          <w:iCs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i/>
          <w:iCs/>
          <w:sz w:val="24"/>
          <w:szCs w:val="24"/>
          <w:highlight w:val="none"/>
        </w:rPr>
        <w:t>Department of Orthopedics, The First People’s Hospital of Shuangliu District, Chengdu 610200, China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i/>
          <w:iCs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i/>
          <w:iCs/>
          <w:sz w:val="24"/>
          <w:szCs w:val="24"/>
          <w:highlight w:val="none"/>
          <w:vertAlign w:val="superscript"/>
          <w:lang w:val="en-US" w:eastAsia="zh-CN"/>
        </w:rPr>
        <w:t xml:space="preserve"> </w:t>
      </w:r>
      <w:bookmarkStart w:id="0" w:name="OLE_LINK1"/>
      <w:r>
        <w:rPr>
          <w:rFonts w:hint="default" w:ascii="Times New Roman" w:hAnsi="Times New Roman" w:cs="Times New Roman"/>
          <w:i/>
          <w:iCs/>
          <w:sz w:val="24"/>
          <w:szCs w:val="24"/>
          <w:highlight w:val="none"/>
        </w:rPr>
        <w:t>Nanan District Center for Disease Control and Prevention, Chongqing 401336, China</w:t>
      </w:r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vertAlign w:val="superscript"/>
        </w:rPr>
      </w:pP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vertAlign w:val="superscript"/>
          <w:lang w:val="en-US" w:eastAsia="zh-CN"/>
        </w:rPr>
        <w:t>3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 xml:space="preserve"> Department of Orthopedics, Orthopedic Research Institute, West China Hospital, Sichuan University, No. 37 Guo Xue Xiang, Chengdu, Sichuan, 610041, China</w:t>
      </w:r>
    </w:p>
    <w:p>
      <w:pPr>
        <w:spacing w:line="48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vertAlign w:val="superscript"/>
        </w:rPr>
        <w:t>*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Corresponding Author:</w:t>
      </w: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Yalan Liu  </w:t>
      </w: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bookmarkStart w:id="1" w:name="OLE_LINK12"/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Nanan District Center for Disease Control and Prevention, Chongqing 401336</w:t>
      </w:r>
      <w:bookmarkEnd w:id="1"/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, China</w:t>
      </w: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Email: 17321857829@163.com </w:t>
      </w:r>
    </w:p>
    <w:p>
      <w:pPr>
        <w:spacing w:line="48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ORCID: 0009-0000-2006-777X</w:t>
      </w:r>
    </w:p>
    <w:p>
      <w:pPr>
        <w:spacing w:line="48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Authors and Affiliations:</w:t>
      </w: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bookmarkStart w:id="2" w:name="OLE_LINK7"/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Q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iang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Zou</w:t>
      </w:r>
      <w:bookmarkEnd w:id="2"/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ab/>
      </w: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Department of Orthopedics, </w:t>
      </w:r>
      <w:bookmarkStart w:id="3" w:name="OLE_LINK8"/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The First People’s Hospital of Shuangliu District, Chengdu 610200, China</w:t>
      </w:r>
      <w:bookmarkEnd w:id="3"/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Email:zouqiang0108@163.com</w:t>
      </w: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Bolin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Fu </w:t>
      </w: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Department of Orthopedics,The First People’s Hospital of Shuangliu District, Chengdu 610200, China</w:t>
      </w: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Email: hxsongyueming@163.com</w:t>
      </w: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bookmarkStart w:id="4" w:name="OLE_LINK9"/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Yongsheng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Gou</w:t>
      </w:r>
      <w:bookmarkEnd w:id="4"/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Department of Orthopedics,The First People’s Hospital of Shuangliu District, Chengdu 610200, China</w:t>
      </w: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Email: hxzhouzhongjie@163.com</w:t>
      </w: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bookmarkStart w:id="5" w:name="OLE_LINK10"/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G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ang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Zhong</w:t>
      </w:r>
      <w:bookmarkEnd w:id="5"/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bookmarkStart w:id="6" w:name="OLE_LINK13"/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Department of Orthopedics, </w:t>
      </w:r>
      <w:bookmarkStart w:id="7" w:name="OLE_LINK11"/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Orthopedic Research Institute, West China Hospital, Sichuan University, No. 37 Guo Xue Xiang, Chengdu, Sichuan, 610041</w:t>
      </w:r>
      <w:bookmarkEnd w:id="7"/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, China</w:t>
      </w:r>
      <w:bookmarkEnd w:id="6"/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Email: hxdrwanglei@163.com</w:t>
      </w: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Yalan Liu  </w:t>
      </w: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Nanan District Center for Disease Control and Prevention, Chongqing 401336, China</w:t>
      </w: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Email: 17321857829@163.com </w:t>
      </w: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ORCID: 0009-0000-2006-777X  </w:t>
      </w:r>
    </w:p>
    <w:p>
      <w:pPr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Supplementary Table1 Mediation analysis for the associations between 25-hydroxyvitamin D3 and survival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restar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Independent variable</w:t>
            </w:r>
          </w:p>
        </w:tc>
        <w:tc>
          <w:tcPr>
            <w:vMerge w:val="restar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Mediator</w:t>
            </w:r>
          </w:p>
        </w:tc>
        <w:tc>
          <w:tcPr>
            <w:gridSpan w:val="2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Total effect</w:t>
            </w:r>
          </w:p>
        </w:tc>
        <w:tc>
          <w:tcPr>
            <w:gridSpan w:val="2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Indirect effect</w:t>
            </w:r>
          </w:p>
        </w:tc>
        <w:tc>
          <w:tcPr>
            <w:gridSpan w:val="2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Direct effect</w:t>
            </w:r>
          </w:p>
        </w:tc>
        <w:tc>
          <w:tcPr>
            <w:vMerge w:val="restar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Proportion mediated, % (95% CI)</w:t>
            </w:r>
          </w:p>
        </w:tc>
      </w:tr>
      <w:tr>
        <w:trPr>
          <w:trHeight w:val="0" w:hRule="atLeast"/>
          <w:tblHeader/>
          <w:jc w:val="center"/>
        </w:trPr>
        <w:tc>
          <w:tcPr>
            <w:vMerge w:val="continue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vMerge w:val="continue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Coefficient (95% CI)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P value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Coefficient (95% CI) 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P value 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Coefficient (95% CI)  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P value  </w:t>
            </w:r>
          </w:p>
        </w:tc>
        <w:tc>
          <w:tcPr>
            <w:vMerge w:val="continue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25-hydroxyvitamin D3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DI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GM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5.5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 (4.22, 7.14)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0.21 (0.0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, 0.3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5)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5.3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 (3.94, 6.9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)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3.7 (1.2, 7.1)</w:t>
            </w:r>
          </w:p>
        </w:tc>
      </w:tr>
      <w:tr>
        <w:trPr>
          <w:trHeight w:val="0" w:hRule="atLeast"/>
          <w:jc w:val="center"/>
        </w:trPr>
        <w:tc>
          <w:tcPr>
            <w:gridSpan w:val="9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left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The mediation analyses were adjusted for 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age, gender, race, education level, body mass index, family income-to-poverty ratio (PIR), smoking, drinking, hypertension, diabetes, and history of cancer or malignancy.</w:t>
            </w:r>
          </w:p>
        </w:tc>
      </w:tr>
    </w:tbl>
    <w:p>
      <w:pPr>
        <w:jc w:val="center"/>
        <w:rPr>
          <w:rFonts w:hint="eastAsia" w:ascii="Times New Roman" w:hAnsi="Times New Roman" w:cs="Times New Roman"/>
          <w:b/>
          <w:bCs/>
          <w:sz w:val="20"/>
          <w:szCs w:val="20"/>
        </w:rPr>
      </w:pPr>
    </w:p>
    <w:p>
      <w:pPr>
        <w:jc w:val="center"/>
        <w:rPr>
          <w:rFonts w:hint="eastAsia" w:ascii="Times New Roman" w:hAnsi="Times New Roman" w:cs="Times New Roman"/>
          <w:b/>
          <w:bCs/>
          <w:sz w:val="20"/>
          <w:szCs w:val="20"/>
        </w:rPr>
      </w:pPr>
    </w:p>
    <w:p>
      <w:pPr>
        <w:jc w:val="center"/>
        <w:rPr>
          <w:rFonts w:hint="eastAsia" w:ascii="Times New Roman" w:hAnsi="Times New Roman" w:cs="Times New Roman"/>
          <w:b/>
          <w:bCs/>
          <w:sz w:val="20"/>
          <w:szCs w:val="20"/>
        </w:rPr>
      </w:pPr>
    </w:p>
    <w:p>
      <w:pPr>
        <w:jc w:val="center"/>
        <w:rPr>
          <w:rFonts w:hint="eastAsia" w:ascii="Times New Roman" w:hAnsi="Times New Roman" w:cs="Times New Roman"/>
          <w:b/>
          <w:bCs/>
          <w:sz w:val="20"/>
          <w:szCs w:val="20"/>
        </w:rPr>
      </w:pP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Supplementary Table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 Mediation analysis for the associations between epi-25-hydroxyvitamin D3 and survival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rHeight w:val="0" w:hRule="atLeast"/>
          <w:tblHeader/>
          <w:jc w:val="center"/>
        </w:trPr>
        <w:tc>
          <w:tcPr>
            <w:vMerge w:val="restar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Independent variable</w:t>
            </w:r>
          </w:p>
        </w:tc>
        <w:tc>
          <w:tcPr>
            <w:vMerge w:val="restar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Mediator</w:t>
            </w:r>
          </w:p>
        </w:tc>
        <w:tc>
          <w:tcPr>
            <w:gridSpan w:val="2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Total effect</w:t>
            </w:r>
          </w:p>
        </w:tc>
        <w:tc>
          <w:tcPr>
            <w:gridSpan w:val="2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Indirect effect</w:t>
            </w:r>
          </w:p>
        </w:tc>
        <w:tc>
          <w:tcPr>
            <w:gridSpan w:val="2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Direct effect</w:t>
            </w:r>
          </w:p>
        </w:tc>
        <w:tc>
          <w:tcPr>
            <w:vMerge w:val="restar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Proportion mediated, % (95% CI)</w:t>
            </w:r>
          </w:p>
        </w:tc>
      </w:tr>
      <w:tr>
        <w:trPr>
          <w:trHeight w:val="0" w:hRule="atLeast"/>
          <w:tblHeader/>
          <w:jc w:val="center"/>
        </w:trPr>
        <w:tc>
          <w:tcPr>
            <w:vMerge w:val="continue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vMerge w:val="continue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Coefficient (95% CI)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P value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Coefficient (95% CI) 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P value 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Coefficient (95% CI)  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P value  </w:t>
            </w:r>
          </w:p>
        </w:tc>
        <w:tc>
          <w:tcPr>
            <w:vMerge w:val="continue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epi-25-hydroxyvitamin D3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DI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GM</w:t>
            </w:r>
          </w:p>
        </w:tc>
        <w:tc>
          <w:tcPr>
            <w:tcW w:w="144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56.97</w:t>
            </w: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 (34.25, 79.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)</w:t>
            </w:r>
          </w:p>
        </w:tc>
        <w:tc>
          <w:tcPr>
            <w:tcW w:w="144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144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1.50 (0.46, 2.7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)</w:t>
            </w:r>
          </w:p>
        </w:tc>
        <w:tc>
          <w:tcPr>
            <w:tcW w:w="144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144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55.4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 (32.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, 77.39)</w:t>
            </w:r>
          </w:p>
        </w:tc>
        <w:tc>
          <w:tcPr>
            <w:tcW w:w="144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144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2.6 (0.8, 5.0)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gridSpan w:val="9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left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The mediation analyses were adjusted for 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age, gender, race, education level, body mass index, family income-to-poverty ratio (PIR), smoking, drinking, hypertension, diabetes, and history of cancer or malignancy.</w:t>
            </w:r>
          </w:p>
        </w:tc>
      </w:tr>
    </w:tbl>
    <w:p>
      <w:pPr>
        <w:jc w:val="center"/>
        <w:rPr>
          <w:rFonts w:hint="eastAsia" w:ascii="Times New Roman" w:hAnsi="Times New Roman" w:cs="Times New Roman"/>
          <w:b/>
          <w:bCs/>
          <w:sz w:val="20"/>
          <w:szCs w:val="20"/>
        </w:rPr>
      </w:pP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Supplementary Table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 Mediation analysis for the associations between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v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tamin D and survival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rHeight w:val="0" w:hRule="atLeast"/>
          <w:tblHeader/>
          <w:jc w:val="center"/>
        </w:trPr>
        <w:tc>
          <w:tcPr>
            <w:vMerge w:val="restar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Independent variable</w:t>
            </w:r>
          </w:p>
        </w:tc>
        <w:tc>
          <w:tcPr>
            <w:vMerge w:val="restar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Mediator</w:t>
            </w:r>
          </w:p>
        </w:tc>
        <w:tc>
          <w:tcPr>
            <w:gridSpan w:val="2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Total effect</w:t>
            </w:r>
          </w:p>
        </w:tc>
        <w:tc>
          <w:tcPr>
            <w:gridSpan w:val="2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Indirect effect</w:t>
            </w:r>
          </w:p>
        </w:tc>
        <w:tc>
          <w:tcPr>
            <w:gridSpan w:val="2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Direct effect</w:t>
            </w:r>
          </w:p>
        </w:tc>
        <w:tc>
          <w:tcPr>
            <w:vMerge w:val="restar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Proportion mediated, % (95% CI)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continue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vMerge w:val="continue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Coefficient (95% CI)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P value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Coefficient (95% CI) 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P value 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Coefficient (95% CI)  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P value  </w:t>
            </w:r>
          </w:p>
        </w:tc>
        <w:tc>
          <w:tcPr>
            <w:vMerge w:val="continue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Vitamin D</w:t>
            </w:r>
          </w:p>
        </w:tc>
        <w:tc>
          <w:tcPr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DI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GM</w:t>
            </w:r>
          </w:p>
        </w:tc>
        <w:tc>
          <w:tcPr>
            <w:tcW w:w="144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5.32 (3.86, 6.76)</w:t>
            </w:r>
          </w:p>
        </w:tc>
        <w:tc>
          <w:tcPr>
            <w:tcW w:w="144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&lt;0.001</w:t>
            </w:r>
          </w:p>
        </w:tc>
        <w:tc>
          <w:tcPr>
            <w:tcW w:w="144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0.23 (0.07, 0.38)</w:t>
            </w:r>
          </w:p>
        </w:tc>
        <w:tc>
          <w:tcPr>
            <w:tcW w:w="144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&lt;0.001</w:t>
            </w:r>
          </w:p>
        </w:tc>
        <w:tc>
          <w:tcPr>
            <w:tcW w:w="144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5.08 (3.60, 6.59)</w:t>
            </w:r>
          </w:p>
        </w:tc>
        <w:tc>
          <w:tcPr>
            <w:tcW w:w="144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&lt;0.001</w:t>
            </w:r>
          </w:p>
        </w:tc>
        <w:tc>
          <w:tcPr>
            <w:tcW w:w="144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4.4 (1.1, 8.4)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gridSpan w:val="9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left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 xml:space="preserve">The mediation analyses were adjusted for 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age, gender, race, education level, body mass index, family income-to-poverty ratio (PIR), smoking, drinking, hypertension, diabetes, and history of cancer or malignancy.</w:t>
            </w:r>
          </w:p>
        </w:tc>
      </w:tr>
    </w:tbl>
    <w:p>
      <w:pPr>
        <w:rPr>
          <w:sz w:val="18"/>
          <w:szCs w:val="18"/>
        </w:rPr>
        <w:sectPr>
          <w:type w:val="continuous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numPr>
          <w:ilvl w:val="0"/>
          <w:numId w:val="1"/>
        </w:numPr>
        <w:spacing w:line="480" w:lineRule="auto"/>
        <w:rPr>
          <w:rFonts w:hint="eastAsia" w:ascii="Times New Roman" w:hAnsi="Times New Roman" w:cs="Times New Roman" w:eastAsiaTheme="minorEastAsia"/>
          <w:b/>
          <w:bCs/>
          <w:color w:val="FF0000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color w:val="FF0000"/>
          <w:sz w:val="24"/>
          <w:szCs w:val="24"/>
          <w:lang w:eastAsia="zh-CN"/>
        </w:rPr>
        <w:drawing>
          <wp:inline distT="0" distB="0" distL="114300" distR="114300">
            <wp:extent cx="4679950" cy="3977640"/>
            <wp:effectExtent l="0" t="0" r="13970" b="0"/>
            <wp:docPr id="1" name="图片 1" descr="Figure S1 (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 (A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397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480" w:lineRule="auto"/>
        <w:rPr>
          <w:rFonts w:hint="eastAsia" w:ascii="Times New Roman" w:hAnsi="Times New Roman" w:cs="Times New Roman" w:eastAsiaTheme="minorEastAsia"/>
          <w:b/>
          <w:bCs/>
          <w:color w:val="FF0000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color w:val="FF0000"/>
          <w:sz w:val="24"/>
          <w:szCs w:val="24"/>
          <w:lang w:eastAsia="zh-CN"/>
        </w:rPr>
        <w:drawing>
          <wp:inline distT="0" distB="0" distL="114300" distR="114300">
            <wp:extent cx="4679950" cy="3977640"/>
            <wp:effectExtent l="0" t="0" r="13970" b="0"/>
            <wp:docPr id="2" name="图片 2" descr="Figure S1 (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1 (A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397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480" w:lineRule="auto"/>
        <w:rPr>
          <w:rFonts w:hint="default"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b/>
          <w:bCs/>
          <w:color w:val="FF0000"/>
          <w:sz w:val="24"/>
          <w:szCs w:val="24"/>
          <w:lang w:eastAsia="zh-CN"/>
        </w:rPr>
        <w:drawing>
          <wp:inline distT="0" distB="0" distL="114300" distR="114300">
            <wp:extent cx="4679950" cy="4165600"/>
            <wp:effectExtent l="0" t="0" r="13970" b="10160"/>
            <wp:docPr id="3" name="图片 3" descr="Figure S1 (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1 (C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4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480" w:lineRule="auto"/>
        <w:rPr>
          <w:rFonts w:hint="default"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FF0000"/>
          <w:sz w:val="24"/>
          <w:szCs w:val="24"/>
        </w:rPr>
        <w:drawing>
          <wp:inline distT="0" distB="0" distL="114300" distR="114300">
            <wp:extent cx="4662805" cy="3918585"/>
            <wp:effectExtent l="0" t="0" r="635" b="13335"/>
            <wp:docPr id="4" name="图片 4" descr="DI-GM亚组分析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I-GM亚组分析_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2805" cy="391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bookmarkStart w:id="8" w:name="OLE_LINK4"/>
      <w:bookmarkStart w:id="9" w:name="OLE_LINK3"/>
      <w:r>
        <w:rPr>
          <w:rFonts w:hint="default" w:ascii="Times New Roman" w:hAnsi="Times New Roman" w:cs="Times New Roman"/>
          <w:b/>
          <w:bCs/>
          <w:color w:val="FF0000"/>
          <w:sz w:val="24"/>
          <w:szCs w:val="24"/>
        </w:rPr>
        <w:t>Supplementary Figure 1</w:t>
      </w:r>
      <w:bookmarkEnd w:id="8"/>
      <w:r>
        <w:rPr>
          <w:rFonts w:hint="default" w:ascii="Times New Roman" w:hAnsi="Times New Roman" w:cs="Times New Roman"/>
          <w:b/>
          <w:bCs/>
          <w:color w:val="FF0000"/>
          <w:sz w:val="24"/>
          <w:szCs w:val="24"/>
        </w:rPr>
        <w:t>.</w:t>
      </w:r>
      <w:r>
        <w:rPr>
          <w:rFonts w:hint="eastAsia" w:ascii="Times New Roman" w:hAnsi="Times New Roman" w:cs="Times New Roman"/>
          <w:color w:val="FF000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</w:rPr>
        <w:t xml:space="preserve">Subgroup analyses of the association between vitamin D metabolites, DI-GM, and all-cause mortality among US adults in NHANES 2005–2018. </w:t>
      </w:r>
      <w:bookmarkStart w:id="10" w:name="OLE_LINK2"/>
      <w:r>
        <w:rPr>
          <w:rFonts w:hint="default" w:ascii="Times New Roman" w:hAnsi="Times New Roman" w:cs="Times New Roman"/>
          <w:color w:val="FF0000"/>
          <w:sz w:val="24"/>
          <w:szCs w:val="24"/>
        </w:rPr>
        <w:t>Forest plots are presented for (A) 25-hydroxyvitamin D3, (B) 3-epi-25-hydroxyvitamin D3, (C) total vitamin D</w:t>
      </w:r>
      <w:r>
        <w:rPr>
          <w:rFonts w:hint="eastAsia" w:ascii="Times New Roman" w:hAnsi="Times New Roman" w:cs="Times New Roman"/>
          <w:color w:val="FF000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FF0000"/>
          <w:sz w:val="24"/>
          <w:szCs w:val="24"/>
        </w:rPr>
        <w:t>and (D) dietary index for gut microbiota (DI-GM)</w:t>
      </w:r>
      <w:r>
        <w:rPr>
          <w:rFonts w:hint="eastAsia" w:ascii="Times New Roman" w:hAnsi="Times New Roman" w:cs="Times New Roman"/>
          <w:color w:val="FF0000"/>
          <w:sz w:val="24"/>
          <w:szCs w:val="24"/>
          <w:lang w:val="en-US" w:eastAsia="zh-CN"/>
        </w:rPr>
        <w:t>.</w:t>
      </w:r>
      <w:bookmarkEnd w:id="10"/>
      <w:r>
        <w:rPr>
          <w:rFonts w:hint="default" w:ascii="Times New Roman" w:hAnsi="Times New Roman" w:cs="Times New Roman"/>
          <w:color w:val="FF0000"/>
          <w:sz w:val="24"/>
          <w:szCs w:val="24"/>
        </w:rPr>
        <w:t xml:space="preserve"> Forest plots show hazard ratios (HRs) and 95% confidence intervals (CIs) for all-cause mortality across stratified subgroups. Models were adjusted for age, gender, race, education level, body mass index (BMI), family income-to-poverty ratio (PIR), smoking status, drinking status, hypertension, diabetes, and history of cancer or malignancy—except for the variable used for stratification. P-values for interaction were calculated for each subgroup. Abbreviations: HR, hazard ratio; CI, confidence interval; BMI, body mass index; PIR, poverty income ratio. P&lt;0.05 indicates statistically significant interaction.</w:t>
      </w:r>
      <w:bookmarkEnd w:id="9"/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C350CD"/>
    <w:multiLevelType w:val="singleLevel"/>
    <w:tmpl w:val="1AC350CD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ZlNDA3YjRmMjMyMjBmOTZkNjlmZGNiOGQ1YjhjMzkifQ=="/>
    <w:docVar w:name="KSO_WPS_MARK_KEY" w:val="7ba77f7c-32ef-44df-9e45-24a589ae4033"/>
  </w:docVars>
  <w:rsids>
    <w:rsidRoot w:val="005963D7"/>
    <w:rsid w:val="000C38A2"/>
    <w:rsid w:val="001277EB"/>
    <w:rsid w:val="00130CBB"/>
    <w:rsid w:val="00136D5E"/>
    <w:rsid w:val="00147663"/>
    <w:rsid w:val="001C151F"/>
    <w:rsid w:val="00270212"/>
    <w:rsid w:val="002D4ACF"/>
    <w:rsid w:val="002E5E2F"/>
    <w:rsid w:val="00324989"/>
    <w:rsid w:val="00415E1F"/>
    <w:rsid w:val="00422B15"/>
    <w:rsid w:val="00457140"/>
    <w:rsid w:val="004B22AA"/>
    <w:rsid w:val="004C4307"/>
    <w:rsid w:val="004C6071"/>
    <w:rsid w:val="004E3B7D"/>
    <w:rsid w:val="00512753"/>
    <w:rsid w:val="005963D7"/>
    <w:rsid w:val="005C1F3F"/>
    <w:rsid w:val="00603F43"/>
    <w:rsid w:val="00627C99"/>
    <w:rsid w:val="006827A3"/>
    <w:rsid w:val="006D48C1"/>
    <w:rsid w:val="00777632"/>
    <w:rsid w:val="007861FE"/>
    <w:rsid w:val="007C3963"/>
    <w:rsid w:val="00830032"/>
    <w:rsid w:val="009666D3"/>
    <w:rsid w:val="00A32B60"/>
    <w:rsid w:val="00A42138"/>
    <w:rsid w:val="00A73098"/>
    <w:rsid w:val="00AD74AA"/>
    <w:rsid w:val="00B466ED"/>
    <w:rsid w:val="00B94161"/>
    <w:rsid w:val="00BA2325"/>
    <w:rsid w:val="00C245C4"/>
    <w:rsid w:val="00C435CD"/>
    <w:rsid w:val="00C57C8F"/>
    <w:rsid w:val="00C66D71"/>
    <w:rsid w:val="00CA7545"/>
    <w:rsid w:val="00CF0A38"/>
    <w:rsid w:val="00D62A6B"/>
    <w:rsid w:val="00DB2A9D"/>
    <w:rsid w:val="00E11922"/>
    <w:rsid w:val="00E34263"/>
    <w:rsid w:val="00E86ED6"/>
    <w:rsid w:val="00ED3BFE"/>
    <w:rsid w:val="00EE7FF1"/>
    <w:rsid w:val="00F37C14"/>
    <w:rsid w:val="052863B1"/>
    <w:rsid w:val="0A070B25"/>
    <w:rsid w:val="0D9C676A"/>
    <w:rsid w:val="0ED656F6"/>
    <w:rsid w:val="15571752"/>
    <w:rsid w:val="1DB7314C"/>
    <w:rsid w:val="1F8765F7"/>
    <w:rsid w:val="21B72F49"/>
    <w:rsid w:val="29086F52"/>
    <w:rsid w:val="2EF51D26"/>
    <w:rsid w:val="2F067A90"/>
    <w:rsid w:val="310E3521"/>
    <w:rsid w:val="34B96DBB"/>
    <w:rsid w:val="3EB26618"/>
    <w:rsid w:val="45DB5038"/>
    <w:rsid w:val="589A65D5"/>
    <w:rsid w:val="5B4672E2"/>
    <w:rsid w:val="5BED05B8"/>
    <w:rsid w:val="60C559BC"/>
    <w:rsid w:val="64941A88"/>
    <w:rsid w:val="69C02D62"/>
    <w:rsid w:val="74D97740"/>
    <w:rsid w:val="7E935CDA"/>
    <w:rsid w:val="7F12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customStyle="1" w:styleId="8">
    <w:name w:val="三线表"/>
    <w:basedOn w:val="4"/>
    <w:qFormat/>
    <w:uiPriority w:val="99"/>
    <w:tblPr>
      <w:tblBorders>
        <w:top w:val="single" w:color="auto" w:sz="6" w:space="0"/>
        <w:bottom w:val="single" w:color="auto" w:sz="6" w:space="0"/>
      </w:tblBorders>
    </w:tblPr>
  </w:style>
  <w:style w:type="table" w:customStyle="1" w:styleId="9">
    <w:name w:val="样式1"/>
    <w:basedOn w:val="4"/>
    <w:qFormat/>
    <w:uiPriority w:val="99"/>
    <w:tblPr>
      <w:tblBorders>
        <w:top w:val="single" w:color="auto" w:sz="4" w:space="0"/>
        <w:bottom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577</Words>
  <Characters>3738</Characters>
  <Lines>44</Lines>
  <Paragraphs>12</Paragraphs>
  <TotalTime>35</TotalTime>
  <ScaleCrop>false</ScaleCrop>
  <LinksUpToDate>false</LinksUpToDate>
  <CharactersWithSpaces>4250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2023-03-21T07:43:00Z</dcterms:created>
  <dc:creator>1776188050@qq.com</dc:creator>
  <cp:lastModifiedBy>刘小雅</cp:lastModifiedBy>
  <dcterms:modified xsi:type="dcterms:W3CDTF">2025-09-18T13:22:57Z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8FA1EE3D09144AB2897983797F04BB51</vt:lpwstr>
  </property>
  <property fmtid="{D5CDD505-2E9C-101B-9397-08002B2CF9AE}" pid="4" name="KSOTemplateDocerSaveRecord">
    <vt:lpwstr>eyJoZGlkIjoiMGE2Y2I1NWQ0ZjNlOWJjODE1ZjQ5YWYxMzhlNjhiZWMiLCJ1c2VySWQiOiI2NDQ0MzM4In0=</vt:lpwstr>
  </property>
</Properties>
</file>