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10B5" w14:textId="6EDD8AF3" w:rsidR="004D26AE" w:rsidRDefault="006C1860">
      <w:r>
        <w:t xml:space="preserve">Supplementary file 2: Additional information on the characteristics of included studies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098"/>
        <w:gridCol w:w="1889"/>
        <w:gridCol w:w="2062"/>
        <w:gridCol w:w="1386"/>
      </w:tblGrid>
      <w:tr w:rsidR="00D57E75" w:rsidRPr="006C1860" w14:paraId="3AEC525E" w14:textId="77777777" w:rsidTr="009E2442">
        <w:tc>
          <w:tcPr>
            <w:tcW w:w="2515" w:type="dxa"/>
            <w:hideMark/>
          </w:tcPr>
          <w:p w14:paraId="519589B1" w14:textId="77777777" w:rsidR="006C1860" w:rsidRPr="006C1860" w:rsidRDefault="006C1860" w:rsidP="00D57E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Authors (year)</w:t>
            </w:r>
          </w:p>
        </w:tc>
        <w:tc>
          <w:tcPr>
            <w:tcW w:w="5098" w:type="dxa"/>
            <w:hideMark/>
          </w:tcPr>
          <w:p w14:paraId="70D01D58" w14:textId="77777777" w:rsidR="006C1860" w:rsidRPr="006C1860" w:rsidRDefault="006C1860" w:rsidP="00D57E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 group description</w:t>
            </w:r>
          </w:p>
        </w:tc>
        <w:tc>
          <w:tcPr>
            <w:tcW w:w="0" w:type="auto"/>
            <w:hideMark/>
          </w:tcPr>
          <w:p w14:paraId="7B02B532" w14:textId="77777777" w:rsidR="006C1860" w:rsidRPr="006C1860" w:rsidRDefault="006C1860" w:rsidP="00D57E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Fortification sample (n)</w:t>
            </w:r>
          </w:p>
        </w:tc>
        <w:tc>
          <w:tcPr>
            <w:tcW w:w="0" w:type="auto"/>
            <w:hideMark/>
          </w:tcPr>
          <w:p w14:paraId="31EE45A9" w14:textId="77777777" w:rsidR="006C1860" w:rsidRPr="006C1860" w:rsidRDefault="006C1860" w:rsidP="00D57E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Pre-fortification sample (n)</w:t>
            </w:r>
          </w:p>
        </w:tc>
        <w:tc>
          <w:tcPr>
            <w:tcW w:w="0" w:type="auto"/>
            <w:hideMark/>
          </w:tcPr>
          <w:p w14:paraId="1CF34009" w14:textId="77777777" w:rsidR="006C1860" w:rsidRPr="006C1860" w:rsidRDefault="006C1860" w:rsidP="00D57E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8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sample (n)</w:t>
            </w:r>
          </w:p>
        </w:tc>
      </w:tr>
      <w:tr w:rsidR="00D57E75" w:rsidRPr="006C1860" w14:paraId="0D91027C" w14:textId="77777777" w:rsidTr="009E2442">
        <w:tc>
          <w:tcPr>
            <w:tcW w:w="2515" w:type="dxa"/>
            <w:hideMark/>
          </w:tcPr>
          <w:p w14:paraId="1720A35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Ray et al. (2002)</w:t>
            </w:r>
          </w:p>
        </w:tc>
        <w:tc>
          <w:tcPr>
            <w:tcW w:w="5098" w:type="dxa"/>
            <w:hideMark/>
          </w:tcPr>
          <w:p w14:paraId="5A27D7A3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 (Canada, after 1998); Control: pre-fortification</w:t>
            </w:r>
          </w:p>
        </w:tc>
        <w:tc>
          <w:tcPr>
            <w:tcW w:w="0" w:type="auto"/>
            <w:hideMark/>
          </w:tcPr>
          <w:p w14:paraId="4588728A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117,986</w:t>
            </w:r>
          </w:p>
        </w:tc>
        <w:tc>
          <w:tcPr>
            <w:tcW w:w="0" w:type="auto"/>
            <w:hideMark/>
          </w:tcPr>
          <w:p w14:paraId="1E9EE84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218,977</w:t>
            </w:r>
          </w:p>
        </w:tc>
        <w:tc>
          <w:tcPr>
            <w:tcW w:w="0" w:type="auto"/>
            <w:hideMark/>
          </w:tcPr>
          <w:p w14:paraId="5142DFD0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336,963</w:t>
            </w:r>
          </w:p>
        </w:tc>
      </w:tr>
      <w:tr w:rsidR="00D57E75" w:rsidRPr="006C1860" w14:paraId="4BEC3E2D" w14:textId="77777777" w:rsidTr="009E2442">
        <w:tc>
          <w:tcPr>
            <w:tcW w:w="2515" w:type="dxa"/>
            <w:hideMark/>
          </w:tcPr>
          <w:p w14:paraId="0F19134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Persad et al. (2002)</w:t>
            </w:r>
          </w:p>
        </w:tc>
        <w:tc>
          <w:tcPr>
            <w:tcW w:w="5098" w:type="dxa"/>
            <w:hideMark/>
          </w:tcPr>
          <w:p w14:paraId="5006836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post-fortification/supplement users; Control: pre-fortification/non-users</w:t>
            </w:r>
          </w:p>
        </w:tc>
        <w:tc>
          <w:tcPr>
            <w:tcW w:w="0" w:type="auto"/>
            <w:hideMark/>
          </w:tcPr>
          <w:p w14:paraId="24EB1D98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29,010</w:t>
            </w:r>
          </w:p>
        </w:tc>
        <w:tc>
          <w:tcPr>
            <w:tcW w:w="0" w:type="auto"/>
            <w:hideMark/>
          </w:tcPr>
          <w:p w14:paraId="6ADB25A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31,777</w:t>
            </w:r>
          </w:p>
        </w:tc>
        <w:tc>
          <w:tcPr>
            <w:tcW w:w="0" w:type="auto"/>
            <w:hideMark/>
          </w:tcPr>
          <w:p w14:paraId="743FBAC0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60,787</w:t>
            </w:r>
          </w:p>
        </w:tc>
      </w:tr>
      <w:tr w:rsidR="00D57E75" w:rsidRPr="006C1860" w14:paraId="23A5ECD9" w14:textId="77777777" w:rsidTr="009E2442">
        <w:tc>
          <w:tcPr>
            <w:tcW w:w="2515" w:type="dxa"/>
            <w:hideMark/>
          </w:tcPr>
          <w:p w14:paraId="411A29E0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Castilla et al. (2003)</w:t>
            </w:r>
          </w:p>
        </w:tc>
        <w:tc>
          <w:tcPr>
            <w:tcW w:w="5098" w:type="dxa"/>
            <w:hideMark/>
          </w:tcPr>
          <w:p w14:paraId="23C554F0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exposed/post-fortification; Control: unexposed/pre-fortification</w:t>
            </w:r>
          </w:p>
        </w:tc>
        <w:tc>
          <w:tcPr>
            <w:tcW w:w="0" w:type="auto"/>
            <w:hideMark/>
          </w:tcPr>
          <w:p w14:paraId="64583781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24,439</w:t>
            </w:r>
          </w:p>
        </w:tc>
        <w:tc>
          <w:tcPr>
            <w:tcW w:w="0" w:type="auto"/>
            <w:hideMark/>
          </w:tcPr>
          <w:p w14:paraId="2756322C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119,567</w:t>
            </w:r>
          </w:p>
        </w:tc>
        <w:tc>
          <w:tcPr>
            <w:tcW w:w="0" w:type="auto"/>
            <w:hideMark/>
          </w:tcPr>
          <w:p w14:paraId="30CF8173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144,006</w:t>
            </w:r>
          </w:p>
        </w:tc>
      </w:tr>
      <w:tr w:rsidR="00D57E75" w:rsidRPr="006C1860" w14:paraId="6B004DDB" w14:textId="77777777" w:rsidTr="009E2442">
        <w:tc>
          <w:tcPr>
            <w:tcW w:w="2515" w:type="dxa"/>
            <w:hideMark/>
          </w:tcPr>
          <w:p w14:paraId="2F7C1308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Liu et al. (2004)</w:t>
            </w:r>
          </w:p>
        </w:tc>
        <w:tc>
          <w:tcPr>
            <w:tcW w:w="5098" w:type="dxa"/>
            <w:hideMark/>
          </w:tcPr>
          <w:p w14:paraId="45F2D759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 (Chile, after Jan 2000); Control: pre-fortification</w:t>
            </w:r>
          </w:p>
        </w:tc>
        <w:tc>
          <w:tcPr>
            <w:tcW w:w="0" w:type="auto"/>
            <w:hideMark/>
          </w:tcPr>
          <w:p w14:paraId="103C4914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19,816</w:t>
            </w:r>
          </w:p>
        </w:tc>
        <w:tc>
          <w:tcPr>
            <w:tcW w:w="0" w:type="auto"/>
            <w:hideMark/>
          </w:tcPr>
          <w:p w14:paraId="73CC2C46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23,594</w:t>
            </w:r>
          </w:p>
        </w:tc>
        <w:tc>
          <w:tcPr>
            <w:tcW w:w="0" w:type="auto"/>
            <w:hideMark/>
          </w:tcPr>
          <w:p w14:paraId="7ACB797B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43,410</w:t>
            </w:r>
          </w:p>
        </w:tc>
      </w:tr>
      <w:tr w:rsidR="00D57E75" w:rsidRPr="006C1860" w14:paraId="2E26A648" w14:textId="77777777" w:rsidTr="009E2442">
        <w:tc>
          <w:tcPr>
            <w:tcW w:w="2515" w:type="dxa"/>
            <w:hideMark/>
          </w:tcPr>
          <w:p w14:paraId="05B7B33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López-Camelo et al. (2005)</w:t>
            </w:r>
          </w:p>
        </w:tc>
        <w:tc>
          <w:tcPr>
            <w:tcW w:w="5098" w:type="dxa"/>
            <w:hideMark/>
          </w:tcPr>
          <w:p w14:paraId="7363D531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post-fortification; Control: pre-fortification</w:t>
            </w:r>
          </w:p>
        </w:tc>
        <w:tc>
          <w:tcPr>
            <w:tcW w:w="0" w:type="auto"/>
            <w:hideMark/>
          </w:tcPr>
          <w:p w14:paraId="57F6B52E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113,268</w:t>
            </w:r>
          </w:p>
        </w:tc>
        <w:tc>
          <w:tcPr>
            <w:tcW w:w="0" w:type="auto"/>
            <w:hideMark/>
          </w:tcPr>
          <w:p w14:paraId="2E9193A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176,958</w:t>
            </w:r>
          </w:p>
        </w:tc>
        <w:tc>
          <w:tcPr>
            <w:tcW w:w="0" w:type="auto"/>
            <w:hideMark/>
          </w:tcPr>
          <w:p w14:paraId="21D9733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290,226</w:t>
            </w:r>
          </w:p>
        </w:tc>
      </w:tr>
      <w:tr w:rsidR="00D57E75" w:rsidRPr="006C1860" w14:paraId="677085EB" w14:textId="77777777" w:rsidTr="009E2442">
        <w:tc>
          <w:tcPr>
            <w:tcW w:w="2515" w:type="dxa"/>
            <w:hideMark/>
          </w:tcPr>
          <w:p w14:paraId="1BC5D7B3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Godwin et al. (2008)</w:t>
            </w:r>
          </w:p>
        </w:tc>
        <w:tc>
          <w:tcPr>
            <w:tcW w:w="5098" w:type="dxa"/>
            <w:hideMark/>
          </w:tcPr>
          <w:p w14:paraId="0FF0A2B5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fortification/campaign; Control: pre-exposure</w:t>
            </w:r>
          </w:p>
        </w:tc>
        <w:tc>
          <w:tcPr>
            <w:tcW w:w="0" w:type="auto"/>
            <w:hideMark/>
          </w:tcPr>
          <w:p w14:paraId="1D9EA178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191,028</w:t>
            </w:r>
          </w:p>
        </w:tc>
        <w:tc>
          <w:tcPr>
            <w:tcW w:w="0" w:type="auto"/>
            <w:hideMark/>
          </w:tcPr>
          <w:p w14:paraId="69A53668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198,321</w:t>
            </w:r>
          </w:p>
        </w:tc>
        <w:tc>
          <w:tcPr>
            <w:tcW w:w="0" w:type="auto"/>
            <w:hideMark/>
          </w:tcPr>
          <w:p w14:paraId="02252E5E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389,349</w:t>
            </w:r>
          </w:p>
        </w:tc>
      </w:tr>
      <w:tr w:rsidR="00D57E75" w:rsidRPr="006C1860" w14:paraId="5152D220" w14:textId="77777777" w:rsidTr="009E2442">
        <w:tc>
          <w:tcPr>
            <w:tcW w:w="2515" w:type="dxa"/>
            <w:hideMark/>
          </w:tcPr>
          <w:p w14:paraId="62CE63E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Amarin &amp; Obeidat (2010)</w:t>
            </w:r>
          </w:p>
        </w:tc>
        <w:tc>
          <w:tcPr>
            <w:tcW w:w="5098" w:type="dxa"/>
            <w:hideMark/>
          </w:tcPr>
          <w:p w14:paraId="22DCB75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Period-based comparison: post-fortification vs pre-fortification</w:t>
            </w:r>
          </w:p>
        </w:tc>
        <w:tc>
          <w:tcPr>
            <w:tcW w:w="0" w:type="auto"/>
            <w:hideMark/>
          </w:tcPr>
          <w:p w14:paraId="0871830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16,769</w:t>
            </w:r>
          </w:p>
        </w:tc>
        <w:tc>
          <w:tcPr>
            <w:tcW w:w="0" w:type="auto"/>
            <w:hideMark/>
          </w:tcPr>
          <w:p w14:paraId="05BD87C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18,392</w:t>
            </w:r>
          </w:p>
        </w:tc>
        <w:tc>
          <w:tcPr>
            <w:tcW w:w="0" w:type="auto"/>
            <w:hideMark/>
          </w:tcPr>
          <w:p w14:paraId="530DBE85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35,161</w:t>
            </w:r>
          </w:p>
        </w:tc>
      </w:tr>
      <w:tr w:rsidR="00D57E75" w:rsidRPr="006C1860" w14:paraId="611612BE" w14:textId="77777777" w:rsidTr="009E2442">
        <w:tc>
          <w:tcPr>
            <w:tcW w:w="2515" w:type="dxa"/>
            <w:hideMark/>
          </w:tcPr>
          <w:p w14:paraId="7153FF59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Cortés et al. (2012)</w:t>
            </w:r>
          </w:p>
        </w:tc>
        <w:tc>
          <w:tcPr>
            <w:tcW w:w="5098" w:type="dxa"/>
            <w:hideMark/>
          </w:tcPr>
          <w:p w14:paraId="3E77DE7C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Chile fortification period; Control: pre-fortification</w:t>
            </w:r>
          </w:p>
        </w:tc>
        <w:tc>
          <w:tcPr>
            <w:tcW w:w="0" w:type="auto"/>
            <w:hideMark/>
          </w:tcPr>
          <w:p w14:paraId="179F1D48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489,915</w:t>
            </w:r>
          </w:p>
        </w:tc>
        <w:tc>
          <w:tcPr>
            <w:tcW w:w="0" w:type="auto"/>
            <w:hideMark/>
          </w:tcPr>
          <w:p w14:paraId="4E330BA7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120,566</w:t>
            </w:r>
          </w:p>
        </w:tc>
        <w:tc>
          <w:tcPr>
            <w:tcW w:w="0" w:type="auto"/>
            <w:hideMark/>
          </w:tcPr>
          <w:p w14:paraId="1752DDD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610,481</w:t>
            </w:r>
          </w:p>
        </w:tc>
      </w:tr>
      <w:tr w:rsidR="00D57E75" w:rsidRPr="006C1860" w14:paraId="765CC4C2" w14:textId="77777777" w:rsidTr="009E2442">
        <w:tc>
          <w:tcPr>
            <w:tcW w:w="2515" w:type="dxa"/>
            <w:hideMark/>
          </w:tcPr>
          <w:p w14:paraId="26D9EA5A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Tarqui-Mamani et al. (2016)</w:t>
            </w:r>
          </w:p>
        </w:tc>
        <w:tc>
          <w:tcPr>
            <w:tcW w:w="5098" w:type="dxa"/>
            <w:hideMark/>
          </w:tcPr>
          <w:p w14:paraId="110044AE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post-fortification; Control: pre-fortification</w:t>
            </w:r>
          </w:p>
        </w:tc>
        <w:tc>
          <w:tcPr>
            <w:tcW w:w="0" w:type="auto"/>
            <w:hideMark/>
          </w:tcPr>
          <w:p w14:paraId="525793B6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88,506</w:t>
            </w:r>
          </w:p>
        </w:tc>
        <w:tc>
          <w:tcPr>
            <w:tcW w:w="0" w:type="auto"/>
            <w:hideMark/>
          </w:tcPr>
          <w:p w14:paraId="04CA986B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94,117</w:t>
            </w:r>
          </w:p>
        </w:tc>
        <w:tc>
          <w:tcPr>
            <w:tcW w:w="0" w:type="auto"/>
            <w:hideMark/>
          </w:tcPr>
          <w:p w14:paraId="6B45F88A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182,623</w:t>
            </w:r>
          </w:p>
        </w:tc>
      </w:tr>
      <w:tr w:rsidR="00D57E75" w:rsidRPr="006C1860" w14:paraId="2D6FE095" w14:textId="77777777" w:rsidTr="009E2442">
        <w:tc>
          <w:tcPr>
            <w:tcW w:w="2515" w:type="dxa"/>
            <w:hideMark/>
          </w:tcPr>
          <w:p w14:paraId="5FF545C7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Barboza-</w:t>
            </w:r>
            <w:proofErr w:type="spellStart"/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Argüello</w:t>
            </w:r>
            <w:proofErr w:type="spellEnd"/>
            <w:r w:rsidRPr="006C1860">
              <w:rPr>
                <w:rFonts w:ascii="Times New Roman" w:hAnsi="Times New Roman" w:cs="Times New Roman"/>
                <w:sz w:val="18"/>
                <w:szCs w:val="18"/>
              </w:rPr>
              <w:t xml:space="preserve"> et al. (2015)</w:t>
            </w:r>
          </w:p>
        </w:tc>
        <w:tc>
          <w:tcPr>
            <w:tcW w:w="5098" w:type="dxa"/>
            <w:hideMark/>
          </w:tcPr>
          <w:p w14:paraId="5F82D48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 (US after 1998); Control: pre-fortification</w:t>
            </w:r>
          </w:p>
        </w:tc>
        <w:tc>
          <w:tcPr>
            <w:tcW w:w="0" w:type="auto"/>
            <w:hideMark/>
          </w:tcPr>
          <w:p w14:paraId="391F6AA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731,250</w:t>
            </w:r>
          </w:p>
        </w:tc>
        <w:tc>
          <w:tcPr>
            <w:tcW w:w="0" w:type="auto"/>
            <w:hideMark/>
          </w:tcPr>
          <w:p w14:paraId="054C3476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640,816</w:t>
            </w:r>
          </w:p>
        </w:tc>
        <w:tc>
          <w:tcPr>
            <w:tcW w:w="0" w:type="auto"/>
            <w:hideMark/>
          </w:tcPr>
          <w:p w14:paraId="57853C87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1,372,066</w:t>
            </w:r>
          </w:p>
        </w:tc>
      </w:tr>
      <w:tr w:rsidR="00D57E75" w:rsidRPr="006C1860" w14:paraId="038E9DB4" w14:textId="77777777" w:rsidTr="009E2442">
        <w:tc>
          <w:tcPr>
            <w:tcW w:w="2515" w:type="dxa"/>
            <w:hideMark/>
          </w:tcPr>
          <w:p w14:paraId="3807904B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Williams et al. (2015)</w:t>
            </w:r>
          </w:p>
        </w:tc>
        <w:tc>
          <w:tcPr>
            <w:tcW w:w="5098" w:type="dxa"/>
            <w:hideMark/>
          </w:tcPr>
          <w:p w14:paraId="153750C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 surveillance; Control: pre-fortification</w:t>
            </w:r>
          </w:p>
        </w:tc>
        <w:tc>
          <w:tcPr>
            <w:tcW w:w="0" w:type="auto"/>
            <w:hideMark/>
          </w:tcPr>
          <w:p w14:paraId="0621EF35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4,101,490</w:t>
            </w:r>
          </w:p>
        </w:tc>
        <w:tc>
          <w:tcPr>
            <w:tcW w:w="0" w:type="auto"/>
            <w:hideMark/>
          </w:tcPr>
          <w:p w14:paraId="5EE277BA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3,895,542</w:t>
            </w:r>
          </w:p>
        </w:tc>
        <w:tc>
          <w:tcPr>
            <w:tcW w:w="0" w:type="auto"/>
            <w:hideMark/>
          </w:tcPr>
          <w:p w14:paraId="3118129B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7,997,032</w:t>
            </w:r>
          </w:p>
        </w:tc>
      </w:tr>
      <w:tr w:rsidR="00D57E75" w:rsidRPr="006C1860" w14:paraId="7480D907" w14:textId="77777777" w:rsidTr="009E2442">
        <w:tc>
          <w:tcPr>
            <w:tcW w:w="2515" w:type="dxa"/>
            <w:hideMark/>
          </w:tcPr>
          <w:p w14:paraId="1144AA41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Santos et al. (2016)</w:t>
            </w:r>
          </w:p>
        </w:tc>
        <w:tc>
          <w:tcPr>
            <w:tcW w:w="5098" w:type="dxa"/>
            <w:hideMark/>
          </w:tcPr>
          <w:p w14:paraId="12444B5E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post-fortification; Control: pre-fortification</w:t>
            </w:r>
          </w:p>
        </w:tc>
        <w:tc>
          <w:tcPr>
            <w:tcW w:w="0" w:type="auto"/>
            <w:hideMark/>
          </w:tcPr>
          <w:p w14:paraId="610C2120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13,117,123</w:t>
            </w:r>
          </w:p>
        </w:tc>
        <w:tc>
          <w:tcPr>
            <w:tcW w:w="0" w:type="auto"/>
            <w:hideMark/>
          </w:tcPr>
          <w:p w14:paraId="295FA982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5,003,464</w:t>
            </w:r>
          </w:p>
        </w:tc>
        <w:tc>
          <w:tcPr>
            <w:tcW w:w="0" w:type="auto"/>
            <w:hideMark/>
          </w:tcPr>
          <w:p w14:paraId="55F6B4B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18,120,587</w:t>
            </w:r>
          </w:p>
        </w:tc>
      </w:tr>
      <w:tr w:rsidR="00D57E75" w:rsidRPr="006C1860" w14:paraId="0B73E14C" w14:textId="77777777" w:rsidTr="009E2442">
        <w:tc>
          <w:tcPr>
            <w:tcW w:w="2515" w:type="dxa"/>
            <w:hideMark/>
          </w:tcPr>
          <w:p w14:paraId="0E12D2FD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Hilder (2016)</w:t>
            </w:r>
          </w:p>
        </w:tc>
        <w:tc>
          <w:tcPr>
            <w:tcW w:w="5098" w:type="dxa"/>
            <w:hideMark/>
          </w:tcPr>
          <w:p w14:paraId="0334E7B1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fortification/supplement era; Control: pre-exposure</w:t>
            </w:r>
          </w:p>
        </w:tc>
        <w:tc>
          <w:tcPr>
            <w:tcW w:w="0" w:type="auto"/>
            <w:hideMark/>
          </w:tcPr>
          <w:p w14:paraId="1FA9121F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176,786</w:t>
            </w:r>
          </w:p>
        </w:tc>
        <w:tc>
          <w:tcPr>
            <w:tcW w:w="0" w:type="auto"/>
            <w:hideMark/>
          </w:tcPr>
          <w:p w14:paraId="3428F82C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232,031</w:t>
            </w:r>
          </w:p>
        </w:tc>
        <w:tc>
          <w:tcPr>
            <w:tcW w:w="0" w:type="auto"/>
            <w:hideMark/>
          </w:tcPr>
          <w:p w14:paraId="22C5705A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408,817</w:t>
            </w:r>
          </w:p>
        </w:tc>
      </w:tr>
      <w:tr w:rsidR="00D57E75" w:rsidRPr="006C1860" w14:paraId="1BA158C1" w14:textId="77777777" w:rsidTr="009E2442">
        <w:tc>
          <w:tcPr>
            <w:tcW w:w="2515" w:type="dxa"/>
            <w:hideMark/>
          </w:tcPr>
          <w:p w14:paraId="7796E7B7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Poletta et al. (2018)</w:t>
            </w:r>
          </w:p>
        </w:tc>
        <w:tc>
          <w:tcPr>
            <w:tcW w:w="5098" w:type="dxa"/>
            <w:hideMark/>
          </w:tcPr>
          <w:p w14:paraId="73443FC7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Treatment: post-fortification; Control: pre-fortification</w:t>
            </w:r>
          </w:p>
        </w:tc>
        <w:tc>
          <w:tcPr>
            <w:tcW w:w="0" w:type="auto"/>
            <w:hideMark/>
          </w:tcPr>
          <w:p w14:paraId="1C4FAF81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712,162</w:t>
            </w:r>
          </w:p>
        </w:tc>
        <w:tc>
          <w:tcPr>
            <w:tcW w:w="0" w:type="auto"/>
            <w:hideMark/>
          </w:tcPr>
          <w:p w14:paraId="380CA53B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1,526,399</w:t>
            </w:r>
          </w:p>
        </w:tc>
        <w:tc>
          <w:tcPr>
            <w:tcW w:w="0" w:type="auto"/>
            <w:hideMark/>
          </w:tcPr>
          <w:p w14:paraId="582B9935" w14:textId="77777777" w:rsidR="006C1860" w:rsidRPr="006C1860" w:rsidRDefault="006C1860" w:rsidP="007965C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860">
              <w:rPr>
                <w:rFonts w:ascii="Times New Roman" w:hAnsi="Times New Roman" w:cs="Times New Roman"/>
                <w:sz w:val="18"/>
                <w:szCs w:val="18"/>
              </w:rPr>
              <w:t>2,238,561</w:t>
            </w:r>
          </w:p>
        </w:tc>
      </w:tr>
    </w:tbl>
    <w:p w14:paraId="1D0B324E" w14:textId="77777777" w:rsidR="006C1860" w:rsidRDefault="006C1860"/>
    <w:sectPr w:rsidR="006C1860" w:rsidSect="006C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78"/>
    <w:rsid w:val="00456278"/>
    <w:rsid w:val="004D26AE"/>
    <w:rsid w:val="006C1860"/>
    <w:rsid w:val="007965C7"/>
    <w:rsid w:val="009376C0"/>
    <w:rsid w:val="00D57E75"/>
    <w:rsid w:val="00DE40C7"/>
    <w:rsid w:val="00F9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7AC57"/>
  <w15:chartTrackingRefBased/>
  <w15:docId w15:val="{85C8FEE9-08CB-4E8E-A3B3-26D09174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2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2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2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2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62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2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56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1632</Characters>
  <Application>Microsoft Office Word</Application>
  <DocSecurity>0</DocSecurity>
  <Lines>85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 logos</dc:creator>
  <cp:keywords/>
  <dc:description/>
  <cp:lastModifiedBy>run logos</cp:lastModifiedBy>
  <cp:revision>2</cp:revision>
  <dcterms:created xsi:type="dcterms:W3CDTF">2025-11-25T16:51:00Z</dcterms:created>
  <dcterms:modified xsi:type="dcterms:W3CDTF">2025-11-25T20:12:00Z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b1551977-4d71-412b-91bc-8a2bfbf21059</vt:lpwstr>
  </property>
</Properties>
</file>