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9F62A" w14:textId="1368CEE1" w:rsidR="00EF21A7" w:rsidRPr="00EF21A7" w:rsidRDefault="00EF21A7" w:rsidP="00EF21A7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0B7C7C">
        <w:rPr>
          <w:rFonts w:ascii="Times New Roman" w:hAnsi="Times New Roman" w:cs="Times New Roman"/>
          <w:b/>
          <w:bCs/>
        </w:rPr>
        <w:t>Supplementary Table 3.</w:t>
      </w:r>
      <w:r w:rsidRPr="002B3F20">
        <w:rPr>
          <w:rFonts w:ascii="Times New Roman" w:hAnsi="Times New Roman" w:cs="Times New Roman"/>
          <w:b/>
          <w:bCs/>
        </w:rPr>
        <w:t xml:space="preserve"> </w:t>
      </w:r>
      <w:r w:rsidRPr="00EF21A7">
        <w:rPr>
          <w:rFonts w:ascii="Times New Roman" w:hAnsi="Times New Roman" w:cs="Times New Roman"/>
        </w:rPr>
        <w:t>Sensitivity analysis comparing primary and complete-case GEE estimates for the effect of the intervention</w:t>
      </w:r>
      <w:r w:rsidRPr="00EF21A7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9"/>
        <w:gridCol w:w="2922"/>
        <w:gridCol w:w="977"/>
        <w:gridCol w:w="750"/>
        <w:gridCol w:w="1176"/>
      </w:tblGrid>
      <w:tr w:rsidR="00462B87" w:rsidRPr="00462B87" w14:paraId="4D292B94" w14:textId="77777777" w:rsidTr="00462B87">
        <w:tc>
          <w:tcPr>
            <w:tcW w:w="0" w:type="auto"/>
            <w:hideMark/>
          </w:tcPr>
          <w:p w14:paraId="4E4B1BA9" w14:textId="77777777" w:rsidR="00462B87" w:rsidRPr="00462B87" w:rsidRDefault="00462B87" w:rsidP="00462B8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62B87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0" w:type="auto"/>
            <w:hideMark/>
          </w:tcPr>
          <w:p w14:paraId="32710A06" w14:textId="77777777" w:rsidR="00462B87" w:rsidRPr="00462B87" w:rsidRDefault="00462B87" w:rsidP="00462B8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62B87">
              <w:rPr>
                <w:rFonts w:ascii="Times New Roman" w:hAnsi="Times New Roman" w:cs="Times New Roman"/>
                <w:b/>
                <w:bCs/>
              </w:rPr>
              <w:t>Analysis</w:t>
            </w:r>
          </w:p>
        </w:tc>
        <w:tc>
          <w:tcPr>
            <w:tcW w:w="0" w:type="auto"/>
            <w:hideMark/>
          </w:tcPr>
          <w:p w14:paraId="359A43AC" w14:textId="77777777" w:rsidR="00462B87" w:rsidRPr="00462B87" w:rsidRDefault="00462B87" w:rsidP="00462B8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62B87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0" w:type="auto"/>
            <w:hideMark/>
          </w:tcPr>
          <w:p w14:paraId="7A22FFDD" w14:textId="77777777" w:rsidR="00462B87" w:rsidRPr="00462B87" w:rsidRDefault="00462B87" w:rsidP="00462B8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62B87">
              <w:rPr>
                <w:rFonts w:ascii="Times New Roman" w:hAnsi="Times New Roman" w:cs="Times New Roman"/>
                <w:b/>
                <w:bCs/>
              </w:rPr>
              <w:t>AOR</w:t>
            </w:r>
          </w:p>
        </w:tc>
        <w:tc>
          <w:tcPr>
            <w:tcW w:w="0" w:type="auto"/>
            <w:hideMark/>
          </w:tcPr>
          <w:p w14:paraId="2BBEAE15" w14:textId="77777777" w:rsidR="00462B87" w:rsidRPr="00462B87" w:rsidRDefault="00462B87" w:rsidP="00462B8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62B87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</w:tr>
      <w:tr w:rsidR="001A427D" w:rsidRPr="00462B87" w14:paraId="20EFACBA" w14:textId="77777777" w:rsidTr="00462B87">
        <w:tc>
          <w:tcPr>
            <w:tcW w:w="0" w:type="auto"/>
            <w:vMerge w:val="restart"/>
            <w:hideMark/>
          </w:tcPr>
          <w:p w14:paraId="3F799F56" w14:textId="77777777" w:rsidR="001A427D" w:rsidRPr="001A427D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1A427D">
              <w:rPr>
                <w:rFonts w:ascii="Times New Roman" w:hAnsi="Times New Roman" w:cs="Times New Roman"/>
              </w:rPr>
              <w:t>Stunting</w:t>
            </w:r>
          </w:p>
        </w:tc>
        <w:tc>
          <w:tcPr>
            <w:tcW w:w="0" w:type="auto"/>
            <w:hideMark/>
          </w:tcPr>
          <w:p w14:paraId="37E28687" w14:textId="77777777" w:rsidR="001A427D" w:rsidRPr="00462B8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62B87">
              <w:rPr>
                <w:rFonts w:ascii="Times New Roman" w:hAnsi="Times New Roman" w:cs="Times New Roman"/>
              </w:rPr>
              <w:t>Primary available-data GEE</w:t>
            </w:r>
          </w:p>
        </w:tc>
        <w:tc>
          <w:tcPr>
            <w:tcW w:w="0" w:type="auto"/>
            <w:hideMark/>
          </w:tcPr>
          <w:p w14:paraId="084FAC2F" w14:textId="77777777" w:rsidR="001A427D" w:rsidRPr="00462B8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62B87">
              <w:rPr>
                <w:rFonts w:ascii="Times New Roman" w:hAnsi="Times New Roman" w:cs="Times New Roman"/>
                <w:b/>
                <w:bCs/>
              </w:rPr>
              <w:t>0.026</w:t>
            </w:r>
          </w:p>
        </w:tc>
        <w:tc>
          <w:tcPr>
            <w:tcW w:w="0" w:type="auto"/>
            <w:hideMark/>
          </w:tcPr>
          <w:p w14:paraId="738D30F5" w14:textId="77777777" w:rsidR="001A427D" w:rsidRPr="00462B8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62B87">
              <w:rPr>
                <w:rFonts w:ascii="Times New Roman" w:hAnsi="Times New Roman" w:cs="Times New Roman"/>
                <w:b/>
                <w:bCs/>
              </w:rPr>
              <w:t>0.64</w:t>
            </w:r>
          </w:p>
        </w:tc>
        <w:tc>
          <w:tcPr>
            <w:tcW w:w="0" w:type="auto"/>
            <w:hideMark/>
          </w:tcPr>
          <w:p w14:paraId="0A9C1574" w14:textId="77777777" w:rsidR="001A427D" w:rsidRPr="00462B8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62B87">
              <w:rPr>
                <w:rFonts w:ascii="Times New Roman" w:hAnsi="Times New Roman" w:cs="Times New Roman"/>
                <w:b/>
                <w:bCs/>
              </w:rPr>
              <w:t>0.43–0.95</w:t>
            </w:r>
          </w:p>
        </w:tc>
      </w:tr>
      <w:tr w:rsidR="001A427D" w:rsidRPr="00462B87" w14:paraId="7902093B" w14:textId="77777777" w:rsidTr="00462B87">
        <w:tc>
          <w:tcPr>
            <w:tcW w:w="0" w:type="auto"/>
            <w:vMerge/>
            <w:hideMark/>
          </w:tcPr>
          <w:p w14:paraId="25C22E25" w14:textId="77777777" w:rsidR="001A427D" w:rsidRPr="001A427D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570FB5D" w14:textId="77777777" w:rsidR="001A427D" w:rsidRPr="00462B8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62B87">
              <w:rPr>
                <w:rFonts w:ascii="Times New Roman" w:hAnsi="Times New Roman" w:cs="Times New Roman"/>
              </w:rPr>
              <w:t>Complete-case GEE</w:t>
            </w:r>
          </w:p>
        </w:tc>
        <w:tc>
          <w:tcPr>
            <w:tcW w:w="0" w:type="auto"/>
            <w:hideMark/>
          </w:tcPr>
          <w:p w14:paraId="7A67E1EB" w14:textId="77777777" w:rsidR="001A427D" w:rsidRPr="00462B8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62B87">
              <w:rPr>
                <w:rFonts w:ascii="Times New Roman" w:hAnsi="Times New Roman" w:cs="Times New Roman"/>
                <w:b/>
                <w:bCs/>
              </w:rPr>
              <w:t>0.022</w:t>
            </w:r>
          </w:p>
        </w:tc>
        <w:tc>
          <w:tcPr>
            <w:tcW w:w="0" w:type="auto"/>
            <w:hideMark/>
          </w:tcPr>
          <w:p w14:paraId="7E52EAFB" w14:textId="77777777" w:rsidR="001A427D" w:rsidRPr="00462B8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62B87">
              <w:rPr>
                <w:rFonts w:ascii="Times New Roman" w:hAnsi="Times New Roman" w:cs="Times New Roman"/>
                <w:b/>
                <w:bCs/>
              </w:rPr>
              <w:t>0.63</w:t>
            </w:r>
          </w:p>
        </w:tc>
        <w:tc>
          <w:tcPr>
            <w:tcW w:w="0" w:type="auto"/>
            <w:hideMark/>
          </w:tcPr>
          <w:p w14:paraId="4E0D8DB4" w14:textId="77777777" w:rsidR="001A427D" w:rsidRPr="00462B8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62B87">
              <w:rPr>
                <w:rFonts w:ascii="Times New Roman" w:hAnsi="Times New Roman" w:cs="Times New Roman"/>
                <w:b/>
                <w:bCs/>
              </w:rPr>
              <w:t>0.42–0.93</w:t>
            </w:r>
          </w:p>
        </w:tc>
      </w:tr>
      <w:tr w:rsidR="001A427D" w:rsidRPr="00462B87" w14:paraId="57A0D291" w14:textId="77777777" w:rsidTr="00462B87">
        <w:tc>
          <w:tcPr>
            <w:tcW w:w="0" w:type="auto"/>
            <w:vMerge w:val="restart"/>
            <w:hideMark/>
          </w:tcPr>
          <w:p w14:paraId="5E290A47" w14:textId="77777777" w:rsidR="001A427D" w:rsidRPr="001A427D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1A427D">
              <w:rPr>
                <w:rFonts w:ascii="Times New Roman" w:hAnsi="Times New Roman" w:cs="Times New Roman"/>
              </w:rPr>
              <w:t>Wasting</w:t>
            </w:r>
          </w:p>
        </w:tc>
        <w:tc>
          <w:tcPr>
            <w:tcW w:w="0" w:type="auto"/>
            <w:hideMark/>
          </w:tcPr>
          <w:p w14:paraId="677C2AB8" w14:textId="77777777" w:rsidR="001A427D" w:rsidRPr="00462B8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62B87">
              <w:rPr>
                <w:rFonts w:ascii="Times New Roman" w:hAnsi="Times New Roman" w:cs="Times New Roman"/>
              </w:rPr>
              <w:t>Primary available-data GEE</w:t>
            </w:r>
          </w:p>
        </w:tc>
        <w:tc>
          <w:tcPr>
            <w:tcW w:w="0" w:type="auto"/>
            <w:hideMark/>
          </w:tcPr>
          <w:p w14:paraId="217FC863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0.898</w:t>
            </w:r>
          </w:p>
        </w:tc>
        <w:tc>
          <w:tcPr>
            <w:tcW w:w="0" w:type="auto"/>
            <w:hideMark/>
          </w:tcPr>
          <w:p w14:paraId="3E3734E3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0" w:type="auto"/>
            <w:hideMark/>
          </w:tcPr>
          <w:p w14:paraId="66F4C7C6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0.52–2.11</w:t>
            </w:r>
          </w:p>
        </w:tc>
      </w:tr>
      <w:tr w:rsidR="001A427D" w:rsidRPr="00462B87" w14:paraId="60727F57" w14:textId="77777777" w:rsidTr="00462B87">
        <w:tc>
          <w:tcPr>
            <w:tcW w:w="0" w:type="auto"/>
            <w:vMerge/>
            <w:hideMark/>
          </w:tcPr>
          <w:p w14:paraId="4FBAE422" w14:textId="77777777" w:rsidR="001A427D" w:rsidRPr="001A427D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FCED5ED" w14:textId="77777777" w:rsidR="001A427D" w:rsidRPr="00462B8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62B87">
              <w:rPr>
                <w:rFonts w:ascii="Times New Roman" w:hAnsi="Times New Roman" w:cs="Times New Roman"/>
              </w:rPr>
              <w:t>Complete-case GEE</w:t>
            </w:r>
          </w:p>
        </w:tc>
        <w:tc>
          <w:tcPr>
            <w:tcW w:w="0" w:type="auto"/>
            <w:hideMark/>
          </w:tcPr>
          <w:p w14:paraId="4CF1BC50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0.930</w:t>
            </w:r>
          </w:p>
        </w:tc>
        <w:tc>
          <w:tcPr>
            <w:tcW w:w="0" w:type="auto"/>
            <w:hideMark/>
          </w:tcPr>
          <w:p w14:paraId="70D23362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0" w:type="auto"/>
            <w:hideMark/>
          </w:tcPr>
          <w:p w14:paraId="4B0A2D23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0.50–2.14</w:t>
            </w:r>
          </w:p>
        </w:tc>
      </w:tr>
      <w:tr w:rsidR="001A427D" w:rsidRPr="00462B87" w14:paraId="30F39BAF" w14:textId="77777777" w:rsidTr="00462B87">
        <w:tc>
          <w:tcPr>
            <w:tcW w:w="0" w:type="auto"/>
            <w:vMerge w:val="restart"/>
            <w:hideMark/>
          </w:tcPr>
          <w:p w14:paraId="238C0E77" w14:textId="77777777" w:rsidR="001A427D" w:rsidRPr="001A427D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1A427D">
              <w:rPr>
                <w:rFonts w:ascii="Times New Roman" w:hAnsi="Times New Roman" w:cs="Times New Roman"/>
              </w:rPr>
              <w:t>Underweight</w:t>
            </w:r>
          </w:p>
        </w:tc>
        <w:tc>
          <w:tcPr>
            <w:tcW w:w="0" w:type="auto"/>
            <w:hideMark/>
          </w:tcPr>
          <w:p w14:paraId="4F13A73F" w14:textId="77777777" w:rsidR="001A427D" w:rsidRPr="00462B8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62B87">
              <w:rPr>
                <w:rFonts w:ascii="Times New Roman" w:hAnsi="Times New Roman" w:cs="Times New Roman"/>
              </w:rPr>
              <w:t>Primary available-data GEE</w:t>
            </w:r>
          </w:p>
        </w:tc>
        <w:tc>
          <w:tcPr>
            <w:tcW w:w="0" w:type="auto"/>
            <w:hideMark/>
          </w:tcPr>
          <w:p w14:paraId="400408AF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0.733</w:t>
            </w:r>
          </w:p>
        </w:tc>
        <w:tc>
          <w:tcPr>
            <w:tcW w:w="0" w:type="auto"/>
            <w:hideMark/>
          </w:tcPr>
          <w:p w14:paraId="75CDF185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0" w:type="auto"/>
            <w:hideMark/>
          </w:tcPr>
          <w:p w14:paraId="78B7743F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0.55–1.52</w:t>
            </w:r>
          </w:p>
        </w:tc>
      </w:tr>
      <w:tr w:rsidR="001A427D" w:rsidRPr="00462B87" w14:paraId="3D3A97FE" w14:textId="77777777" w:rsidTr="00462B87">
        <w:tc>
          <w:tcPr>
            <w:tcW w:w="0" w:type="auto"/>
            <w:vMerge/>
            <w:hideMark/>
          </w:tcPr>
          <w:p w14:paraId="0CA859BA" w14:textId="77777777" w:rsidR="001A427D" w:rsidRPr="001A427D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186DD2F" w14:textId="77777777" w:rsidR="001A427D" w:rsidRPr="00462B8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62B87">
              <w:rPr>
                <w:rFonts w:ascii="Times New Roman" w:hAnsi="Times New Roman" w:cs="Times New Roman"/>
              </w:rPr>
              <w:t>Complete-case GEE</w:t>
            </w:r>
          </w:p>
        </w:tc>
        <w:tc>
          <w:tcPr>
            <w:tcW w:w="0" w:type="auto"/>
            <w:hideMark/>
          </w:tcPr>
          <w:p w14:paraId="1DE018C9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0.575</w:t>
            </w:r>
          </w:p>
        </w:tc>
        <w:tc>
          <w:tcPr>
            <w:tcW w:w="0" w:type="auto"/>
            <w:hideMark/>
          </w:tcPr>
          <w:p w14:paraId="3923A026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0" w:type="auto"/>
            <w:hideMark/>
          </w:tcPr>
          <w:p w14:paraId="26C3B66F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0.51–1.46</w:t>
            </w:r>
          </w:p>
        </w:tc>
      </w:tr>
      <w:tr w:rsidR="001A427D" w:rsidRPr="00462B87" w14:paraId="624C319C" w14:textId="77777777" w:rsidTr="00462B87">
        <w:tc>
          <w:tcPr>
            <w:tcW w:w="0" w:type="auto"/>
            <w:vMerge w:val="restart"/>
            <w:hideMark/>
          </w:tcPr>
          <w:p w14:paraId="0BE5B2AF" w14:textId="77777777" w:rsidR="001A427D" w:rsidRPr="001A427D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1A427D">
              <w:rPr>
                <w:rFonts w:ascii="Times New Roman" w:hAnsi="Times New Roman" w:cs="Times New Roman"/>
              </w:rPr>
              <w:t>Overall undernutrition</w:t>
            </w:r>
          </w:p>
        </w:tc>
        <w:tc>
          <w:tcPr>
            <w:tcW w:w="0" w:type="auto"/>
            <w:hideMark/>
          </w:tcPr>
          <w:p w14:paraId="06049B06" w14:textId="77777777" w:rsidR="001A427D" w:rsidRPr="00462B8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62B87">
              <w:rPr>
                <w:rFonts w:ascii="Times New Roman" w:hAnsi="Times New Roman" w:cs="Times New Roman"/>
              </w:rPr>
              <w:t>Primary available-data GEE</w:t>
            </w:r>
          </w:p>
        </w:tc>
        <w:tc>
          <w:tcPr>
            <w:tcW w:w="0" w:type="auto"/>
            <w:hideMark/>
          </w:tcPr>
          <w:p w14:paraId="79BBF889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0.108</w:t>
            </w:r>
          </w:p>
        </w:tc>
        <w:tc>
          <w:tcPr>
            <w:tcW w:w="0" w:type="auto"/>
            <w:hideMark/>
          </w:tcPr>
          <w:p w14:paraId="3B3AAB49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0.74</w:t>
            </w:r>
          </w:p>
        </w:tc>
        <w:tc>
          <w:tcPr>
            <w:tcW w:w="0" w:type="auto"/>
            <w:hideMark/>
          </w:tcPr>
          <w:p w14:paraId="54C9F1C0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0.52–1.07</w:t>
            </w:r>
          </w:p>
        </w:tc>
      </w:tr>
      <w:tr w:rsidR="001A427D" w:rsidRPr="00462B87" w14:paraId="5E651D15" w14:textId="77777777" w:rsidTr="00462B87">
        <w:tc>
          <w:tcPr>
            <w:tcW w:w="0" w:type="auto"/>
            <w:vMerge/>
            <w:hideMark/>
          </w:tcPr>
          <w:p w14:paraId="201805DD" w14:textId="77777777" w:rsidR="001A427D" w:rsidRPr="00462B8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4A5C11B" w14:textId="77777777" w:rsidR="001A427D" w:rsidRPr="00462B8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462B87">
              <w:rPr>
                <w:rFonts w:ascii="Times New Roman" w:hAnsi="Times New Roman" w:cs="Times New Roman"/>
              </w:rPr>
              <w:t>Complete-case GEE</w:t>
            </w:r>
          </w:p>
        </w:tc>
        <w:tc>
          <w:tcPr>
            <w:tcW w:w="0" w:type="auto"/>
            <w:hideMark/>
          </w:tcPr>
          <w:p w14:paraId="75EE1022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0.075</w:t>
            </w:r>
          </w:p>
        </w:tc>
        <w:tc>
          <w:tcPr>
            <w:tcW w:w="0" w:type="auto"/>
            <w:hideMark/>
          </w:tcPr>
          <w:p w14:paraId="48EDD4B3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0" w:type="auto"/>
            <w:hideMark/>
          </w:tcPr>
          <w:p w14:paraId="6705A3AD" w14:textId="77777777" w:rsidR="001A427D" w:rsidRPr="00EF21A7" w:rsidRDefault="001A427D" w:rsidP="00462B87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F21A7">
              <w:rPr>
                <w:rFonts w:ascii="Times New Roman" w:hAnsi="Times New Roman" w:cs="Times New Roman"/>
              </w:rPr>
              <w:t>0.50–1.03</w:t>
            </w:r>
          </w:p>
        </w:tc>
      </w:tr>
    </w:tbl>
    <w:p w14:paraId="1A36EA7F" w14:textId="77777777" w:rsidR="00EF21A7" w:rsidRDefault="00EF21A7" w:rsidP="00EF21A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3C362D">
        <w:rPr>
          <w:rFonts w:ascii="Times New Roman" w:hAnsi="Times New Roman" w:cs="Times New Roman"/>
          <w:b/>
          <w:bCs/>
        </w:rPr>
        <w:t xml:space="preserve">Note: </w:t>
      </w:r>
      <w:r w:rsidRPr="003C362D">
        <w:rPr>
          <w:rFonts w:ascii="Times New Roman" w:hAnsi="Times New Roman" w:cs="Times New Roman"/>
        </w:rPr>
        <w:t xml:space="preserve">Estimates are adjusted odds ratios (AORs) from the Time × Group interaction. The primary analysis used all available observations in the GEE framework, whereas the complete-case analysis was restricted to participants with outcome measurements available at both baseline and endline. The same GEE model specification, covariates, working correlation structure, and link function were </w:t>
      </w:r>
      <w:r w:rsidRPr="000B081F">
        <w:rPr>
          <w:rFonts w:ascii="Times New Roman" w:hAnsi="Times New Roman" w:cs="Times New Roman"/>
          <w:color w:val="000000" w:themeColor="text1"/>
        </w:rPr>
        <w:t>used in both analyses.</w:t>
      </w:r>
    </w:p>
    <w:p w14:paraId="13760DE5" w14:textId="77777777" w:rsidR="00462B87" w:rsidRPr="002B3F20" w:rsidRDefault="00462B87" w:rsidP="003C362D">
      <w:pPr>
        <w:spacing w:after="0" w:line="480" w:lineRule="auto"/>
        <w:jc w:val="both"/>
        <w:rPr>
          <w:rFonts w:ascii="Times New Roman" w:hAnsi="Times New Roman" w:cs="Times New Roman"/>
        </w:rPr>
      </w:pPr>
    </w:p>
    <w:sectPr w:rsidR="00462B87" w:rsidRPr="002B3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2A1"/>
    <w:rsid w:val="000B081F"/>
    <w:rsid w:val="000B7C7C"/>
    <w:rsid w:val="0011026A"/>
    <w:rsid w:val="00172697"/>
    <w:rsid w:val="001A427D"/>
    <w:rsid w:val="0029439D"/>
    <w:rsid w:val="002C13AE"/>
    <w:rsid w:val="003C362D"/>
    <w:rsid w:val="003E698F"/>
    <w:rsid w:val="00462B87"/>
    <w:rsid w:val="00526FD1"/>
    <w:rsid w:val="005B00B8"/>
    <w:rsid w:val="005B3526"/>
    <w:rsid w:val="006128BF"/>
    <w:rsid w:val="006752A1"/>
    <w:rsid w:val="006F66F4"/>
    <w:rsid w:val="00A81FC2"/>
    <w:rsid w:val="00EF21A7"/>
    <w:rsid w:val="00F8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F4644"/>
  <w15:chartTrackingRefBased/>
  <w15:docId w15:val="{C6EB11AA-6F72-416B-9EC1-584430881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2A1"/>
  </w:style>
  <w:style w:type="paragraph" w:styleId="Heading1">
    <w:name w:val="heading 1"/>
    <w:basedOn w:val="Normal"/>
    <w:next w:val="Normal"/>
    <w:link w:val="Heading1Char"/>
    <w:uiPriority w:val="9"/>
    <w:qFormat/>
    <w:rsid w:val="00675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2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2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2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2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2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2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2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2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2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2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2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2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2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2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2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2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2A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75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Shiferaw Birhanu</dc:creator>
  <cp:keywords/>
  <dc:description/>
  <cp:lastModifiedBy>Shiferaw Birhanu</cp:lastModifiedBy>
  <cp:revision>12</cp:revision>
  <dcterms:created xsi:type="dcterms:W3CDTF">2026-08-14T18:50:00Z</dcterms:created>
  <dcterms:modified xsi:type="dcterms:W3CDTF">2026-08-28T12:32:00Z</dcterms:modified>
</cp:coreProperties>
</file>