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9A532" w14:textId="4447F2A3" w:rsidR="00C23DEC" w:rsidRPr="00D06488" w:rsidRDefault="00C23DEC" w:rsidP="00C23DEC">
      <w:pPr>
        <w:jc w:val="center"/>
        <w:rPr>
          <w:rFonts w:ascii="Times New Roman" w:hAnsi="Times New Roman" w:cs="Times New Roman"/>
          <w:b/>
          <w:bCs/>
          <w:lang w:val="en-US"/>
        </w:rPr>
      </w:pPr>
      <w:r w:rsidRPr="00D06488">
        <w:rPr>
          <w:rFonts w:ascii="Times New Roman" w:hAnsi="Times New Roman" w:cs="Times New Roman"/>
          <w:b/>
          <w:bCs/>
          <w:lang w:val="en-US"/>
        </w:rPr>
        <w:t>Supplementary materials</w:t>
      </w:r>
    </w:p>
    <w:p w14:paraId="71D1EEE0" w14:textId="77777777" w:rsidR="00D06488" w:rsidRPr="00D06488" w:rsidRDefault="00D06488" w:rsidP="00D06488">
      <w:pPr>
        <w:spacing w:before="100" w:beforeAutospacing="1" w:after="100" w:afterAutospacing="1"/>
        <w:outlineLvl w:val="3"/>
        <w:rPr>
          <w:rFonts w:ascii="Times New Roman" w:eastAsia="Times New Roman" w:hAnsi="Times New Roman" w:cs="Times New Roman"/>
          <w:b/>
          <w:bCs/>
        </w:rPr>
      </w:pPr>
      <w:r w:rsidRPr="00D06488">
        <w:rPr>
          <w:rFonts w:ascii="Times New Roman" w:eastAsia="Times New Roman" w:hAnsi="Times New Roman" w:cs="Times New Roman"/>
          <w:b/>
          <w:bCs/>
        </w:rPr>
        <w:t>Methodology for Calculating the Health Star Rating (HSR)</w:t>
      </w:r>
    </w:p>
    <w:p w14:paraId="1DC5F67F" w14:textId="77777777" w:rsidR="00D06488" w:rsidRPr="00D06488" w:rsidRDefault="00D06488" w:rsidP="00D06488">
      <w:pPr>
        <w:spacing w:before="100" w:beforeAutospacing="1" w:after="100" w:afterAutospacing="1"/>
        <w:outlineLvl w:val="4"/>
        <w:rPr>
          <w:rFonts w:ascii="Times New Roman" w:eastAsia="Times New Roman" w:hAnsi="Times New Roman" w:cs="Times New Roman"/>
          <w:b/>
          <w:bCs/>
        </w:rPr>
      </w:pPr>
      <w:r w:rsidRPr="00D06488">
        <w:rPr>
          <w:rFonts w:ascii="Times New Roman" w:eastAsia="Times New Roman" w:hAnsi="Times New Roman" w:cs="Times New Roman"/>
          <w:b/>
          <w:bCs/>
        </w:rPr>
        <w:t>Overview</w:t>
      </w:r>
    </w:p>
    <w:p w14:paraId="4E8E2800" w14:textId="6CAC1B4B"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The Health Star Rating (HSR) is a front-of-pack nutrition labelling system designed to provide a standardized assessment of the overall nutritional quality of packaged foods</w:t>
      </w:r>
      <w:r w:rsidR="007A0DD2">
        <w:rPr>
          <w:rFonts w:ascii="Times New Roman" w:eastAsia="Times New Roman" w:hAnsi="Times New Roman" w:cs="Times New Roman"/>
          <w:lang w:val="en-US"/>
        </w:rPr>
        <w:t xml:space="preserve"> [1]</w:t>
      </w:r>
      <w:r w:rsidRPr="00D06488">
        <w:rPr>
          <w:rFonts w:ascii="Times New Roman" w:eastAsia="Times New Roman" w:hAnsi="Times New Roman" w:cs="Times New Roman"/>
        </w:rPr>
        <w:t>. It assigns a rating from 0.5 to 5 stars based on a nutrient profiling algorithm that balances nutrients associated with adverse health outcomes against positive nutritional components.</w:t>
      </w:r>
    </w:p>
    <w:p w14:paraId="4E41FD26" w14:textId="6BF89CD3"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This supplementary section describes the exact methodology used in the present study to calculate HSR values for all products included in the database. All HSR calculations were performed per 100 g or 100 mL, in accordance with official guidance.</w:t>
      </w:r>
    </w:p>
    <w:p w14:paraId="54998A99" w14:textId="77777777" w:rsidR="00D06488" w:rsidRPr="00D06488" w:rsidRDefault="00D06488" w:rsidP="00D06488">
      <w:pPr>
        <w:spacing w:before="100" w:beforeAutospacing="1" w:after="100" w:afterAutospacing="1"/>
        <w:outlineLvl w:val="4"/>
        <w:rPr>
          <w:rFonts w:ascii="Times New Roman" w:eastAsia="Times New Roman" w:hAnsi="Times New Roman" w:cs="Times New Roman"/>
          <w:b/>
          <w:bCs/>
        </w:rPr>
      </w:pPr>
      <w:r w:rsidRPr="00D06488">
        <w:rPr>
          <w:rFonts w:ascii="Times New Roman" w:eastAsia="Times New Roman" w:hAnsi="Times New Roman" w:cs="Times New Roman"/>
          <w:b/>
          <w:bCs/>
        </w:rPr>
        <w:t>Product Classification</w:t>
      </w:r>
    </w:p>
    <w:p w14:paraId="2166E9B9" w14:textId="77777777"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Each product was first assigned to one of the official HSR food categories (beverages, dairy beverages, general foods, dairy foods, oils and spreads, or cheese). This classification determines:</w:t>
      </w:r>
    </w:p>
    <w:p w14:paraId="04212565" w14:textId="77777777" w:rsidR="00D06488" w:rsidRPr="00D06488" w:rsidRDefault="00D06488" w:rsidP="00D06488">
      <w:pPr>
        <w:numPr>
          <w:ilvl w:val="0"/>
          <w:numId w:val="1"/>
        </w:num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which nutrients are included in the scoring algorithm,</w:t>
      </w:r>
    </w:p>
    <w:p w14:paraId="06A4363D" w14:textId="77777777" w:rsidR="00D06488" w:rsidRPr="00D06488" w:rsidRDefault="00D06488" w:rsidP="00D06488">
      <w:pPr>
        <w:numPr>
          <w:ilvl w:val="0"/>
          <w:numId w:val="1"/>
        </w:num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which modifying components are permitted, and</w:t>
      </w:r>
    </w:p>
    <w:p w14:paraId="64C16B85" w14:textId="77777777" w:rsidR="00D06488" w:rsidRPr="00D06488" w:rsidRDefault="00D06488" w:rsidP="00D06488">
      <w:pPr>
        <w:numPr>
          <w:ilvl w:val="0"/>
          <w:numId w:val="1"/>
        </w:num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which conversion scale is used to translate the final score into a star rating.</w:t>
      </w:r>
    </w:p>
    <w:p w14:paraId="120E699E" w14:textId="7D021696"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 xml:space="preserve">Category assignment was performed in accordance with definitions provided in the </w:t>
      </w:r>
      <w:r w:rsidRPr="00D06488">
        <w:rPr>
          <w:rFonts w:ascii="Times New Roman" w:eastAsia="Times New Roman" w:hAnsi="Times New Roman" w:cs="Times New Roman"/>
          <w:i/>
          <w:iCs/>
        </w:rPr>
        <w:t>Health Star Rating System Calculator and Style Guide</w:t>
      </w:r>
      <w:r w:rsidRPr="00D06488">
        <w:rPr>
          <w:rFonts w:ascii="Times New Roman" w:eastAsia="Times New Roman" w:hAnsi="Times New Roman" w:cs="Times New Roman"/>
        </w:rPr>
        <w:t xml:space="preserve"> </w:t>
      </w:r>
      <w:r w:rsidR="007A0DD2">
        <w:rPr>
          <w:rFonts w:ascii="Times New Roman" w:eastAsia="Times New Roman" w:hAnsi="Times New Roman" w:cs="Times New Roman"/>
          <w:lang w:val="en-US"/>
        </w:rPr>
        <w:t>[1]</w:t>
      </w:r>
      <w:r w:rsidRPr="00D06488">
        <w:rPr>
          <w:rFonts w:ascii="Times New Roman" w:eastAsia="Times New Roman" w:hAnsi="Times New Roman" w:cs="Times New Roman"/>
        </w:rPr>
        <w:t>.</w:t>
      </w:r>
    </w:p>
    <w:p w14:paraId="4DF6948F" w14:textId="77777777" w:rsidR="00D06488" w:rsidRPr="00D06488" w:rsidRDefault="00D06488" w:rsidP="00D06488">
      <w:pPr>
        <w:spacing w:before="100" w:beforeAutospacing="1" w:after="100" w:afterAutospacing="1"/>
        <w:outlineLvl w:val="4"/>
        <w:rPr>
          <w:rFonts w:ascii="Times New Roman" w:eastAsia="Times New Roman" w:hAnsi="Times New Roman" w:cs="Times New Roman"/>
          <w:b/>
          <w:bCs/>
        </w:rPr>
      </w:pPr>
      <w:r w:rsidRPr="00D06488">
        <w:rPr>
          <w:rFonts w:ascii="Times New Roman" w:eastAsia="Times New Roman" w:hAnsi="Times New Roman" w:cs="Times New Roman"/>
          <w:b/>
          <w:bCs/>
        </w:rPr>
        <w:t>Baseline Points</w:t>
      </w:r>
    </w:p>
    <w:p w14:paraId="3D431C52" w14:textId="59F186C7"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Baseline points were assigned for nutrients associated with adverse health outcomes. Depending on product category, these included energy, saturated fat, total sugars, and sodium. Points for each nutrient were determined strictly according to the threshold tables specified in the official HSR Guide.</w:t>
      </w:r>
    </w:p>
    <w:p w14:paraId="52A240B7" w14:textId="77777777" w:rsidR="00D06488" w:rsidRPr="00D06488" w:rsidRDefault="00D06488" w:rsidP="00D06488">
      <w:pPr>
        <w:spacing w:before="100" w:beforeAutospacing="1" w:after="100" w:afterAutospacing="1"/>
        <w:outlineLvl w:val="4"/>
        <w:rPr>
          <w:rFonts w:ascii="Times New Roman" w:eastAsia="Times New Roman" w:hAnsi="Times New Roman" w:cs="Times New Roman"/>
          <w:b/>
          <w:bCs/>
        </w:rPr>
      </w:pPr>
      <w:r w:rsidRPr="00D06488">
        <w:rPr>
          <w:rFonts w:ascii="Times New Roman" w:eastAsia="Times New Roman" w:hAnsi="Times New Roman" w:cs="Times New Roman"/>
          <w:b/>
          <w:bCs/>
        </w:rPr>
        <w:t>Modifying Points</w:t>
      </w:r>
    </w:p>
    <w:p w14:paraId="35999EE6" w14:textId="77777777"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Positive nutritional components eligible to offset baseline points included fruit, vegetable, nut and legume (FVNL) content, protein (subject to category-specific eligibility criteria), and dietary fibre.</w:t>
      </w:r>
    </w:p>
    <w:p w14:paraId="5EEF3965" w14:textId="0A58D7A5"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FVNL percentages were reconstructed from ingredient lists. Protein and fibre points were applied only where permitted by category-specific rules and conditional thresholds outlined in the HSR guidelines.</w:t>
      </w:r>
    </w:p>
    <w:p w14:paraId="1A79ADB6" w14:textId="77777777" w:rsidR="00D06488" w:rsidRPr="00D06488" w:rsidRDefault="00D06488" w:rsidP="00D06488">
      <w:pPr>
        <w:spacing w:before="100" w:beforeAutospacing="1" w:after="100" w:afterAutospacing="1"/>
        <w:outlineLvl w:val="4"/>
        <w:rPr>
          <w:rFonts w:ascii="Times New Roman" w:eastAsia="Times New Roman" w:hAnsi="Times New Roman" w:cs="Times New Roman"/>
          <w:b/>
          <w:bCs/>
        </w:rPr>
      </w:pPr>
      <w:r w:rsidRPr="00D06488">
        <w:rPr>
          <w:rFonts w:ascii="Times New Roman" w:eastAsia="Times New Roman" w:hAnsi="Times New Roman" w:cs="Times New Roman"/>
          <w:b/>
          <w:bCs/>
        </w:rPr>
        <w:t>Final HSR Score Calculation</w:t>
      </w:r>
    </w:p>
    <w:p w14:paraId="4909E6AC" w14:textId="77777777"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lastRenderedPageBreak/>
        <w:t>The final HSR score was calculated as:</w:t>
      </w:r>
    </w:p>
    <w:p w14:paraId="1BE3403C" w14:textId="77777777" w:rsidR="00D06488" w:rsidRPr="00D06488" w:rsidRDefault="00D06488" w:rsidP="00D06488">
      <w:pPr>
        <w:spacing w:beforeAutospacing="1" w:afterAutospacing="1"/>
        <w:rPr>
          <w:rFonts w:ascii="Times New Roman" w:eastAsia="Times New Roman" w:hAnsi="Times New Roman" w:cs="Times New Roman"/>
        </w:rPr>
      </w:pPr>
      <w:r w:rsidRPr="00D06488">
        <w:rPr>
          <w:rFonts w:ascii="Times New Roman" w:eastAsia="Times New Roman" w:hAnsi="Times New Roman" w:cs="Times New Roman"/>
          <w:b/>
          <w:bCs/>
        </w:rPr>
        <w:t>HSR score = Baseline points − FVNL points − Protein points − Fibre points</w:t>
      </w:r>
    </w:p>
    <w:p w14:paraId="17110EEA" w14:textId="06B08A1E"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 xml:space="preserve">This numerical score was then converted into a star rating ranging from 0.5 to 5 stars using the category-specific conversion tables specified in the 2020 </w:t>
      </w:r>
      <w:r w:rsidRPr="00D06488">
        <w:rPr>
          <w:rFonts w:ascii="Times New Roman" w:eastAsia="Times New Roman" w:hAnsi="Times New Roman" w:cs="Times New Roman"/>
          <w:i/>
          <w:iCs/>
        </w:rPr>
        <w:t>HSR Calculator and Style Guide</w:t>
      </w:r>
      <w:r w:rsidRPr="00D06488">
        <w:rPr>
          <w:rFonts w:ascii="Times New Roman" w:eastAsia="Times New Roman" w:hAnsi="Times New Roman" w:cs="Times New Roman"/>
        </w:rPr>
        <w:t>.</w:t>
      </w:r>
    </w:p>
    <w:p w14:paraId="18246345" w14:textId="77777777" w:rsidR="00D06488" w:rsidRPr="00D06488" w:rsidRDefault="00D06488" w:rsidP="00D06488">
      <w:pPr>
        <w:spacing w:before="100" w:beforeAutospacing="1" w:after="100" w:afterAutospacing="1"/>
        <w:outlineLvl w:val="3"/>
        <w:rPr>
          <w:rFonts w:ascii="Times New Roman" w:eastAsia="Times New Roman" w:hAnsi="Times New Roman" w:cs="Times New Roman"/>
          <w:b/>
          <w:bCs/>
        </w:rPr>
      </w:pPr>
      <w:r w:rsidRPr="00D06488">
        <w:rPr>
          <w:rFonts w:ascii="Times New Roman" w:eastAsia="Times New Roman" w:hAnsi="Times New Roman" w:cs="Times New Roman"/>
          <w:b/>
          <w:bCs/>
        </w:rPr>
        <w:t>Methodology for Applying the NOVA Food Processing Classification</w:t>
      </w:r>
    </w:p>
    <w:p w14:paraId="470107D6" w14:textId="77777777" w:rsidR="00D06488" w:rsidRPr="00D06488" w:rsidRDefault="00D06488" w:rsidP="00D06488">
      <w:pPr>
        <w:spacing w:before="100" w:beforeAutospacing="1" w:after="100" w:afterAutospacing="1"/>
        <w:outlineLvl w:val="4"/>
        <w:rPr>
          <w:rFonts w:ascii="Times New Roman" w:eastAsia="Times New Roman" w:hAnsi="Times New Roman" w:cs="Times New Roman"/>
          <w:b/>
          <w:bCs/>
        </w:rPr>
      </w:pPr>
      <w:r w:rsidRPr="00D06488">
        <w:rPr>
          <w:rFonts w:ascii="Times New Roman" w:eastAsia="Times New Roman" w:hAnsi="Times New Roman" w:cs="Times New Roman"/>
          <w:b/>
          <w:bCs/>
        </w:rPr>
        <w:t>Overview</w:t>
      </w:r>
    </w:p>
    <w:p w14:paraId="0D96784F" w14:textId="77777777"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The NOVA classification system categorizes foods according to the extent and purpose of industrial processing rather than nutrient composition. Foods are grouped into four categories ranging from unprocessed or minimally processed foods to industrially formulated ultra-processed products.</w:t>
      </w:r>
    </w:p>
    <w:p w14:paraId="61022C58" w14:textId="74681D78"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This section describes the approach used to assign NOVA categories to all products included in the study.</w:t>
      </w:r>
    </w:p>
    <w:p w14:paraId="2B6C292D" w14:textId="77777777" w:rsidR="00D06488" w:rsidRPr="00D06488" w:rsidRDefault="00D06488" w:rsidP="00D06488">
      <w:pPr>
        <w:spacing w:before="100" w:beforeAutospacing="1" w:after="100" w:afterAutospacing="1"/>
        <w:outlineLvl w:val="4"/>
        <w:rPr>
          <w:rFonts w:ascii="Times New Roman" w:eastAsia="Times New Roman" w:hAnsi="Times New Roman" w:cs="Times New Roman"/>
          <w:b/>
          <w:bCs/>
        </w:rPr>
      </w:pPr>
      <w:r w:rsidRPr="00D06488">
        <w:rPr>
          <w:rFonts w:ascii="Times New Roman" w:eastAsia="Times New Roman" w:hAnsi="Times New Roman" w:cs="Times New Roman"/>
          <w:b/>
          <w:bCs/>
        </w:rPr>
        <w:t>Data Sources and General Approach</w:t>
      </w:r>
    </w:p>
    <w:p w14:paraId="6F746AD4" w14:textId="77777777"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All products were classified based on a review of full ingredient lists, product descriptions, declared processing methods where available, and manufacturer information when relevant.</w:t>
      </w:r>
    </w:p>
    <w:p w14:paraId="2623F06D" w14:textId="705C4092"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 xml:space="preserve">Classification was conducted manually by trained researchers using the official definitions provided by Monteiro et al. </w:t>
      </w:r>
      <w:r w:rsidR="007A0DD2">
        <w:rPr>
          <w:rFonts w:ascii="Times New Roman" w:eastAsia="Times New Roman" w:hAnsi="Times New Roman" w:cs="Times New Roman"/>
          <w:lang w:val="en-US"/>
        </w:rPr>
        <w:t>[2]</w:t>
      </w:r>
      <w:r w:rsidRPr="00D06488">
        <w:rPr>
          <w:rFonts w:ascii="Times New Roman" w:eastAsia="Times New Roman" w:hAnsi="Times New Roman" w:cs="Times New Roman"/>
        </w:rPr>
        <w:t>.</w:t>
      </w:r>
    </w:p>
    <w:p w14:paraId="4BCB4BBB" w14:textId="77777777" w:rsidR="00D06488" w:rsidRPr="00D06488" w:rsidRDefault="00D06488" w:rsidP="00D06488">
      <w:pPr>
        <w:spacing w:before="100" w:beforeAutospacing="1" w:after="100" w:afterAutospacing="1"/>
        <w:outlineLvl w:val="4"/>
        <w:rPr>
          <w:rFonts w:ascii="Times New Roman" w:eastAsia="Times New Roman" w:hAnsi="Times New Roman" w:cs="Times New Roman"/>
          <w:b/>
          <w:bCs/>
        </w:rPr>
      </w:pPr>
      <w:r w:rsidRPr="00D06488">
        <w:rPr>
          <w:rFonts w:ascii="Times New Roman" w:eastAsia="Times New Roman" w:hAnsi="Times New Roman" w:cs="Times New Roman"/>
          <w:b/>
          <w:bCs/>
        </w:rPr>
        <w:t>NOVA Group Definitions</w:t>
      </w:r>
    </w:p>
    <w:p w14:paraId="51251F5F" w14:textId="77777777"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b/>
          <w:bCs/>
        </w:rPr>
        <w:t>NOVA Group 1: Unprocessed or Minimally Processed Foods</w:t>
      </w:r>
      <w:r w:rsidRPr="00D06488">
        <w:rPr>
          <w:rFonts w:ascii="Times New Roman" w:eastAsia="Times New Roman" w:hAnsi="Times New Roman" w:cs="Times New Roman"/>
        </w:rPr>
        <w:br/>
        <w:t>Products in this group consisted of edible parts of plants or animals with no added substances and only minimal processing, such as cleaning, portioning, refrigeration, freezing, pasteurisation, drying, or fermentation without additives.</w:t>
      </w:r>
    </w:p>
    <w:p w14:paraId="18316292" w14:textId="77777777"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b/>
          <w:bCs/>
        </w:rPr>
        <w:t>NOVA Group 2: Processed Culinary Ingredients</w:t>
      </w:r>
      <w:r w:rsidRPr="00D06488">
        <w:rPr>
          <w:rFonts w:ascii="Times New Roman" w:eastAsia="Times New Roman" w:hAnsi="Times New Roman" w:cs="Times New Roman"/>
        </w:rPr>
        <w:br/>
        <w:t>This group included substances extracted or refined from Group 1 foods and used primarily in cooking, such as oils, butter, sugar, honey, salt, and starches. These products undergo processes such as pressing, milling, refining, or purification and do not contain additives.</w:t>
      </w:r>
    </w:p>
    <w:p w14:paraId="399F3376" w14:textId="77777777"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b/>
          <w:bCs/>
        </w:rPr>
        <w:t>NOVA Group 3: Processed Foods</w:t>
      </w:r>
      <w:r w:rsidRPr="00D06488">
        <w:rPr>
          <w:rFonts w:ascii="Times New Roman" w:eastAsia="Times New Roman" w:hAnsi="Times New Roman" w:cs="Times New Roman"/>
        </w:rPr>
        <w:br/>
        <w:t>Processed foods were relatively simple industrial products created by combining Group 1 foods with Group 2 ingredients. Examples include canned vegetables with added salt, cheeses, fruit in syrup, and freshly baked bread made with basic ingredients. Processing techniques enhance shelf life or palatability without fundamentally altering the food matrix.</w:t>
      </w:r>
    </w:p>
    <w:p w14:paraId="4FCAD34C" w14:textId="3557BF3B"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b/>
          <w:bCs/>
        </w:rPr>
        <w:lastRenderedPageBreak/>
        <w:t>NOVA Group 4: Ultra-Processed Foods (UPFs)</w:t>
      </w:r>
      <w:r w:rsidRPr="00D06488">
        <w:rPr>
          <w:rFonts w:ascii="Times New Roman" w:eastAsia="Times New Roman" w:hAnsi="Times New Roman" w:cs="Times New Roman"/>
        </w:rPr>
        <w:br/>
        <w:t>Ultra-processed foods were industrial formulations produced using multiple processing steps and ingredients, including additives not used in home cooking (e.g., emulsifiers, stabilisers, colours, flavourings, sweeteners), refined ingredients, and techniques such as extrusion, moulding, fractioning, and reconstitution. Products were classified as Group 4 if additives served cosmetic or sensory functions, the food matrix was extensively modified, or the product could not be prepared using domestic culinary methods.</w:t>
      </w:r>
    </w:p>
    <w:p w14:paraId="3318F190" w14:textId="77777777" w:rsidR="00D06488" w:rsidRPr="00D06488" w:rsidRDefault="00D06488" w:rsidP="00D06488">
      <w:pPr>
        <w:spacing w:before="100" w:beforeAutospacing="1" w:after="100" w:afterAutospacing="1"/>
        <w:outlineLvl w:val="4"/>
        <w:rPr>
          <w:rFonts w:ascii="Times New Roman" w:eastAsia="Times New Roman" w:hAnsi="Times New Roman" w:cs="Times New Roman"/>
          <w:b/>
          <w:bCs/>
        </w:rPr>
      </w:pPr>
      <w:r w:rsidRPr="00D06488">
        <w:rPr>
          <w:rFonts w:ascii="Times New Roman" w:eastAsia="Times New Roman" w:hAnsi="Times New Roman" w:cs="Times New Roman"/>
          <w:b/>
          <w:bCs/>
        </w:rPr>
        <w:t>Ambiguous or Complex Products</w:t>
      </w:r>
    </w:p>
    <w:p w14:paraId="5EF7EAD1" w14:textId="77777777"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For mixed dishes and composite foods:</w:t>
      </w:r>
    </w:p>
    <w:p w14:paraId="67F83508" w14:textId="77777777" w:rsidR="00D06488" w:rsidRPr="00D06488" w:rsidRDefault="00D06488" w:rsidP="00D06488">
      <w:pPr>
        <w:numPr>
          <w:ilvl w:val="0"/>
          <w:numId w:val="2"/>
        </w:num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the primary processing characteristics determined classification;</w:t>
      </w:r>
    </w:p>
    <w:p w14:paraId="38175D55" w14:textId="77777777" w:rsidR="00D06488" w:rsidRPr="00D06488" w:rsidRDefault="00D06488" w:rsidP="00D06488">
      <w:pPr>
        <w:numPr>
          <w:ilvl w:val="0"/>
          <w:numId w:val="2"/>
        </w:num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the presence of even one cosmetic additive typically resulted in classification as NOVA Group 4;</w:t>
      </w:r>
    </w:p>
    <w:p w14:paraId="73644F28" w14:textId="77777777" w:rsidR="00D06488" w:rsidRPr="00D06488" w:rsidRDefault="00D06488" w:rsidP="00D06488">
      <w:pPr>
        <w:numPr>
          <w:ilvl w:val="0"/>
          <w:numId w:val="2"/>
        </w:num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products were classified based on the final product rather than individual ingredients.</w:t>
      </w:r>
    </w:p>
    <w:p w14:paraId="59CD2294" w14:textId="4184D619"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All ambiguous cases were independently reviewed by two researchers.</w:t>
      </w:r>
    </w:p>
    <w:p w14:paraId="2DB47D41" w14:textId="77777777" w:rsidR="00D06488" w:rsidRPr="00D06488" w:rsidRDefault="00D06488" w:rsidP="00D06488">
      <w:pPr>
        <w:spacing w:before="100" w:beforeAutospacing="1" w:after="100" w:afterAutospacing="1"/>
        <w:outlineLvl w:val="3"/>
        <w:rPr>
          <w:rFonts w:ascii="Times New Roman" w:eastAsia="Times New Roman" w:hAnsi="Times New Roman" w:cs="Times New Roman"/>
          <w:b/>
          <w:bCs/>
        </w:rPr>
      </w:pPr>
      <w:r w:rsidRPr="00D06488">
        <w:rPr>
          <w:rFonts w:ascii="Times New Roman" w:eastAsia="Times New Roman" w:hAnsi="Times New Roman" w:cs="Times New Roman"/>
          <w:b/>
          <w:bCs/>
        </w:rPr>
        <w:t>Adjustment of HSR Scores Based on NOVA Processing Categories</w:t>
      </w:r>
    </w:p>
    <w:p w14:paraId="0035F943" w14:textId="77777777"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To better align the Health Star Rating system with evidence on the health implications of industrial food processing, an additional adjustment step was incorporated into the scoring procedure. This modification was designed to ensure that final HSR scores reflect both nutrient composition and degree of processing.</w:t>
      </w:r>
    </w:p>
    <w:p w14:paraId="31A8403B" w14:textId="77777777" w:rsidR="00D06488" w:rsidRPr="00D06488" w:rsidRDefault="00D06488" w:rsidP="00D06488">
      <w:pPr>
        <w:spacing w:before="100" w:beforeAutospacing="1" w:after="100" w:afterAutospacing="1"/>
        <w:outlineLvl w:val="4"/>
        <w:rPr>
          <w:rFonts w:ascii="Times New Roman" w:eastAsia="Times New Roman" w:hAnsi="Times New Roman" w:cs="Times New Roman"/>
          <w:b/>
          <w:bCs/>
        </w:rPr>
      </w:pPr>
      <w:r w:rsidRPr="00D06488">
        <w:rPr>
          <w:rFonts w:ascii="Times New Roman" w:eastAsia="Times New Roman" w:hAnsi="Times New Roman" w:cs="Times New Roman"/>
          <w:b/>
          <w:bCs/>
        </w:rPr>
        <w:t>Expert Panel Review and Rationale</w:t>
      </w:r>
    </w:p>
    <w:p w14:paraId="1EB4D674" w14:textId="77777777"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An expert panel comprising senior nutrition scientists, public health researchers, and food policy specialists from the Kazakh Academy of Nutrition and the Academy of Preventive Medicine conducted a structured review of the study methodology. The panel examined limitations of the conventional HSR system, particularly its inability to capture processing-related risks, and evaluated approaches for incorporating NOVA-based adjustments.</w:t>
      </w:r>
    </w:p>
    <w:p w14:paraId="34F07D26" w14:textId="237FA541"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Through a consensus-driven process, the panel endorsed the conceptual rationale for modifying HSR scores and established a set of processing-based adjustment coefficients.</w:t>
      </w:r>
    </w:p>
    <w:p w14:paraId="08FDE463" w14:textId="77777777" w:rsidR="00D06488" w:rsidRPr="00D06488" w:rsidRDefault="00D06488" w:rsidP="00D06488">
      <w:pPr>
        <w:spacing w:before="100" w:beforeAutospacing="1" w:after="100" w:afterAutospacing="1"/>
        <w:outlineLvl w:val="4"/>
        <w:rPr>
          <w:rFonts w:ascii="Times New Roman" w:eastAsia="Times New Roman" w:hAnsi="Times New Roman" w:cs="Times New Roman"/>
          <w:b/>
          <w:bCs/>
        </w:rPr>
      </w:pPr>
      <w:r w:rsidRPr="00D06488">
        <w:rPr>
          <w:rFonts w:ascii="Times New Roman" w:eastAsia="Times New Roman" w:hAnsi="Times New Roman" w:cs="Times New Roman"/>
          <w:b/>
          <w:bCs/>
        </w:rPr>
        <w:t>Adjustment Logic and Coefficients</w:t>
      </w:r>
    </w:p>
    <w:p w14:paraId="0F2F6BAE" w14:textId="77777777"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A graded penalty system was applied, whereby the magnitude of the deduction increased with higher levels of processing:</w:t>
      </w:r>
    </w:p>
    <w:p w14:paraId="2942B127" w14:textId="77777777" w:rsidR="00D06488" w:rsidRPr="00D06488" w:rsidRDefault="00D06488" w:rsidP="00D06488">
      <w:pPr>
        <w:numPr>
          <w:ilvl w:val="0"/>
          <w:numId w:val="3"/>
        </w:num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b/>
          <w:bCs/>
        </w:rPr>
        <w:t>NOVA 1 (Unprocessed or minimally processed foods):</w:t>
      </w:r>
      <w:r w:rsidRPr="00D06488">
        <w:rPr>
          <w:rFonts w:ascii="Times New Roman" w:eastAsia="Times New Roman" w:hAnsi="Times New Roman" w:cs="Times New Roman"/>
        </w:rPr>
        <w:t xml:space="preserve"> 0.00 (no deduction)</w:t>
      </w:r>
    </w:p>
    <w:p w14:paraId="7E92EED2" w14:textId="77777777" w:rsidR="00D06488" w:rsidRPr="00D06488" w:rsidRDefault="00D06488" w:rsidP="00D06488">
      <w:pPr>
        <w:numPr>
          <w:ilvl w:val="0"/>
          <w:numId w:val="3"/>
        </w:num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b/>
          <w:bCs/>
        </w:rPr>
        <w:t>NOVA 2 (Processed culinary ingredients):</w:t>
      </w:r>
      <w:r w:rsidRPr="00D06488">
        <w:rPr>
          <w:rFonts w:ascii="Times New Roman" w:eastAsia="Times New Roman" w:hAnsi="Times New Roman" w:cs="Times New Roman"/>
        </w:rPr>
        <w:t xml:space="preserve"> −0.25 points</w:t>
      </w:r>
    </w:p>
    <w:p w14:paraId="65E0DD55" w14:textId="77777777" w:rsidR="00D06488" w:rsidRPr="00D06488" w:rsidRDefault="00D06488" w:rsidP="00D06488">
      <w:pPr>
        <w:numPr>
          <w:ilvl w:val="0"/>
          <w:numId w:val="3"/>
        </w:num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b/>
          <w:bCs/>
        </w:rPr>
        <w:t>NOVA 3 (Processed foods):</w:t>
      </w:r>
      <w:r w:rsidRPr="00D06488">
        <w:rPr>
          <w:rFonts w:ascii="Times New Roman" w:eastAsia="Times New Roman" w:hAnsi="Times New Roman" w:cs="Times New Roman"/>
        </w:rPr>
        <w:t xml:space="preserve"> −0.50 points</w:t>
      </w:r>
    </w:p>
    <w:p w14:paraId="7E97E735" w14:textId="77777777" w:rsidR="00D06488" w:rsidRPr="00D06488" w:rsidRDefault="00D06488" w:rsidP="00D06488">
      <w:pPr>
        <w:numPr>
          <w:ilvl w:val="0"/>
          <w:numId w:val="3"/>
        </w:num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b/>
          <w:bCs/>
        </w:rPr>
        <w:t>NOVA 4 (Ultra-processed foods):</w:t>
      </w:r>
      <w:r w:rsidRPr="00D06488">
        <w:rPr>
          <w:rFonts w:ascii="Times New Roman" w:eastAsia="Times New Roman" w:hAnsi="Times New Roman" w:cs="Times New Roman"/>
        </w:rPr>
        <w:t xml:space="preserve"> −0.75 points</w:t>
      </w:r>
    </w:p>
    <w:p w14:paraId="7107698E" w14:textId="3CB2C5FD"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lastRenderedPageBreak/>
        <w:t>These coefficients were selected to introduce a meaningful yet proportionally constrained influence of processing on the final HSR, while maintaining compatibility with the original HSR scale.</w:t>
      </w:r>
    </w:p>
    <w:p w14:paraId="44696E36" w14:textId="77777777" w:rsidR="00D06488" w:rsidRPr="00D06488" w:rsidRDefault="00D06488" w:rsidP="00D06488">
      <w:pPr>
        <w:spacing w:before="100" w:beforeAutospacing="1" w:after="100" w:afterAutospacing="1"/>
        <w:outlineLvl w:val="4"/>
        <w:rPr>
          <w:rFonts w:ascii="Times New Roman" w:eastAsia="Times New Roman" w:hAnsi="Times New Roman" w:cs="Times New Roman"/>
          <w:b/>
          <w:bCs/>
        </w:rPr>
      </w:pPr>
      <w:r w:rsidRPr="00D06488">
        <w:rPr>
          <w:rFonts w:ascii="Times New Roman" w:eastAsia="Times New Roman" w:hAnsi="Times New Roman" w:cs="Times New Roman"/>
          <w:b/>
          <w:bCs/>
        </w:rPr>
        <w:t>Implementation in the Study</w:t>
      </w:r>
    </w:p>
    <w:p w14:paraId="1BB5F0C0" w14:textId="77777777" w:rsidR="00D06488" w:rsidRPr="00D06488" w:rsidRDefault="00D06488" w:rsidP="00D06488">
      <w:pPr>
        <w:spacing w:before="100" w:beforeAutospacing="1" w:after="100" w:afterAutospacing="1"/>
        <w:rPr>
          <w:rFonts w:ascii="Times New Roman" w:eastAsia="Times New Roman" w:hAnsi="Times New Roman" w:cs="Times New Roman"/>
        </w:rPr>
      </w:pPr>
      <w:r w:rsidRPr="00D06488">
        <w:rPr>
          <w:rFonts w:ascii="Times New Roman" w:eastAsia="Times New Roman" w:hAnsi="Times New Roman" w:cs="Times New Roman"/>
        </w:rPr>
        <w:t>Following calculation of the baseline HSR score using the official algorithm, the NOVA-based adjustment coefficient corresponding to each product’s classification was subtracted from the baseline score. The adjusted score was then used for all analyses, including comparisons across food categories and processing levels.</w:t>
      </w:r>
    </w:p>
    <w:p w14:paraId="0221EF47" w14:textId="77777777" w:rsidR="00D06488" w:rsidRPr="00D06488" w:rsidRDefault="00D06488" w:rsidP="00D06488">
      <w:pPr>
        <w:rPr>
          <w:rFonts w:ascii="Times New Roman" w:hAnsi="Times New Roman" w:cs="Times New Roman"/>
          <w:b/>
          <w:bCs/>
          <w:lang w:val="en-US"/>
        </w:rPr>
      </w:pPr>
      <w:r w:rsidRPr="00D06488">
        <w:rPr>
          <w:rFonts w:ascii="Times New Roman" w:hAnsi="Times New Roman" w:cs="Times New Roman"/>
          <w:b/>
          <w:bCs/>
          <w:lang w:val="en-US"/>
        </w:rPr>
        <w:t>References</w:t>
      </w:r>
    </w:p>
    <w:p w14:paraId="0C12A352" w14:textId="1F92029A" w:rsidR="007A0DD2" w:rsidRDefault="007A0DD2" w:rsidP="007A0DD2">
      <w:pPr>
        <w:rPr>
          <w:rFonts w:ascii="Times New Roman" w:eastAsia="Times New Roman" w:hAnsi="Times New Roman" w:cs="Times New Roman"/>
          <w:lang w:val="en-US"/>
        </w:rPr>
      </w:pPr>
    </w:p>
    <w:p w14:paraId="21BD63BE" w14:textId="77777777" w:rsidR="007A0DD2" w:rsidRPr="007A0DD2" w:rsidRDefault="007A0DD2" w:rsidP="007A0DD2">
      <w:pPr>
        <w:pStyle w:val="NormalWeb"/>
        <w:numPr>
          <w:ilvl w:val="0"/>
          <w:numId w:val="4"/>
        </w:numPr>
      </w:pPr>
      <w:r w:rsidRPr="007A0DD2">
        <w:t xml:space="preserve">Health Star Rating System. </w:t>
      </w:r>
      <w:r w:rsidRPr="007A0DD2">
        <w:rPr>
          <w:rStyle w:val="Emphasis"/>
        </w:rPr>
        <w:t>Calculator and style guide</w:t>
      </w:r>
      <w:r w:rsidRPr="007A0DD2">
        <w:t xml:space="preserve"> (Version 2). Joint Government Initiative; Australia and New Zealand; 2020. Available from: </w:t>
      </w:r>
      <w:hyperlink r:id="rId5" w:tgtFrame="_new" w:history="1">
        <w:r w:rsidRPr="007A0DD2">
          <w:rPr>
            <w:rStyle w:val="Hyperlink"/>
          </w:rPr>
          <w:t>https://www.healthstarrating.gov.au</w:t>
        </w:r>
      </w:hyperlink>
    </w:p>
    <w:p w14:paraId="5199D045" w14:textId="77777777" w:rsidR="007A0DD2" w:rsidRPr="007A0DD2" w:rsidRDefault="007A0DD2" w:rsidP="007A0DD2">
      <w:pPr>
        <w:numPr>
          <w:ilvl w:val="0"/>
          <w:numId w:val="4"/>
        </w:numPr>
        <w:rPr>
          <w:rFonts w:ascii="Times New Roman" w:hAnsi="Times New Roman" w:cs="Times New Roman"/>
        </w:rPr>
      </w:pPr>
      <w:r w:rsidRPr="007A0DD2">
        <w:rPr>
          <w:rFonts w:ascii="Times New Roman" w:hAnsi="Times New Roman" w:cs="Times New Roman"/>
        </w:rPr>
        <w:t>Monteiro CA, Cannon G, Lawrence M, Costa Louzada MD, Pereira Machado P. Ultra-processed foods, diet quality, and health using the NOVA classification system. Rome: FAO; 2019.</w:t>
      </w:r>
    </w:p>
    <w:p w14:paraId="30C03B47" w14:textId="77777777" w:rsidR="00D06488" w:rsidRPr="00D06488" w:rsidRDefault="00D06488">
      <w:pPr>
        <w:rPr>
          <w:rFonts w:ascii="Times New Roman" w:hAnsi="Times New Roman" w:cs="Times New Roman"/>
          <w:lang w:val="en-US"/>
        </w:rPr>
      </w:pPr>
    </w:p>
    <w:sectPr w:rsidR="00D06488" w:rsidRPr="00D0648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C280E"/>
    <w:multiLevelType w:val="multilevel"/>
    <w:tmpl w:val="A83A5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36E6F"/>
    <w:multiLevelType w:val="multilevel"/>
    <w:tmpl w:val="DD00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F80759"/>
    <w:multiLevelType w:val="multilevel"/>
    <w:tmpl w:val="0118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1143FF"/>
    <w:multiLevelType w:val="multilevel"/>
    <w:tmpl w:val="8E3AB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69738478">
    <w:abstractNumId w:val="0"/>
  </w:num>
  <w:num w:numId="2" w16cid:durableId="1475561214">
    <w:abstractNumId w:val="2"/>
  </w:num>
  <w:num w:numId="3" w16cid:durableId="852182651">
    <w:abstractNumId w:val="1"/>
  </w:num>
  <w:num w:numId="4" w16cid:durableId="6718336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DEC"/>
    <w:rsid w:val="007A0DD2"/>
    <w:rsid w:val="00C23DEC"/>
    <w:rsid w:val="00D06488"/>
  </w:rsids>
  <m:mathPr>
    <m:mathFont m:val="Cambria Math"/>
    <m:brkBin m:val="before"/>
    <m:brkBinSub m:val="--"/>
    <m:smallFrac m:val="0"/>
    <m:dispDef/>
    <m:lMargin m:val="0"/>
    <m:rMargin m:val="0"/>
    <m:defJc m:val="centerGroup"/>
    <m:wrapIndent m:val="1440"/>
    <m:intLim m:val="subSup"/>
    <m:naryLim m:val="undOvr"/>
  </m:mathPr>
  <w:themeFontLang w:val="en-Q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9A572"/>
  <w15:chartTrackingRefBased/>
  <w15:docId w15:val="{66C8BA60-BAC9-884C-81F5-E99F1C3E6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Q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D06488"/>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D06488"/>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06488"/>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D06488"/>
    <w:rPr>
      <w:rFonts w:ascii="Times New Roman" w:eastAsia="Times New Roman" w:hAnsi="Times New Roman" w:cs="Times New Roman"/>
      <w:b/>
      <w:bCs/>
      <w:sz w:val="20"/>
      <w:szCs w:val="20"/>
    </w:rPr>
  </w:style>
  <w:style w:type="character" w:styleId="Strong">
    <w:name w:val="Strong"/>
    <w:basedOn w:val="DefaultParagraphFont"/>
    <w:uiPriority w:val="22"/>
    <w:qFormat/>
    <w:rsid w:val="00D06488"/>
    <w:rPr>
      <w:b/>
      <w:bCs/>
    </w:rPr>
  </w:style>
  <w:style w:type="paragraph" w:styleId="NormalWeb">
    <w:name w:val="Normal (Web)"/>
    <w:basedOn w:val="Normal"/>
    <w:uiPriority w:val="99"/>
    <w:unhideWhenUsed/>
    <w:rsid w:val="00D06488"/>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06488"/>
    <w:rPr>
      <w:i/>
      <w:iCs/>
    </w:rPr>
  </w:style>
  <w:style w:type="character" w:styleId="Hyperlink">
    <w:name w:val="Hyperlink"/>
    <w:basedOn w:val="DefaultParagraphFont"/>
    <w:uiPriority w:val="99"/>
    <w:unhideWhenUsed/>
    <w:rsid w:val="007A0D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440643">
      <w:bodyDiv w:val="1"/>
      <w:marLeft w:val="0"/>
      <w:marRight w:val="0"/>
      <w:marTop w:val="0"/>
      <w:marBottom w:val="0"/>
      <w:divBdr>
        <w:top w:val="none" w:sz="0" w:space="0" w:color="auto"/>
        <w:left w:val="none" w:sz="0" w:space="0" w:color="auto"/>
        <w:bottom w:val="none" w:sz="0" w:space="0" w:color="auto"/>
        <w:right w:val="none" w:sz="0" w:space="0" w:color="auto"/>
      </w:divBdr>
      <w:divsChild>
        <w:div w:id="1813015459">
          <w:marLeft w:val="0"/>
          <w:marRight w:val="0"/>
          <w:marTop w:val="0"/>
          <w:marBottom w:val="0"/>
          <w:divBdr>
            <w:top w:val="none" w:sz="0" w:space="0" w:color="auto"/>
            <w:left w:val="none" w:sz="0" w:space="0" w:color="auto"/>
            <w:bottom w:val="none" w:sz="0" w:space="0" w:color="auto"/>
            <w:right w:val="none" w:sz="0" w:space="0" w:color="auto"/>
          </w:divBdr>
          <w:divsChild>
            <w:div w:id="2017223866">
              <w:marLeft w:val="0"/>
              <w:marRight w:val="0"/>
              <w:marTop w:val="0"/>
              <w:marBottom w:val="0"/>
              <w:divBdr>
                <w:top w:val="none" w:sz="0" w:space="0" w:color="auto"/>
                <w:left w:val="none" w:sz="0" w:space="0" w:color="auto"/>
                <w:bottom w:val="none" w:sz="0" w:space="0" w:color="auto"/>
                <w:right w:val="none" w:sz="0" w:space="0" w:color="auto"/>
              </w:divBdr>
            </w:div>
          </w:divsChild>
        </w:div>
        <w:div w:id="23724209">
          <w:marLeft w:val="0"/>
          <w:marRight w:val="0"/>
          <w:marTop w:val="0"/>
          <w:marBottom w:val="0"/>
          <w:divBdr>
            <w:top w:val="none" w:sz="0" w:space="0" w:color="auto"/>
            <w:left w:val="none" w:sz="0" w:space="0" w:color="auto"/>
            <w:bottom w:val="none" w:sz="0" w:space="0" w:color="auto"/>
            <w:right w:val="none" w:sz="0" w:space="0" w:color="auto"/>
          </w:divBdr>
        </w:div>
      </w:divsChild>
    </w:div>
    <w:div w:id="1797522502">
      <w:bodyDiv w:val="1"/>
      <w:marLeft w:val="0"/>
      <w:marRight w:val="0"/>
      <w:marTop w:val="0"/>
      <w:marBottom w:val="0"/>
      <w:divBdr>
        <w:top w:val="none" w:sz="0" w:space="0" w:color="auto"/>
        <w:left w:val="none" w:sz="0" w:space="0" w:color="auto"/>
        <w:bottom w:val="none" w:sz="0" w:space="0" w:color="auto"/>
        <w:right w:val="none" w:sz="0" w:space="0" w:color="auto"/>
      </w:divBdr>
      <w:divsChild>
        <w:div w:id="19481978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ealthstarrating.gov.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1111</Words>
  <Characters>6337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2025-12-13T12:31:00Z</dcterms:created>
  <dcterms:modified xsi:type="dcterms:W3CDTF">2025-12-13T12:51:00Z</dcterms:modified>
</cp:coreProperties>
</file>