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B68" w:rsidRDefault="00637B68" w:rsidP="00637B68">
      <w:pPr>
        <w:shd w:val="clear" w:color="auto" w:fill="FFFFFF"/>
        <w:spacing w:before="100" w:beforeAutospacing="1" w:after="240" w:line="240" w:lineRule="auto"/>
        <w:jc w:val="both"/>
        <w:outlineLvl w:val="1"/>
        <w:rPr>
          <w:rFonts w:ascii="Times New Roman" w:eastAsia="Times New Roman" w:hAnsi="Times New Roman" w:cs="Times New Roman"/>
          <w:b/>
          <w:bCs/>
          <w:sz w:val="24"/>
          <w:szCs w:val="24"/>
        </w:rPr>
      </w:pPr>
      <w:bookmarkStart w:id="0" w:name="_GoBack"/>
      <w:r>
        <w:rPr>
          <w:rFonts w:ascii="Times New Roman" w:eastAsia="Times New Roman" w:hAnsi="Times New Roman" w:cs="Times New Roman"/>
          <w:b/>
          <w:bCs/>
          <w:sz w:val="24"/>
          <w:szCs w:val="24"/>
        </w:rPr>
        <w:t>Nutritional Self-Care Questionnaire (NSCQ)</w:t>
      </w:r>
    </w:p>
    <w:bookmarkEnd w:id="0"/>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Instrument Description</w:t>
      </w:r>
    </w:p>
    <w:p w:rsidR="00637B68" w:rsidRDefault="00637B68" w:rsidP="00637B68">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Nutritional Self-Care Questionnaire (NSCQ) is a 12-item self-report instrument developed by the research team to assess nutritional self-care behaviors among patients with chronic diseases. The questionnaire evaluates the frequency of engagement in key dietary self-management practices, including sodium reduction, fat restriction, increased fruit/vegetable consumption, dietary adherence across settings, and health information-seeking behaviors.</w:t>
      </w:r>
    </w:p>
    <w:p w:rsidR="00637B68" w:rsidRDefault="00637B68" w:rsidP="00637B68">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468pt;height:.75pt" o:hralign="center" o:hrstd="t" o:hr="t" fillcolor="#a0a0a0" stroked="f"/>
        </w:pic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Theoretical Framework and Item Generation:</w: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NSCQ was developed based on the theoretical framework of Orem's Self-Care Deficit Nursing Theory, which posits that individuals with chronic conditions engage in self-care actions to maintain health. The conceptual framework specifically drew from the "self-care agency" and "therapeutic self-care demand" components of Orem's model, adapted to the context of dietary management in chronic diseases.</w: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A comprehensive literature review was conducted to identify key domains of dietary self-care, including: (1) sodium reduction, (2) fat management, (3) increasing fruit and vegetable intake, (4) dietary adherence across different settings, and (5) health information-seeking behaviors. Based on this framework, an initial pool of 24 items was generated by the research team, which included health education specialists, nutritionists, and physicians.</w: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The item pool was then reviewed by an expert panel to assess relevance, clarity, and comprehensiveness. Through a modified Delphi process involving two rounds of expert review, items with a Content Validity Ratio (CVR) below 0.78 were eliminated, and redundant or ambiguous items were revised or removed. This iterative process resulted in the final 12-item version of the NSCQ.</w: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b/>
          <w:bCs/>
          <w:sz w:val="24"/>
          <w:szCs w:val="24"/>
        </w:rPr>
      </w:pP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b/>
          <w:bCs/>
          <w:sz w:val="24"/>
          <w:szCs w:val="24"/>
        </w:rPr>
      </w:pP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b/>
          <w:bCs/>
          <w:sz w:val="24"/>
          <w:szCs w:val="24"/>
        </w:rPr>
      </w:pP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b/>
          <w:bCs/>
          <w:sz w:val="24"/>
          <w:szCs w:val="24"/>
        </w:rPr>
      </w:pP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Response Scale</w:t>
      </w:r>
    </w:p>
    <w:p w:rsidR="00637B68" w:rsidRDefault="00637B68" w:rsidP="00637B68">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Participants rate each item on a 4-point Likert scale:</w:t>
      </w:r>
    </w:p>
    <w:tbl>
      <w:tblPr>
        <w:tblW w:w="11280" w:type="dxa"/>
        <w:tblLook w:val="04A0" w:firstRow="1" w:lastRow="0" w:firstColumn="1" w:lastColumn="0" w:noHBand="0" w:noVBand="1"/>
      </w:tblPr>
      <w:tblGrid>
        <w:gridCol w:w="3025"/>
        <w:gridCol w:w="8255"/>
      </w:tblGrid>
      <w:tr w:rsidR="00637B68" w:rsidTr="00637B68">
        <w:trPr>
          <w:tblHeader/>
        </w:trPr>
        <w:tc>
          <w:tcPr>
            <w:tcW w:w="0" w:type="auto"/>
            <w:tcMar>
              <w:top w:w="150" w:type="dxa"/>
              <w:left w:w="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Score</w:t>
            </w:r>
          </w:p>
        </w:tc>
        <w:tc>
          <w:tcPr>
            <w:tcW w:w="0" w:type="auto"/>
            <w:tcMar>
              <w:top w:w="150" w:type="dxa"/>
              <w:left w:w="24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Response Option</w:t>
            </w:r>
          </w:p>
        </w:tc>
      </w:tr>
      <w:tr w:rsidR="00637B68" w:rsidTr="00637B68">
        <w:tc>
          <w:tcPr>
            <w:tcW w:w="0" w:type="auto"/>
            <w:tcMar>
              <w:top w:w="150" w:type="dxa"/>
              <w:left w:w="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0" w:type="auto"/>
            <w:tcMar>
              <w:top w:w="150" w:type="dxa"/>
              <w:left w:w="240" w:type="dxa"/>
              <w:bottom w:w="150" w:type="dxa"/>
              <w:right w:w="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Never</w:t>
            </w:r>
          </w:p>
        </w:tc>
      </w:tr>
      <w:tr w:rsidR="00637B68" w:rsidTr="00637B68">
        <w:tc>
          <w:tcPr>
            <w:tcW w:w="0" w:type="auto"/>
            <w:tcMar>
              <w:top w:w="150" w:type="dxa"/>
              <w:left w:w="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Mar>
              <w:top w:w="150" w:type="dxa"/>
              <w:left w:w="240" w:type="dxa"/>
              <w:bottom w:w="150" w:type="dxa"/>
              <w:right w:w="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Occasionally</w:t>
            </w:r>
          </w:p>
        </w:tc>
      </w:tr>
      <w:tr w:rsidR="00637B68" w:rsidTr="00637B68">
        <w:tc>
          <w:tcPr>
            <w:tcW w:w="0" w:type="auto"/>
            <w:tcMar>
              <w:top w:w="150" w:type="dxa"/>
              <w:left w:w="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Mar>
              <w:top w:w="150" w:type="dxa"/>
              <w:left w:w="240" w:type="dxa"/>
              <w:bottom w:w="150" w:type="dxa"/>
              <w:right w:w="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Often</w:t>
            </w:r>
          </w:p>
        </w:tc>
      </w:tr>
      <w:tr w:rsidR="00637B68" w:rsidTr="00637B68">
        <w:tc>
          <w:tcPr>
            <w:tcW w:w="0" w:type="auto"/>
            <w:tcMar>
              <w:top w:w="150" w:type="dxa"/>
              <w:left w:w="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Mar>
              <w:top w:w="150" w:type="dxa"/>
              <w:left w:w="240" w:type="dxa"/>
              <w:bottom w:w="150" w:type="dxa"/>
              <w:right w:w="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Always</w:t>
            </w:r>
          </w:p>
        </w:tc>
      </w:tr>
    </w:tbl>
    <w:p w:rsidR="00637B68" w:rsidRDefault="00637B68" w:rsidP="00637B68">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468pt;height:.75pt" o:hralign="center" o:hrstd="t" o:hr="t" fillcolor="#a0a0a0" stroked="f"/>
        </w:pic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Scoring</w:t>
      </w:r>
    </w:p>
    <w:p w:rsidR="00637B68" w:rsidRDefault="00637B68" w:rsidP="00637B68">
      <w:pPr>
        <w:numPr>
          <w:ilvl w:val="0"/>
          <w:numId w:val="1"/>
        </w:numPr>
        <w:shd w:val="clear" w:color="auto" w:fill="FFFFFF"/>
        <w:spacing w:before="100" w:beforeAutospacing="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Score Range:</w:t>
      </w:r>
      <w:r>
        <w:rPr>
          <w:rFonts w:ascii="Times New Roman" w:eastAsia="Times New Roman" w:hAnsi="Times New Roman" w:cs="Times New Roman"/>
          <w:sz w:val="24"/>
          <w:szCs w:val="24"/>
        </w:rPr>
        <w:t> 0 to 36</w:t>
      </w:r>
    </w:p>
    <w:p w:rsidR="00637B68" w:rsidRDefault="00637B68" w:rsidP="00637B68">
      <w:pPr>
        <w:numPr>
          <w:ilvl w:val="0"/>
          <w:numId w:val="1"/>
        </w:numPr>
        <w:shd w:val="clear" w:color="auto" w:fill="FFFFFF"/>
        <w:spacing w:before="100" w:beforeAutospacing="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Interpretation:</w:t>
      </w:r>
      <w:r>
        <w:rPr>
          <w:rFonts w:ascii="Times New Roman" w:eastAsia="Times New Roman" w:hAnsi="Times New Roman" w:cs="Times New Roman"/>
          <w:sz w:val="24"/>
          <w:szCs w:val="24"/>
        </w:rPr>
        <w:t> Higher scores indicate better nutritional self-care practices.</w:t>
      </w:r>
    </w:p>
    <w:p w:rsidR="00637B68" w:rsidRDefault="00637B68" w:rsidP="00637B68">
      <w:pPr>
        <w:shd w:val="clear" w:color="auto" w:fill="FFFFFF"/>
        <w:spacing w:before="480" w:after="480" w:line="240" w:lineRule="auto"/>
        <w:jc w:val="both"/>
        <w:rPr>
          <w:rFonts w:ascii="Times New Roman" w:eastAsia="Times New Roman" w:hAnsi="Times New Roman" w:cs="Times New Roman"/>
          <w:sz w:val="24"/>
          <w:szCs w:val="24"/>
        </w:rPr>
      </w:pPr>
    </w:p>
    <w:p w:rsidR="00637B68" w:rsidRDefault="00637B68" w:rsidP="00637B68">
      <w:pPr>
        <w:shd w:val="clear" w:color="auto" w:fill="FFFFFF"/>
        <w:spacing w:before="480" w:after="480" w:line="240" w:lineRule="auto"/>
        <w:jc w:val="both"/>
        <w:rPr>
          <w:rFonts w:ascii="Times New Roman" w:eastAsia="Times New Roman" w:hAnsi="Times New Roman" w:cs="Times New Roman"/>
          <w:sz w:val="24"/>
          <w:szCs w:val="24"/>
        </w:rPr>
      </w:pPr>
    </w:p>
    <w:p w:rsidR="00637B68" w:rsidRDefault="00637B68" w:rsidP="00637B68">
      <w:pPr>
        <w:shd w:val="clear" w:color="auto" w:fill="FFFFFF"/>
        <w:spacing w:before="480" w:after="480" w:line="240" w:lineRule="auto"/>
        <w:jc w:val="both"/>
        <w:rPr>
          <w:rFonts w:ascii="Times New Roman" w:eastAsia="Times New Roman" w:hAnsi="Times New Roman" w:cs="Times New Roman"/>
          <w:sz w:val="24"/>
          <w:szCs w:val="24"/>
        </w:rPr>
      </w:pPr>
    </w:p>
    <w:p w:rsidR="00637B68" w:rsidRDefault="00637B68" w:rsidP="00637B68">
      <w:pPr>
        <w:shd w:val="clear" w:color="auto" w:fill="FFFFFF"/>
        <w:spacing w:before="480" w:after="480" w:line="240" w:lineRule="auto"/>
        <w:jc w:val="both"/>
        <w:rPr>
          <w:rFonts w:ascii="Times New Roman" w:eastAsia="Times New Roman" w:hAnsi="Times New Roman" w:cs="Times New Roman"/>
          <w:sz w:val="24"/>
          <w:szCs w:val="24"/>
        </w:rPr>
      </w:pPr>
    </w:p>
    <w:p w:rsidR="00637B68" w:rsidRDefault="00637B68" w:rsidP="00637B68">
      <w:pPr>
        <w:shd w:val="clear" w:color="auto" w:fill="FFFFFF"/>
        <w:spacing w:before="480" w:after="480" w:line="240" w:lineRule="auto"/>
        <w:jc w:val="both"/>
        <w:rPr>
          <w:rFonts w:ascii="Times New Roman" w:eastAsia="Times New Roman" w:hAnsi="Times New Roman" w:cs="Times New Roman"/>
          <w:sz w:val="24"/>
          <w:szCs w:val="24"/>
        </w:rPr>
      </w:pPr>
    </w:p>
    <w:p w:rsidR="00637B68" w:rsidRDefault="00637B68" w:rsidP="00637B68">
      <w:pPr>
        <w:shd w:val="clear" w:color="auto" w:fill="FFFFFF"/>
        <w:spacing w:before="480" w:after="480" w:line="240" w:lineRule="auto"/>
        <w:jc w:val="both"/>
        <w:rPr>
          <w:rFonts w:ascii="Times New Roman" w:eastAsia="Times New Roman" w:hAnsi="Times New Roman" w:cs="Times New Roman"/>
          <w:sz w:val="24"/>
          <w:szCs w:val="24"/>
        </w:rPr>
      </w:pPr>
    </w:p>
    <w:p w:rsidR="00637B68" w:rsidRDefault="00637B68" w:rsidP="00637B68">
      <w:pPr>
        <w:shd w:val="clear" w:color="auto" w:fill="FFFFFF"/>
        <w:spacing w:before="480" w:after="480" w:line="240" w:lineRule="auto"/>
        <w:jc w:val="both"/>
        <w:rPr>
          <w:rFonts w:ascii="Times New Roman" w:eastAsia="Times New Roman" w:hAnsi="Times New Roman" w:cs="Times New Roman"/>
          <w:sz w:val="24"/>
          <w:szCs w:val="24"/>
        </w:rPr>
      </w:pP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b/>
          <w:bCs/>
          <w:sz w:val="24"/>
          <w:szCs w:val="24"/>
        </w:rPr>
      </w:pP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The </w:t>
      </w:r>
      <w:proofErr w:type="spellStart"/>
      <w:r>
        <w:rPr>
          <w:rFonts w:ascii="Times New Roman" w:eastAsia="Times New Roman" w:hAnsi="Times New Roman" w:cs="Times New Roman"/>
          <w:b/>
          <w:bCs/>
          <w:sz w:val="24"/>
          <w:szCs w:val="24"/>
        </w:rPr>
        <w:t>QuestionnaireInstruction</w:t>
      </w:r>
      <w:proofErr w:type="spellEnd"/>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Please indicate how often you perform each of the following behaviors in a typical week by selecting the appropriate option</w:t>
      </w:r>
      <w:r>
        <w:rPr>
          <w:rFonts w:ascii="Times New Roman" w:eastAsia="Times New Roman" w:hAnsi="Times New Roman" w:cs="Times New Roman"/>
          <w:i/>
          <w:iCs/>
          <w:sz w:val="24"/>
          <w:szCs w:val="24"/>
        </w:rPr>
        <w:t>.</w:t>
      </w:r>
    </w:p>
    <w:tbl>
      <w:tblPr>
        <w:tblW w:w="1048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4675"/>
        <w:gridCol w:w="1275"/>
        <w:gridCol w:w="1274"/>
        <w:gridCol w:w="1134"/>
        <w:gridCol w:w="1275"/>
      </w:tblGrid>
      <w:tr w:rsidR="00637B68" w:rsidTr="00637B68">
        <w:trPr>
          <w:tblHeader/>
        </w:trPr>
        <w:tc>
          <w:tcPr>
            <w:tcW w:w="851"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Item</w:t>
            </w:r>
          </w:p>
        </w:tc>
        <w:tc>
          <w:tcPr>
            <w:tcW w:w="467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Question</w:t>
            </w: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Never (0)</w:t>
            </w:r>
          </w:p>
        </w:tc>
        <w:tc>
          <w:tcPr>
            <w:tcW w:w="1275"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Occasionally (1)</w:t>
            </w:r>
          </w:p>
        </w:tc>
        <w:tc>
          <w:tcPr>
            <w:tcW w:w="1134"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Often (2)</w:t>
            </w: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Always (3)</w:t>
            </w:r>
          </w:p>
        </w:tc>
      </w:tr>
      <w:tr w:rsidR="00637B68" w:rsidTr="00637B68">
        <w:tc>
          <w:tcPr>
            <w:tcW w:w="851"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67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replace high-salt foods (e.g., canned foods, instant noodles) with low-salt products (e.g., homemade soups, fresh vegetables).</w:t>
            </w: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pacing w:after="0"/>
              <w:rPr>
                <w:sz w:val="20"/>
                <w:szCs w:val="20"/>
              </w:rPr>
            </w:pPr>
          </w:p>
        </w:tc>
      </w:tr>
      <w:tr w:rsidR="00637B68" w:rsidTr="00637B68">
        <w:tc>
          <w:tcPr>
            <w:tcW w:w="851"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67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use grilling, boiling, or steaming instead of frying when cooking.</w:t>
            </w: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pacing w:after="0"/>
              <w:rPr>
                <w:sz w:val="20"/>
                <w:szCs w:val="20"/>
              </w:rPr>
            </w:pPr>
          </w:p>
        </w:tc>
      </w:tr>
      <w:tr w:rsidR="00637B68" w:rsidTr="00637B68">
        <w:tc>
          <w:tcPr>
            <w:tcW w:w="851"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67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consume less than one teaspoon of salt per day.</w:t>
            </w: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pacing w:after="0"/>
              <w:rPr>
                <w:sz w:val="20"/>
                <w:szCs w:val="20"/>
              </w:rPr>
            </w:pPr>
          </w:p>
        </w:tc>
      </w:tr>
      <w:tr w:rsidR="00637B68" w:rsidTr="00637B68">
        <w:tc>
          <w:tcPr>
            <w:tcW w:w="851"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67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limit my daily total caloric intake from dietary fats.</w:t>
            </w: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pacing w:after="0"/>
              <w:rPr>
                <w:sz w:val="20"/>
                <w:szCs w:val="20"/>
              </w:rPr>
            </w:pPr>
          </w:p>
        </w:tc>
      </w:tr>
      <w:tr w:rsidR="00637B68" w:rsidTr="00637B68">
        <w:tc>
          <w:tcPr>
            <w:tcW w:w="851"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67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choose low-fat products (e.g., boiled chicken) instead of traditional high-fat foods (e.g., fried chicken).</w:t>
            </w: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pacing w:after="0"/>
              <w:rPr>
                <w:sz w:val="20"/>
                <w:szCs w:val="20"/>
              </w:rPr>
            </w:pPr>
          </w:p>
        </w:tc>
      </w:tr>
      <w:tr w:rsidR="00637B68" w:rsidTr="00637B68">
        <w:tc>
          <w:tcPr>
            <w:tcW w:w="851"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67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limit the use of salty condiments and spices (e.g., tomato sauce, soy sauce).</w:t>
            </w: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pacing w:after="0"/>
              <w:rPr>
                <w:sz w:val="20"/>
                <w:szCs w:val="20"/>
              </w:rPr>
            </w:pPr>
          </w:p>
        </w:tc>
      </w:tr>
      <w:tr w:rsidR="00637B68" w:rsidTr="00637B68">
        <w:tc>
          <w:tcPr>
            <w:tcW w:w="851"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67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reduce my consumption of high-fat foods (e.g., red meat, margarine, solid vegetable oils, pastries).</w:t>
            </w: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pacing w:after="0"/>
              <w:rPr>
                <w:sz w:val="20"/>
                <w:szCs w:val="20"/>
              </w:rPr>
            </w:pPr>
          </w:p>
        </w:tc>
      </w:tr>
      <w:tr w:rsidR="00637B68" w:rsidTr="00637B68">
        <w:tc>
          <w:tcPr>
            <w:tcW w:w="851"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67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consume five or more servings of fruits and vegetables per day.</w:t>
            </w: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pacing w:after="0"/>
              <w:rPr>
                <w:sz w:val="20"/>
                <w:szCs w:val="20"/>
              </w:rPr>
            </w:pPr>
          </w:p>
        </w:tc>
      </w:tr>
      <w:tr w:rsidR="00637B68" w:rsidTr="00637B68">
        <w:tc>
          <w:tcPr>
            <w:tcW w:w="851"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67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read food labels to check the sodium content.</w:t>
            </w: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pacing w:after="0"/>
              <w:rPr>
                <w:sz w:val="20"/>
                <w:szCs w:val="20"/>
              </w:rPr>
            </w:pPr>
          </w:p>
        </w:tc>
      </w:tr>
      <w:tr w:rsidR="00637B68" w:rsidTr="00637B68">
        <w:tc>
          <w:tcPr>
            <w:tcW w:w="851"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67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read nutritional information labels on high-fat products (e.g., red meat, margarine, solid vegetable oils, pastries).</w:t>
            </w: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pacing w:after="0"/>
              <w:rPr>
                <w:sz w:val="20"/>
                <w:szCs w:val="20"/>
              </w:rPr>
            </w:pPr>
          </w:p>
        </w:tc>
      </w:tr>
      <w:tr w:rsidR="00637B68" w:rsidTr="00637B68">
        <w:tc>
          <w:tcPr>
            <w:tcW w:w="851"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67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adhere to my dietary regimen when eating in different settings (home, parties, restaurants).</w:t>
            </w: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pacing w:after="0"/>
              <w:rPr>
                <w:sz w:val="20"/>
                <w:szCs w:val="20"/>
              </w:rPr>
            </w:pPr>
          </w:p>
        </w:tc>
      </w:tr>
      <w:tr w:rsidR="00637B68" w:rsidTr="00637B68">
        <w:tc>
          <w:tcPr>
            <w:tcW w:w="851"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67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ask healthcare providers questions about nutritional self-care.</w:t>
            </w: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pacing w:after="0"/>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pacing w:after="0"/>
              <w:rPr>
                <w:sz w:val="20"/>
                <w:szCs w:val="20"/>
              </w:rPr>
            </w:pPr>
          </w:p>
        </w:tc>
      </w:tr>
    </w:tbl>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Psychometric Properties:</w: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The psychometric properties of the NSCQ were evaluated using data from 400 participants with chronic diseases in southeastern Iran.</w: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Content Validity:</w: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Content validity was assessed through expert panel evaluation comprising nutritionists, health education specialists, and physicians. The Content Validity Index (CVI) was 0.89, and the Content Validity Ratio (CVR) was 0.81, indicating excellent content validity.</w: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Internal Consistency:</w: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Internal consistency reliability was assessed using Cronbach's alpha coefficient, which demonstrated high reliability (α = 0.85), confirming that the items consistently measure the construct of nutritional self-care.</w: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Construct Validity (Exploratory Factor Analysis):</w: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Exploratory factor analysis (EFA) using principal component analysis with </w:t>
      </w:r>
      <w:proofErr w:type="spellStart"/>
      <w:r>
        <w:rPr>
          <w:rFonts w:ascii="Times New Roman" w:eastAsia="Times New Roman" w:hAnsi="Times New Roman" w:cs="Times New Roman"/>
          <w:sz w:val="24"/>
          <w:szCs w:val="24"/>
        </w:rPr>
        <w:t>Varimax</w:t>
      </w:r>
      <w:proofErr w:type="spellEnd"/>
      <w:r>
        <w:rPr>
          <w:rFonts w:ascii="Times New Roman" w:eastAsia="Times New Roman" w:hAnsi="Times New Roman" w:cs="Times New Roman"/>
          <w:sz w:val="24"/>
          <w:szCs w:val="24"/>
        </w:rPr>
        <w:t xml:space="preserve"> rotation was conducted on the 400 participants' responses. The Kaiser-Meyer-</w:t>
      </w:r>
      <w:proofErr w:type="spellStart"/>
      <w:r>
        <w:rPr>
          <w:rFonts w:ascii="Times New Roman" w:eastAsia="Times New Roman" w:hAnsi="Times New Roman" w:cs="Times New Roman"/>
          <w:sz w:val="24"/>
          <w:szCs w:val="24"/>
        </w:rPr>
        <w:t>Olkin</w:t>
      </w:r>
      <w:proofErr w:type="spellEnd"/>
      <w:r>
        <w:rPr>
          <w:rFonts w:ascii="Times New Roman" w:eastAsia="Times New Roman" w:hAnsi="Times New Roman" w:cs="Times New Roman"/>
          <w:sz w:val="24"/>
          <w:szCs w:val="24"/>
        </w:rPr>
        <w:t xml:space="preserve"> (KMO) measure of sampling adequacy was 0.872, and Bartlett's Test of </w:t>
      </w:r>
      <w:proofErr w:type="spellStart"/>
      <w:r>
        <w:rPr>
          <w:rFonts w:ascii="Times New Roman" w:eastAsia="Times New Roman" w:hAnsi="Times New Roman" w:cs="Times New Roman"/>
          <w:sz w:val="24"/>
          <w:szCs w:val="24"/>
        </w:rPr>
        <w:t>Sphericity</w:t>
      </w:r>
      <w:proofErr w:type="spellEnd"/>
      <w:r>
        <w:rPr>
          <w:rFonts w:ascii="Times New Roman" w:eastAsia="Times New Roman" w:hAnsi="Times New Roman" w:cs="Times New Roman"/>
          <w:sz w:val="24"/>
          <w:szCs w:val="24"/>
        </w:rPr>
        <w:t xml:space="preserve"> was significant (χ² = 1894.56, </w:t>
      </w:r>
      <w:proofErr w:type="spellStart"/>
      <w:r>
        <w:rPr>
          <w:rFonts w:ascii="Times New Roman" w:eastAsia="Times New Roman" w:hAnsi="Times New Roman" w:cs="Times New Roman"/>
          <w:sz w:val="24"/>
          <w:szCs w:val="24"/>
        </w:rPr>
        <w:t>df</w:t>
      </w:r>
      <w:proofErr w:type="spellEnd"/>
      <w:r>
        <w:rPr>
          <w:rFonts w:ascii="Times New Roman" w:eastAsia="Times New Roman" w:hAnsi="Times New Roman" w:cs="Times New Roman"/>
          <w:sz w:val="24"/>
          <w:szCs w:val="24"/>
        </w:rPr>
        <w:t xml:space="preserve"> = 66, p &lt; 0.001), confirming the appropriateness of factor analysis. The EFA extracted four factors with eigenvalues greater than 1, cumulatively explaining 68.4% of the total variance:</w:t>
      </w:r>
    </w:p>
    <w:p w:rsidR="00637B68" w:rsidRDefault="00637B68" w:rsidP="00637B68">
      <w:pPr>
        <w:numPr>
          <w:ilvl w:val="0"/>
          <w:numId w:val="2"/>
        </w:num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Factor 1 (Sodium and Fat Management): eigenvalue = 4.21, 28.7% variance</w:t>
      </w:r>
    </w:p>
    <w:p w:rsidR="00637B68" w:rsidRDefault="00637B68" w:rsidP="00637B68">
      <w:pPr>
        <w:numPr>
          <w:ilvl w:val="0"/>
          <w:numId w:val="2"/>
        </w:num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Factor 2 (Meal Planning and Dietary Adherence): eigenvalue = 2.89, 18.4% variance</w:t>
      </w:r>
    </w:p>
    <w:p w:rsidR="00637B68" w:rsidRDefault="00637B68" w:rsidP="00637B68">
      <w:pPr>
        <w:numPr>
          <w:ilvl w:val="0"/>
          <w:numId w:val="2"/>
        </w:num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Factor 3 (Nutrition Information-Seeking): eigenvalue = 1.76, 12.3% variance</w:t>
      </w:r>
    </w:p>
    <w:p w:rsidR="00637B68" w:rsidRDefault="00637B68" w:rsidP="00637B68">
      <w:pPr>
        <w:numPr>
          <w:ilvl w:val="0"/>
          <w:numId w:val="2"/>
        </w:num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Factor 4 (Social Situation Management): eigenvalue = 1.34, 9.0% variance</w: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All items demonstrated factor loadings above 0.45, indicating a robust factor structure.</w: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Convergent and Discriminant Validity:</w: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For convergent validity, the NSCQ total score showed a significant positive correlation with the Summary of Diabetes Self-Care Activities (SDSCA) questionnaire in the diabetic subgroup (n=133, r = 0.64, p &lt; 0.001). For discriminant validity, the NSCQ demonstrated a significant negative correlation with the Patient Health Questionnaire (PHQ-9) depression scale (r = -0.32, p &lt; 0.001), confirming that the NSCQ measures a distinct construct from depression.</w: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Criterion Validity:</w: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For criterion validity, the NSCQ total score showed a significant positive correlation with the Mini-EAT dietary quality score as the external criterion (r = 0.72, p &lt; 0.001), consistent with the regression findings (β = 0.721).</w: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The Persian version of the NSCQ, which was used for data collection in this study, is available from the corresponding author upon reasonable request.</w:t>
      </w: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Summary of Psychometric Properties:</w:t>
      </w:r>
    </w:p>
    <w:tbl>
      <w:tblPr>
        <w:tblW w:w="11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2823"/>
        <w:gridCol w:w="2268"/>
        <w:gridCol w:w="3254"/>
      </w:tblGrid>
      <w:tr w:rsidR="00637B68" w:rsidTr="00637B68">
        <w:trPr>
          <w:tblHeader/>
          <w:jc w:val="center"/>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Property</w:t>
            </w:r>
          </w:p>
        </w:tc>
        <w:tc>
          <w:tcPr>
            <w:tcW w:w="282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Method</w:t>
            </w:r>
          </w:p>
        </w:tc>
        <w:tc>
          <w:tcPr>
            <w:tcW w:w="226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Value</w:t>
            </w:r>
          </w:p>
        </w:tc>
        <w:tc>
          <w:tcPr>
            <w:tcW w:w="3254"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Interpretation</w:t>
            </w:r>
          </w:p>
        </w:tc>
      </w:tr>
      <w:tr w:rsidR="00637B68" w:rsidTr="00637B68">
        <w:trPr>
          <w:jc w:val="center"/>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Content Validity</w:t>
            </w:r>
          </w:p>
        </w:tc>
        <w:tc>
          <w:tcPr>
            <w:tcW w:w="282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CVI</w:t>
            </w:r>
          </w:p>
        </w:tc>
        <w:tc>
          <w:tcPr>
            <w:tcW w:w="226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0.89</w:t>
            </w:r>
          </w:p>
        </w:tc>
        <w:tc>
          <w:tcPr>
            <w:tcW w:w="325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Excellent</w:t>
            </w:r>
          </w:p>
        </w:tc>
      </w:tr>
      <w:tr w:rsidR="00637B68" w:rsidTr="00637B68">
        <w:trPr>
          <w:jc w:val="center"/>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Content Validity</w:t>
            </w:r>
          </w:p>
        </w:tc>
        <w:tc>
          <w:tcPr>
            <w:tcW w:w="282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CVR</w:t>
            </w:r>
          </w:p>
        </w:tc>
        <w:tc>
          <w:tcPr>
            <w:tcW w:w="226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0.81</w:t>
            </w:r>
          </w:p>
        </w:tc>
        <w:tc>
          <w:tcPr>
            <w:tcW w:w="325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Excellent</w:t>
            </w:r>
          </w:p>
        </w:tc>
      </w:tr>
      <w:tr w:rsidR="00637B68" w:rsidTr="00637B68">
        <w:trPr>
          <w:jc w:val="center"/>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Internal Consistency</w:t>
            </w:r>
          </w:p>
        </w:tc>
        <w:tc>
          <w:tcPr>
            <w:tcW w:w="282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Cronbach's α</w:t>
            </w:r>
          </w:p>
        </w:tc>
        <w:tc>
          <w:tcPr>
            <w:tcW w:w="226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0.85</w:t>
            </w:r>
          </w:p>
        </w:tc>
        <w:tc>
          <w:tcPr>
            <w:tcW w:w="325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High</w:t>
            </w:r>
          </w:p>
        </w:tc>
      </w:tr>
      <w:tr w:rsidR="00637B68" w:rsidTr="00637B68">
        <w:trPr>
          <w:jc w:val="center"/>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Sampling Adequacy</w:t>
            </w:r>
          </w:p>
        </w:tc>
        <w:tc>
          <w:tcPr>
            <w:tcW w:w="282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KMO</w:t>
            </w:r>
          </w:p>
        </w:tc>
        <w:tc>
          <w:tcPr>
            <w:tcW w:w="226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0.872</w:t>
            </w:r>
          </w:p>
        </w:tc>
        <w:tc>
          <w:tcPr>
            <w:tcW w:w="325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Excellent</w:t>
            </w:r>
          </w:p>
        </w:tc>
      </w:tr>
      <w:tr w:rsidR="00637B68" w:rsidTr="00637B68">
        <w:trPr>
          <w:jc w:val="center"/>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lastRenderedPageBreak/>
              <w:t>Factor Structure</w:t>
            </w:r>
          </w:p>
        </w:tc>
        <w:tc>
          <w:tcPr>
            <w:tcW w:w="282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EFA</w:t>
            </w:r>
          </w:p>
        </w:tc>
        <w:tc>
          <w:tcPr>
            <w:tcW w:w="226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4 factors</w:t>
            </w:r>
          </w:p>
        </w:tc>
        <w:tc>
          <w:tcPr>
            <w:tcW w:w="325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Robust</w:t>
            </w:r>
          </w:p>
        </w:tc>
      </w:tr>
      <w:tr w:rsidR="00637B68" w:rsidTr="00637B68">
        <w:trPr>
          <w:jc w:val="center"/>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Variance Explained</w:t>
            </w:r>
          </w:p>
        </w:tc>
        <w:tc>
          <w:tcPr>
            <w:tcW w:w="282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EFA</w:t>
            </w:r>
          </w:p>
        </w:tc>
        <w:tc>
          <w:tcPr>
            <w:tcW w:w="226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68.4%</w:t>
            </w:r>
          </w:p>
        </w:tc>
        <w:tc>
          <w:tcPr>
            <w:tcW w:w="325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Good</w:t>
            </w:r>
          </w:p>
        </w:tc>
      </w:tr>
      <w:tr w:rsidR="00637B68" w:rsidTr="00637B68">
        <w:trPr>
          <w:jc w:val="center"/>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Convergent Validity</w:t>
            </w:r>
          </w:p>
        </w:tc>
        <w:tc>
          <w:tcPr>
            <w:tcW w:w="282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Correlation with SDSCA</w:t>
            </w:r>
          </w:p>
        </w:tc>
        <w:tc>
          <w:tcPr>
            <w:tcW w:w="226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r = 0.64, p &lt; 0.001</w:t>
            </w:r>
          </w:p>
        </w:tc>
        <w:tc>
          <w:tcPr>
            <w:tcW w:w="325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Good</w:t>
            </w:r>
          </w:p>
        </w:tc>
      </w:tr>
      <w:tr w:rsidR="00637B68" w:rsidTr="00637B68">
        <w:trPr>
          <w:jc w:val="center"/>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Discriminant Validity</w:t>
            </w:r>
          </w:p>
        </w:tc>
        <w:tc>
          <w:tcPr>
            <w:tcW w:w="282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Correlation with PHQ-9</w:t>
            </w:r>
          </w:p>
        </w:tc>
        <w:tc>
          <w:tcPr>
            <w:tcW w:w="226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r = -0.32, p &lt; 0.001</w:t>
            </w:r>
          </w:p>
        </w:tc>
        <w:tc>
          <w:tcPr>
            <w:tcW w:w="325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Good</w:t>
            </w:r>
          </w:p>
        </w:tc>
      </w:tr>
      <w:tr w:rsidR="00637B68" w:rsidTr="00637B68">
        <w:trPr>
          <w:jc w:val="center"/>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Criterion Validity</w:t>
            </w:r>
          </w:p>
        </w:tc>
        <w:tc>
          <w:tcPr>
            <w:tcW w:w="282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Correlation with Mini-EAT</w:t>
            </w:r>
          </w:p>
        </w:tc>
        <w:tc>
          <w:tcPr>
            <w:tcW w:w="226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r = 0.72, p &lt; 0.001</w:t>
            </w:r>
          </w:p>
        </w:tc>
        <w:tc>
          <w:tcPr>
            <w:tcW w:w="325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637B68" w:rsidRDefault="00637B68">
            <w:pPr>
              <w:shd w:val="clear" w:color="auto" w:fill="FFFFFF"/>
              <w:spacing w:before="480" w:after="240" w:line="240" w:lineRule="auto"/>
              <w:jc w:val="center"/>
              <w:outlineLvl w:val="2"/>
              <w:rPr>
                <w:rFonts w:ascii="Times New Roman" w:eastAsia="Times New Roman" w:hAnsi="Times New Roman" w:cs="Times New Roman"/>
              </w:rPr>
            </w:pPr>
            <w:r>
              <w:rPr>
                <w:rFonts w:ascii="Times New Roman" w:eastAsia="Times New Roman" w:hAnsi="Times New Roman" w:cs="Times New Roman"/>
              </w:rPr>
              <w:t>Good</w:t>
            </w:r>
          </w:p>
        </w:tc>
      </w:tr>
    </w:tbl>
    <w:p w:rsidR="00637B68" w:rsidRDefault="00637B68" w:rsidP="00637B68">
      <w:pPr>
        <w:shd w:val="clear" w:color="auto" w:fill="FFFFFF"/>
        <w:spacing w:before="480" w:after="240" w:line="240" w:lineRule="auto"/>
        <w:jc w:val="center"/>
        <w:outlineLvl w:val="2"/>
        <w:rPr>
          <w:rFonts w:ascii="Times New Roman" w:eastAsia="Times New Roman" w:hAnsi="Times New Roman" w:cs="Times New Roman"/>
          <w:b/>
          <w:bCs/>
          <w:sz w:val="24"/>
          <w:szCs w:val="24"/>
        </w:rPr>
      </w:pP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b/>
          <w:bCs/>
          <w:sz w:val="24"/>
          <w:szCs w:val="24"/>
        </w:rPr>
      </w:pPr>
    </w:p>
    <w:p w:rsidR="00637B68" w:rsidRDefault="00637B68" w:rsidP="00637B68">
      <w:pPr>
        <w:shd w:val="clear" w:color="auto" w:fill="FFFFFF"/>
        <w:spacing w:before="480" w:after="240" w:line="240" w:lineRule="auto"/>
        <w:jc w:val="both"/>
        <w:outlineLvl w:val="2"/>
        <w:rPr>
          <w:rFonts w:ascii="Times New Roman" w:eastAsia="Times New Roman" w:hAnsi="Times New Roman" w:cs="Times New Roman"/>
          <w:b/>
          <w:bCs/>
          <w:sz w:val="24"/>
          <w:szCs w:val="24"/>
        </w:rPr>
      </w:pPr>
    </w:p>
    <w:p w:rsidR="00637B68" w:rsidRDefault="00637B68" w:rsidP="00637B68">
      <w:pPr>
        <w:shd w:val="clear" w:color="auto" w:fill="FFFFFF"/>
        <w:spacing w:before="480" w:after="480" w:line="240" w:lineRule="auto"/>
        <w:jc w:val="both"/>
        <w:rPr>
          <w:rFonts w:ascii="Times New Roman" w:eastAsia="Times New Roman" w:hAnsi="Times New Roman" w:cs="Times New Roman"/>
          <w:sz w:val="24"/>
          <w:szCs w:val="24"/>
        </w:rPr>
      </w:pPr>
    </w:p>
    <w:p w:rsidR="00637B68" w:rsidRDefault="00637B68" w:rsidP="00637B68">
      <w:pPr>
        <w:spacing w:after="200" w:line="276" w:lineRule="auto"/>
        <w:jc w:val="both"/>
        <w:rPr>
          <w:rFonts w:ascii="Times New Roman" w:hAnsi="Times New Roman" w:cs="Times New Roman"/>
          <w:sz w:val="24"/>
          <w:szCs w:val="24"/>
        </w:rPr>
      </w:pPr>
    </w:p>
    <w:p w:rsidR="00637B68" w:rsidRDefault="00637B68" w:rsidP="00637B68">
      <w:pPr>
        <w:spacing w:after="200" w:line="276" w:lineRule="auto"/>
        <w:rPr>
          <w:rFonts w:ascii="Times New Roman" w:hAnsi="Times New Roman" w:cs="Times New Roman"/>
          <w:sz w:val="24"/>
          <w:szCs w:val="24"/>
        </w:rPr>
      </w:pPr>
    </w:p>
    <w:p w:rsidR="00637B68" w:rsidRDefault="00637B68" w:rsidP="00637B68">
      <w:pPr>
        <w:spacing w:after="200" w:line="276" w:lineRule="auto"/>
        <w:rPr>
          <w:rFonts w:ascii="Times New Roman" w:hAnsi="Times New Roman" w:cs="Times New Roman"/>
          <w:sz w:val="24"/>
          <w:szCs w:val="24"/>
        </w:rPr>
      </w:pPr>
    </w:p>
    <w:p w:rsidR="00637B68" w:rsidRDefault="00637B68" w:rsidP="00637B68">
      <w:pPr>
        <w:spacing w:after="200" w:line="276" w:lineRule="auto"/>
        <w:rPr>
          <w:rFonts w:ascii="Times New Roman" w:hAnsi="Times New Roman" w:cs="Times New Roman"/>
          <w:sz w:val="24"/>
          <w:szCs w:val="24"/>
        </w:rPr>
      </w:pPr>
    </w:p>
    <w:p w:rsidR="00637B68" w:rsidRDefault="00637B68" w:rsidP="00637B68">
      <w:pPr>
        <w:spacing w:after="200" w:line="276" w:lineRule="auto"/>
        <w:rPr>
          <w:rFonts w:ascii="Times New Roman" w:hAnsi="Times New Roman" w:cs="Times New Roman"/>
          <w:sz w:val="24"/>
          <w:szCs w:val="24"/>
        </w:rPr>
      </w:pPr>
    </w:p>
    <w:p w:rsidR="00637B68" w:rsidRDefault="00637B68" w:rsidP="00637B68">
      <w:pPr>
        <w:spacing w:after="200" w:line="276" w:lineRule="auto"/>
        <w:rPr>
          <w:rFonts w:ascii="Times New Roman" w:hAnsi="Times New Roman" w:cs="Times New Roman"/>
          <w:sz w:val="24"/>
          <w:szCs w:val="24"/>
        </w:rPr>
      </w:pPr>
    </w:p>
    <w:p w:rsidR="00637B68" w:rsidRDefault="00637B68" w:rsidP="00637B68">
      <w:pPr>
        <w:spacing w:after="200" w:line="276" w:lineRule="auto"/>
        <w:rPr>
          <w:rFonts w:ascii="Times New Roman" w:hAnsi="Times New Roman" w:cs="Times New Roman"/>
          <w:sz w:val="24"/>
          <w:szCs w:val="24"/>
        </w:rPr>
      </w:pPr>
    </w:p>
    <w:p w:rsidR="00637B68" w:rsidRDefault="00637B68" w:rsidP="00637B68">
      <w:pPr>
        <w:spacing w:after="200" w:line="276" w:lineRule="auto"/>
        <w:rPr>
          <w:rFonts w:ascii="Times New Roman" w:hAnsi="Times New Roman" w:cs="Times New Roman"/>
          <w:sz w:val="24"/>
          <w:szCs w:val="24"/>
        </w:rPr>
      </w:pPr>
    </w:p>
    <w:p w:rsidR="00637B68" w:rsidRDefault="00637B68" w:rsidP="00637B68">
      <w:pPr>
        <w:spacing w:after="200" w:line="276" w:lineRule="auto"/>
        <w:rPr>
          <w:rFonts w:ascii="Times New Roman" w:hAnsi="Times New Roman" w:cs="Times New Roman"/>
          <w:sz w:val="24"/>
          <w:szCs w:val="24"/>
        </w:rPr>
      </w:pPr>
    </w:p>
    <w:p w:rsidR="00637B68" w:rsidRDefault="00637B68" w:rsidP="00637B68">
      <w:pPr>
        <w:spacing w:after="200" w:line="276" w:lineRule="auto"/>
        <w:rPr>
          <w:rFonts w:ascii="Times New Roman" w:hAnsi="Times New Roman" w:cs="Times New Roman"/>
          <w:sz w:val="24"/>
          <w:szCs w:val="24"/>
        </w:rPr>
      </w:pPr>
    </w:p>
    <w:p w:rsidR="00637B68" w:rsidRDefault="00637B68" w:rsidP="00637B68">
      <w:pPr>
        <w:spacing w:after="200" w:line="276" w:lineRule="auto"/>
        <w:rPr>
          <w:rFonts w:ascii="Times New Roman" w:hAnsi="Times New Roman" w:cs="Times New Roman"/>
          <w:sz w:val="24"/>
          <w:szCs w:val="24"/>
        </w:rPr>
      </w:pPr>
    </w:p>
    <w:p w:rsidR="00637B68" w:rsidRDefault="00637B68" w:rsidP="00637B68">
      <w:pPr>
        <w:spacing w:after="200" w:line="276" w:lineRule="auto"/>
        <w:rPr>
          <w:rFonts w:ascii="Times New Roman" w:hAnsi="Times New Roman" w:cs="Times New Roman"/>
          <w:sz w:val="24"/>
          <w:szCs w:val="24"/>
        </w:rPr>
      </w:pPr>
    </w:p>
    <w:p w:rsidR="00637B68" w:rsidRDefault="00637B68" w:rsidP="00637B68">
      <w:pPr>
        <w:spacing w:after="200" w:line="276" w:lineRule="auto"/>
        <w:rPr>
          <w:rFonts w:ascii="Times New Roman" w:hAnsi="Times New Roman" w:cs="Times New Roman"/>
          <w:sz w:val="24"/>
          <w:szCs w:val="24"/>
        </w:rPr>
      </w:pPr>
    </w:p>
    <w:p w:rsidR="00637B68" w:rsidRDefault="00637B68" w:rsidP="00637B68"/>
    <w:p w:rsidR="004A0676" w:rsidRDefault="004A0676"/>
    <w:sectPr w:rsidR="004A06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111FBB"/>
    <w:multiLevelType w:val="multilevel"/>
    <w:tmpl w:val="FB8E3A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D7785C"/>
    <w:multiLevelType w:val="multilevel"/>
    <w:tmpl w:val="85B610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B68"/>
    <w:rsid w:val="004A0676"/>
    <w:rsid w:val="00637B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631599-3814-4482-A17D-D76C63465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7B68"/>
    <w:pPr>
      <w:spacing w:line="25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583797">
      <w:bodyDiv w:val="1"/>
      <w:marLeft w:val="0"/>
      <w:marRight w:val="0"/>
      <w:marTop w:val="0"/>
      <w:marBottom w:val="0"/>
      <w:divBdr>
        <w:top w:val="none" w:sz="0" w:space="0" w:color="auto"/>
        <w:left w:val="none" w:sz="0" w:space="0" w:color="auto"/>
        <w:bottom w:val="none" w:sz="0" w:space="0" w:color="auto"/>
        <w:right w:val="none" w:sz="0" w:space="0" w:color="auto"/>
      </w:divBdr>
      <w:divsChild>
        <w:div w:id="259022105">
          <w:marLeft w:val="0"/>
          <w:marRight w:val="0"/>
          <w:marTop w:val="480"/>
          <w:marBottom w:val="480"/>
          <w:divBdr>
            <w:top w:val="none" w:sz="0" w:space="0" w:color="auto"/>
            <w:left w:val="none" w:sz="0" w:space="0" w:color="auto"/>
            <w:bottom w:val="none" w:sz="0" w:space="0" w:color="auto"/>
            <w:right w:val="none" w:sz="0" w:space="0" w:color="auto"/>
          </w:divBdr>
        </w:div>
        <w:div w:id="1160343293">
          <w:marLeft w:val="0"/>
          <w:marRight w:val="0"/>
          <w:marTop w:val="480"/>
          <w:marBottom w:val="4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951</Words>
  <Characters>5422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Dr.izadirad</dc:creator>
  <cp:keywords/>
  <dc:description/>
  <cp:lastModifiedBy>Dr.izadirad</cp:lastModifiedBy>
  <cp:revision>1</cp:revision>
  <dcterms:created xsi:type="dcterms:W3CDTF">2026-08-15T05:15:00Z</dcterms:created>
  <dcterms:modified xsi:type="dcterms:W3CDTF">2026-08-15T05:16:00Z</dcterms:modified>
</cp:coreProperties>
</file>