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D600A" w14:textId="3559BA0D" w:rsidR="005C3B29" w:rsidRPr="003259D5" w:rsidRDefault="005C3B29" w:rsidP="003259D5">
      <w:pPr>
        <w:rPr>
          <w:rFonts w:ascii="Times New Roman" w:eastAsia="Times New Roman" w:hAnsi="Times New Roman" w:cs="Times New Roman"/>
          <w:b/>
          <w:color w:val="222222"/>
          <w:lang w:eastAsia="es-CL"/>
        </w:rPr>
      </w:pPr>
      <w:r w:rsidRPr="003259D5">
        <w:rPr>
          <w:rFonts w:ascii="Times New Roman" w:eastAsia="Times New Roman" w:hAnsi="Times New Roman" w:cs="Times New Roman"/>
          <w:b/>
          <w:color w:val="222222"/>
          <w:lang w:eastAsia="es-CL"/>
        </w:rPr>
        <w:t>Electronic Supplementary Material Table S</w:t>
      </w:r>
      <w:r w:rsidR="00BF309B" w:rsidRPr="003259D5">
        <w:rPr>
          <w:rFonts w:ascii="Times New Roman" w:eastAsia="Times New Roman" w:hAnsi="Times New Roman" w:cs="Times New Roman"/>
          <w:b/>
          <w:color w:val="222222"/>
          <w:lang w:eastAsia="es-CL"/>
        </w:rPr>
        <w:t>2</w:t>
      </w:r>
    </w:p>
    <w:p w14:paraId="20BA2EAF" w14:textId="77777777" w:rsidR="005C3B29" w:rsidRPr="003259D5" w:rsidRDefault="005C3B29" w:rsidP="003259D5">
      <w:pPr>
        <w:rPr>
          <w:rFonts w:ascii="Times New Roman" w:eastAsia="Times New Roman" w:hAnsi="Times New Roman" w:cs="Times New Roman"/>
          <w:b/>
          <w:color w:val="222222"/>
          <w:lang w:eastAsia="es-CL"/>
        </w:rPr>
      </w:pPr>
    </w:p>
    <w:p w14:paraId="52473472" w14:textId="77777777" w:rsidR="003259D5" w:rsidRPr="003259D5" w:rsidRDefault="003259D5" w:rsidP="003259D5">
      <w:pPr>
        <w:rPr>
          <w:rFonts w:ascii="Times New Roman" w:hAnsi="Times New Roman" w:cs="Times New Roman"/>
          <w:color w:val="333333"/>
          <w:shd w:val="clear" w:color="auto" w:fill="FCFCFC"/>
        </w:rPr>
      </w:pPr>
      <w:r w:rsidRPr="003259D5">
        <w:rPr>
          <w:rFonts w:ascii="Times New Roman" w:hAnsi="Times New Roman" w:cs="Times New Roman"/>
          <w:b/>
          <w:color w:val="333333"/>
          <w:shd w:val="clear" w:color="auto" w:fill="FCFCFC"/>
        </w:rPr>
        <w:t>Article title</w:t>
      </w:r>
      <w:r w:rsidRPr="003259D5">
        <w:rPr>
          <w:rFonts w:ascii="Times New Roman" w:hAnsi="Times New Roman" w:cs="Times New Roman"/>
          <w:color w:val="333333"/>
          <w:shd w:val="clear" w:color="auto" w:fill="FCFCFC"/>
        </w:rPr>
        <w:t xml:space="preserve">: </w:t>
      </w:r>
    </w:p>
    <w:p w14:paraId="10B3C7F1" w14:textId="77777777" w:rsidR="003259D5" w:rsidRPr="003259D5" w:rsidRDefault="003259D5" w:rsidP="003259D5">
      <w:pPr>
        <w:rPr>
          <w:rFonts w:ascii="Times New Roman" w:hAnsi="Times New Roman" w:cs="Times New Roman"/>
          <w:bCs/>
          <w:color w:val="000000" w:themeColor="text1"/>
        </w:rPr>
      </w:pPr>
      <w:r w:rsidRPr="003259D5">
        <w:rPr>
          <w:rFonts w:ascii="Times New Roman" w:hAnsi="Times New Roman" w:cs="Times New Roman"/>
          <w:bCs/>
          <w:color w:val="000000" w:themeColor="text1"/>
        </w:rPr>
        <w:t xml:space="preserve">Plyometric-jump training effects on </w:t>
      </w:r>
      <w:r w:rsidRPr="003259D5">
        <w:rPr>
          <w:rFonts w:ascii="Times New Roman" w:hAnsi="Times New Roman" w:cs="Times New Roman"/>
          <w:bCs/>
          <w:color w:val="000000" w:themeColor="text1"/>
          <w:bdr w:val="none" w:sz="0" w:space="0" w:color="auto" w:frame="1"/>
        </w:rPr>
        <w:t>physical fitness and sport-specific performance</w:t>
      </w:r>
      <w:r w:rsidRPr="003259D5" w:rsidDel="00567CC7">
        <w:rPr>
          <w:rFonts w:ascii="Times New Roman" w:hAnsi="Times New Roman" w:cs="Times New Roman"/>
          <w:bCs/>
          <w:color w:val="000000" w:themeColor="text1"/>
        </w:rPr>
        <w:t xml:space="preserve"> </w:t>
      </w:r>
      <w:r w:rsidRPr="003259D5">
        <w:rPr>
          <w:rFonts w:ascii="Times New Roman" w:hAnsi="Times New Roman" w:cs="Times New Roman"/>
          <w:color w:val="000000" w:themeColor="text1"/>
        </w:rPr>
        <w:t>according to maturity</w:t>
      </w:r>
      <w:r w:rsidRPr="003259D5">
        <w:rPr>
          <w:rFonts w:ascii="Times New Roman" w:hAnsi="Times New Roman" w:cs="Times New Roman"/>
          <w:bCs/>
          <w:color w:val="000000" w:themeColor="text1"/>
        </w:rPr>
        <w:t>: A systematic review with meta-analysis</w:t>
      </w:r>
    </w:p>
    <w:p w14:paraId="5C0A29D0" w14:textId="77777777" w:rsidR="003259D5" w:rsidRPr="003259D5" w:rsidRDefault="003259D5" w:rsidP="003259D5">
      <w:pPr>
        <w:rPr>
          <w:rFonts w:ascii="Times New Roman" w:hAnsi="Times New Roman" w:cs="Times New Roman"/>
          <w:color w:val="000000" w:themeColor="text1"/>
        </w:rPr>
      </w:pPr>
    </w:p>
    <w:p w14:paraId="45D6CD4F" w14:textId="77777777" w:rsidR="003259D5" w:rsidRPr="003259D5" w:rsidRDefault="003259D5" w:rsidP="003259D5">
      <w:pPr>
        <w:rPr>
          <w:rFonts w:ascii="Times New Roman" w:hAnsi="Times New Roman" w:cs="Times New Roman"/>
          <w:color w:val="333333"/>
          <w:shd w:val="clear" w:color="auto" w:fill="FCFCFC"/>
          <w:lang w:val="en-US"/>
        </w:rPr>
      </w:pPr>
      <w:r w:rsidRPr="003259D5">
        <w:rPr>
          <w:rFonts w:ascii="Times New Roman" w:hAnsi="Times New Roman" w:cs="Times New Roman"/>
          <w:b/>
          <w:color w:val="333333"/>
          <w:shd w:val="clear" w:color="auto" w:fill="FCFCFC"/>
          <w:lang w:val="en-US"/>
        </w:rPr>
        <w:t>Author names</w:t>
      </w:r>
      <w:r w:rsidRPr="003259D5">
        <w:rPr>
          <w:rFonts w:ascii="Times New Roman" w:hAnsi="Times New Roman" w:cs="Times New Roman"/>
          <w:color w:val="333333"/>
          <w:shd w:val="clear" w:color="auto" w:fill="FCFCFC"/>
          <w:lang w:val="en-US"/>
        </w:rPr>
        <w:t xml:space="preserve">: </w:t>
      </w:r>
    </w:p>
    <w:p w14:paraId="5C8F2245" w14:textId="77777777" w:rsidR="003259D5" w:rsidRPr="003259D5" w:rsidRDefault="003259D5" w:rsidP="003259D5">
      <w:pPr>
        <w:rPr>
          <w:rFonts w:ascii="Times New Roman" w:hAnsi="Times New Roman" w:cs="Times New Roman"/>
          <w:color w:val="000000" w:themeColor="text1"/>
          <w:shd w:val="clear" w:color="auto" w:fill="FFFFFF"/>
          <w:vertAlign w:val="superscript"/>
        </w:rPr>
      </w:pPr>
      <w:r w:rsidRPr="003259D5">
        <w:rPr>
          <w:rFonts w:ascii="Times New Roman" w:hAnsi="Times New Roman" w:cs="Times New Roman"/>
          <w:color w:val="000000" w:themeColor="text1"/>
        </w:rPr>
        <w:t>Rodrigo Ramirez-Campillo,</w:t>
      </w:r>
      <w:r w:rsidRPr="003259D5">
        <w:rPr>
          <w:rFonts w:ascii="Times New Roman" w:hAnsi="Times New Roman" w:cs="Times New Roman"/>
          <w:color w:val="000000" w:themeColor="text1"/>
          <w:shd w:val="clear" w:color="auto" w:fill="FFFFFF"/>
        </w:rPr>
        <w:t xml:space="preserve"> Andrew Sortwell, Jason Moran, José Afonso, Filipe Manuel Clemente, Rhodri S. Lloyd, Jon L. Oliver, Jason Pedley, Urs Granacher </w:t>
      </w:r>
    </w:p>
    <w:p w14:paraId="7A229159" w14:textId="77777777" w:rsidR="003259D5" w:rsidRPr="003259D5" w:rsidRDefault="003259D5" w:rsidP="003259D5">
      <w:pPr>
        <w:rPr>
          <w:rFonts w:ascii="Times New Roman" w:hAnsi="Times New Roman" w:cs="Times New Roman"/>
          <w:color w:val="000000" w:themeColor="text1"/>
          <w:shd w:val="clear" w:color="auto" w:fill="FFFFFF"/>
        </w:rPr>
      </w:pPr>
    </w:p>
    <w:p w14:paraId="1B2EECD5" w14:textId="77777777" w:rsidR="003259D5" w:rsidRPr="003259D5" w:rsidRDefault="003259D5" w:rsidP="003259D5">
      <w:pPr>
        <w:rPr>
          <w:rFonts w:ascii="Times New Roman" w:hAnsi="Times New Roman" w:cs="Times New Roman"/>
          <w:color w:val="333333"/>
          <w:shd w:val="clear" w:color="auto" w:fill="FCFCFC"/>
        </w:rPr>
      </w:pPr>
      <w:r w:rsidRPr="003259D5">
        <w:rPr>
          <w:rFonts w:ascii="Times New Roman" w:hAnsi="Times New Roman" w:cs="Times New Roman"/>
          <w:b/>
          <w:color w:val="333333"/>
          <w:shd w:val="clear" w:color="auto" w:fill="FCFCFC"/>
        </w:rPr>
        <w:t>Affiliation and e-mail of the corresponding author</w:t>
      </w:r>
      <w:r w:rsidRPr="003259D5">
        <w:rPr>
          <w:rFonts w:ascii="Times New Roman" w:hAnsi="Times New Roman" w:cs="Times New Roman"/>
          <w:color w:val="333333"/>
          <w:shd w:val="clear" w:color="auto" w:fill="FCFCFC"/>
        </w:rPr>
        <w:t>:</w:t>
      </w:r>
    </w:p>
    <w:p w14:paraId="724077A0" w14:textId="77777777" w:rsidR="003259D5" w:rsidRPr="003259D5" w:rsidRDefault="003259D5" w:rsidP="003259D5">
      <w:pPr>
        <w:rPr>
          <w:rFonts w:ascii="Times New Roman" w:hAnsi="Times New Roman" w:cs="Times New Roman"/>
          <w:color w:val="000000" w:themeColor="text1"/>
          <w:shd w:val="clear" w:color="auto" w:fill="FFFFFF"/>
        </w:rPr>
      </w:pPr>
      <w:proofErr w:type="spellStart"/>
      <w:r w:rsidRPr="003259D5">
        <w:rPr>
          <w:rFonts w:ascii="Times New Roman" w:hAnsi="Times New Roman" w:cs="Times New Roman"/>
          <w:color w:val="000000" w:themeColor="text1"/>
          <w:shd w:val="clear" w:color="auto" w:fill="FFFFFF"/>
        </w:rPr>
        <w:t>Prof.</w:t>
      </w:r>
      <w:proofErr w:type="spellEnd"/>
      <w:r w:rsidRPr="003259D5">
        <w:rPr>
          <w:rFonts w:ascii="Times New Roman" w:hAnsi="Times New Roman" w:cs="Times New Roman"/>
          <w:color w:val="000000" w:themeColor="text1"/>
          <w:shd w:val="clear" w:color="auto" w:fill="FFFFFF"/>
        </w:rPr>
        <w:t xml:space="preserve"> Urs Granacher, PhD</w:t>
      </w:r>
    </w:p>
    <w:p w14:paraId="2E3A2392" w14:textId="77777777" w:rsidR="003259D5" w:rsidRPr="003259D5" w:rsidRDefault="003259D5" w:rsidP="003259D5">
      <w:pPr>
        <w:rPr>
          <w:rFonts w:ascii="Times New Roman" w:hAnsi="Times New Roman" w:cs="Times New Roman"/>
          <w:color w:val="000000" w:themeColor="text1"/>
          <w:shd w:val="clear" w:color="auto" w:fill="FFFFFF"/>
        </w:rPr>
      </w:pPr>
      <w:r w:rsidRPr="003259D5">
        <w:rPr>
          <w:rFonts w:ascii="Times New Roman" w:hAnsi="Times New Roman" w:cs="Times New Roman"/>
          <w:color w:val="000000" w:themeColor="text1"/>
          <w:shd w:val="clear" w:color="auto" w:fill="FFFFFF"/>
        </w:rPr>
        <w:t>University of Freiburg</w:t>
      </w:r>
    </w:p>
    <w:p w14:paraId="077367FE" w14:textId="77777777" w:rsidR="003259D5" w:rsidRPr="003259D5" w:rsidRDefault="003259D5" w:rsidP="003259D5">
      <w:pPr>
        <w:rPr>
          <w:rFonts w:ascii="Times New Roman" w:hAnsi="Times New Roman" w:cs="Times New Roman"/>
          <w:color w:val="000000" w:themeColor="text1"/>
          <w:shd w:val="clear" w:color="auto" w:fill="FFFFFF"/>
        </w:rPr>
      </w:pPr>
      <w:r w:rsidRPr="003259D5">
        <w:rPr>
          <w:rFonts w:ascii="Times New Roman" w:hAnsi="Times New Roman" w:cs="Times New Roman"/>
          <w:color w:val="000000" w:themeColor="text1"/>
          <w:shd w:val="clear" w:color="auto" w:fill="FFFFFF"/>
        </w:rPr>
        <w:t>Department of Sport and Sport Science</w:t>
      </w:r>
    </w:p>
    <w:p w14:paraId="7169277A" w14:textId="77777777" w:rsidR="003259D5" w:rsidRPr="003259D5" w:rsidRDefault="003259D5" w:rsidP="003259D5">
      <w:pPr>
        <w:rPr>
          <w:rFonts w:ascii="Times New Roman" w:hAnsi="Times New Roman" w:cs="Times New Roman"/>
          <w:color w:val="000000" w:themeColor="text1"/>
          <w:shd w:val="clear" w:color="auto" w:fill="FFFFFF"/>
        </w:rPr>
      </w:pPr>
      <w:r w:rsidRPr="003259D5">
        <w:rPr>
          <w:rFonts w:ascii="Times New Roman" w:hAnsi="Times New Roman" w:cs="Times New Roman"/>
          <w:color w:val="000000" w:themeColor="text1"/>
          <w:shd w:val="clear" w:color="auto" w:fill="FFFFFF"/>
        </w:rPr>
        <w:t>Exercise and Human Movement Science</w:t>
      </w:r>
    </w:p>
    <w:p w14:paraId="6A1C79F7" w14:textId="77777777" w:rsidR="003259D5" w:rsidRPr="003259D5" w:rsidRDefault="003259D5" w:rsidP="003259D5">
      <w:pPr>
        <w:rPr>
          <w:rFonts w:ascii="Times New Roman" w:hAnsi="Times New Roman" w:cs="Times New Roman"/>
          <w:color w:val="000000" w:themeColor="text1"/>
          <w:shd w:val="clear" w:color="auto" w:fill="FFFFFF"/>
        </w:rPr>
      </w:pPr>
      <w:proofErr w:type="spellStart"/>
      <w:r w:rsidRPr="003259D5">
        <w:rPr>
          <w:rFonts w:ascii="Times New Roman" w:hAnsi="Times New Roman" w:cs="Times New Roman"/>
          <w:color w:val="000000" w:themeColor="text1"/>
          <w:shd w:val="clear" w:color="auto" w:fill="FFFFFF"/>
        </w:rPr>
        <w:t>Sandfangweg</w:t>
      </w:r>
      <w:proofErr w:type="spellEnd"/>
      <w:r w:rsidRPr="003259D5">
        <w:rPr>
          <w:rFonts w:ascii="Times New Roman" w:hAnsi="Times New Roman" w:cs="Times New Roman"/>
          <w:color w:val="000000" w:themeColor="text1"/>
          <w:shd w:val="clear" w:color="auto" w:fill="FFFFFF"/>
        </w:rPr>
        <w:t xml:space="preserve"> 4</w:t>
      </w:r>
    </w:p>
    <w:p w14:paraId="617FE24D" w14:textId="77777777" w:rsidR="003259D5" w:rsidRPr="003259D5" w:rsidRDefault="003259D5" w:rsidP="003259D5">
      <w:pPr>
        <w:rPr>
          <w:rFonts w:ascii="Times New Roman" w:hAnsi="Times New Roman" w:cs="Times New Roman"/>
          <w:color w:val="000000" w:themeColor="text1"/>
          <w:shd w:val="clear" w:color="auto" w:fill="FFFFFF"/>
        </w:rPr>
      </w:pPr>
      <w:r w:rsidRPr="003259D5">
        <w:rPr>
          <w:rFonts w:ascii="Times New Roman" w:hAnsi="Times New Roman" w:cs="Times New Roman"/>
          <w:color w:val="000000" w:themeColor="text1"/>
          <w:shd w:val="clear" w:color="auto" w:fill="FFFFFF"/>
        </w:rPr>
        <w:t xml:space="preserve">79102 Freiburg </w:t>
      </w:r>
      <w:proofErr w:type="spellStart"/>
      <w:r w:rsidRPr="003259D5">
        <w:rPr>
          <w:rFonts w:ascii="Times New Roman" w:hAnsi="Times New Roman" w:cs="Times New Roman"/>
          <w:color w:val="000000" w:themeColor="text1"/>
          <w:shd w:val="clear" w:color="auto" w:fill="FFFFFF"/>
        </w:rPr>
        <w:t>i</w:t>
      </w:r>
      <w:proofErr w:type="spellEnd"/>
      <w:r w:rsidRPr="003259D5">
        <w:rPr>
          <w:rFonts w:ascii="Times New Roman" w:hAnsi="Times New Roman" w:cs="Times New Roman"/>
          <w:color w:val="000000" w:themeColor="text1"/>
          <w:shd w:val="clear" w:color="auto" w:fill="FFFFFF"/>
        </w:rPr>
        <w:t>. Br.</w:t>
      </w:r>
    </w:p>
    <w:p w14:paraId="0219A18E" w14:textId="77777777" w:rsidR="003259D5" w:rsidRPr="003259D5" w:rsidRDefault="003259D5" w:rsidP="003259D5">
      <w:pPr>
        <w:rPr>
          <w:rFonts w:ascii="Times New Roman" w:hAnsi="Times New Roman" w:cs="Times New Roman"/>
          <w:color w:val="000000" w:themeColor="text1"/>
          <w:shd w:val="clear" w:color="auto" w:fill="FFFFFF"/>
        </w:rPr>
      </w:pPr>
      <w:r w:rsidRPr="003259D5">
        <w:rPr>
          <w:rFonts w:ascii="Times New Roman" w:hAnsi="Times New Roman" w:cs="Times New Roman"/>
          <w:color w:val="000000" w:themeColor="text1"/>
          <w:shd w:val="clear" w:color="auto" w:fill="FFFFFF"/>
        </w:rPr>
        <w:t>Germany</w:t>
      </w:r>
    </w:p>
    <w:p w14:paraId="2C57888C" w14:textId="77777777" w:rsidR="003259D5" w:rsidRPr="003259D5" w:rsidRDefault="003259D5" w:rsidP="003259D5">
      <w:pPr>
        <w:rPr>
          <w:rFonts w:ascii="Times New Roman" w:hAnsi="Times New Roman" w:cs="Times New Roman"/>
          <w:color w:val="000000" w:themeColor="text1"/>
          <w:shd w:val="clear" w:color="auto" w:fill="FFFFFF"/>
        </w:rPr>
      </w:pPr>
      <w:r w:rsidRPr="003259D5">
        <w:rPr>
          <w:rFonts w:ascii="Times New Roman" w:hAnsi="Times New Roman" w:cs="Times New Roman"/>
          <w:color w:val="000000" w:themeColor="text1"/>
          <w:shd w:val="clear" w:color="auto" w:fill="FFFFFF"/>
        </w:rPr>
        <w:t>Email: urs.granacher@sport.uni-freiburg.de</w:t>
      </w:r>
    </w:p>
    <w:p w14:paraId="351E3309" w14:textId="77777777" w:rsidR="003259D5" w:rsidRPr="003259D5" w:rsidRDefault="003259D5" w:rsidP="003259D5">
      <w:pPr>
        <w:rPr>
          <w:rFonts w:ascii="Times New Roman" w:hAnsi="Times New Roman" w:cs="Times New Roman"/>
          <w:b/>
          <w:color w:val="222222"/>
          <w:lang w:eastAsia="es-CL"/>
        </w:rPr>
      </w:pPr>
    </w:p>
    <w:p w14:paraId="6298B862" w14:textId="77777777" w:rsidR="003259D5" w:rsidRPr="003259D5" w:rsidRDefault="003259D5" w:rsidP="003259D5">
      <w:pPr>
        <w:rPr>
          <w:rFonts w:ascii="Times New Roman" w:hAnsi="Times New Roman" w:cs="Times New Roman"/>
          <w:b/>
          <w:color w:val="222222"/>
          <w:lang w:eastAsia="es-CL"/>
        </w:rPr>
      </w:pPr>
    </w:p>
    <w:p w14:paraId="17E678D2" w14:textId="77777777" w:rsidR="003259D5" w:rsidRPr="003259D5" w:rsidRDefault="003259D5" w:rsidP="003259D5">
      <w:pPr>
        <w:rPr>
          <w:rFonts w:ascii="Times New Roman" w:hAnsi="Times New Roman" w:cs="Times New Roman"/>
          <w:b/>
          <w:color w:val="222222"/>
          <w:lang w:eastAsia="es-CL"/>
        </w:rPr>
      </w:pPr>
    </w:p>
    <w:p w14:paraId="7FB5D55F" w14:textId="77777777" w:rsidR="003259D5" w:rsidRPr="003259D5" w:rsidRDefault="003259D5" w:rsidP="003259D5">
      <w:pPr>
        <w:rPr>
          <w:rFonts w:ascii="Times New Roman" w:hAnsi="Times New Roman" w:cs="Times New Roman"/>
          <w:b/>
          <w:color w:val="222222"/>
          <w:lang w:eastAsia="es-CL"/>
        </w:rPr>
      </w:pPr>
    </w:p>
    <w:p w14:paraId="054F9CDA" w14:textId="77777777" w:rsidR="003259D5" w:rsidRPr="003259D5" w:rsidRDefault="003259D5" w:rsidP="003259D5">
      <w:pPr>
        <w:rPr>
          <w:rFonts w:ascii="Times New Roman" w:hAnsi="Times New Roman" w:cs="Times New Roman"/>
          <w:b/>
          <w:color w:val="222222"/>
          <w:lang w:eastAsia="es-CL"/>
        </w:rPr>
      </w:pPr>
    </w:p>
    <w:p w14:paraId="5A410786" w14:textId="77777777" w:rsidR="003259D5" w:rsidRPr="003259D5" w:rsidRDefault="003259D5" w:rsidP="003259D5">
      <w:pPr>
        <w:rPr>
          <w:rFonts w:ascii="Times New Roman" w:hAnsi="Times New Roman" w:cs="Times New Roman"/>
          <w:b/>
          <w:color w:val="222222"/>
          <w:lang w:eastAsia="es-CL"/>
        </w:rPr>
      </w:pPr>
    </w:p>
    <w:p w14:paraId="0BCA7F97" w14:textId="77777777" w:rsidR="003259D5" w:rsidRPr="003259D5" w:rsidRDefault="003259D5" w:rsidP="003259D5">
      <w:pPr>
        <w:rPr>
          <w:rFonts w:ascii="Times New Roman" w:hAnsi="Times New Roman" w:cs="Times New Roman"/>
          <w:b/>
          <w:color w:val="222222"/>
          <w:lang w:eastAsia="es-CL"/>
        </w:rPr>
      </w:pPr>
    </w:p>
    <w:p w14:paraId="728D8A83" w14:textId="77777777" w:rsidR="003259D5" w:rsidRPr="003259D5" w:rsidRDefault="003259D5" w:rsidP="003259D5">
      <w:pPr>
        <w:rPr>
          <w:rFonts w:ascii="Times New Roman" w:hAnsi="Times New Roman" w:cs="Times New Roman"/>
          <w:b/>
          <w:color w:val="222222"/>
          <w:lang w:eastAsia="es-CL"/>
        </w:rPr>
      </w:pPr>
    </w:p>
    <w:p w14:paraId="3B07A872" w14:textId="77777777" w:rsidR="003259D5" w:rsidRPr="003259D5" w:rsidRDefault="003259D5" w:rsidP="003259D5">
      <w:pPr>
        <w:rPr>
          <w:rFonts w:ascii="Times New Roman" w:hAnsi="Times New Roman" w:cs="Times New Roman"/>
          <w:b/>
          <w:color w:val="222222"/>
          <w:lang w:eastAsia="es-CL"/>
        </w:rPr>
      </w:pPr>
    </w:p>
    <w:p w14:paraId="2FD5E3C6" w14:textId="77777777" w:rsidR="003259D5" w:rsidRPr="003259D5" w:rsidRDefault="003259D5" w:rsidP="003259D5">
      <w:pPr>
        <w:rPr>
          <w:rFonts w:ascii="Times New Roman" w:hAnsi="Times New Roman" w:cs="Times New Roman"/>
          <w:b/>
          <w:color w:val="222222"/>
          <w:lang w:eastAsia="es-CL"/>
        </w:rPr>
      </w:pPr>
    </w:p>
    <w:p w14:paraId="3B8FEBE9" w14:textId="77777777" w:rsidR="003259D5" w:rsidRPr="003259D5" w:rsidRDefault="003259D5" w:rsidP="003259D5">
      <w:pPr>
        <w:rPr>
          <w:rFonts w:ascii="Times New Roman" w:hAnsi="Times New Roman" w:cs="Times New Roman"/>
          <w:b/>
          <w:color w:val="222222"/>
          <w:lang w:eastAsia="es-CL"/>
        </w:rPr>
      </w:pPr>
    </w:p>
    <w:p w14:paraId="1B5A2057" w14:textId="77777777" w:rsidR="003259D5" w:rsidRPr="003259D5" w:rsidRDefault="003259D5" w:rsidP="003259D5">
      <w:pPr>
        <w:rPr>
          <w:rFonts w:ascii="Times New Roman" w:hAnsi="Times New Roman" w:cs="Times New Roman"/>
          <w:b/>
          <w:color w:val="222222"/>
          <w:lang w:eastAsia="es-CL"/>
        </w:rPr>
      </w:pPr>
    </w:p>
    <w:p w14:paraId="6B976326" w14:textId="77777777" w:rsidR="003259D5" w:rsidRPr="003259D5" w:rsidRDefault="003259D5" w:rsidP="003259D5">
      <w:pPr>
        <w:rPr>
          <w:rFonts w:ascii="Times New Roman" w:hAnsi="Times New Roman" w:cs="Times New Roman"/>
          <w:b/>
          <w:color w:val="222222"/>
          <w:lang w:eastAsia="es-CL"/>
        </w:rPr>
      </w:pPr>
    </w:p>
    <w:p w14:paraId="29C395D4" w14:textId="77777777" w:rsidR="003259D5" w:rsidRPr="003259D5" w:rsidRDefault="003259D5" w:rsidP="003259D5">
      <w:pPr>
        <w:rPr>
          <w:rFonts w:ascii="Times New Roman" w:hAnsi="Times New Roman" w:cs="Times New Roman"/>
          <w:b/>
          <w:color w:val="222222"/>
          <w:lang w:eastAsia="es-CL"/>
        </w:rPr>
      </w:pPr>
    </w:p>
    <w:p w14:paraId="4F57A495" w14:textId="77777777" w:rsidR="003259D5" w:rsidRPr="003259D5" w:rsidRDefault="003259D5" w:rsidP="003259D5">
      <w:pPr>
        <w:rPr>
          <w:rFonts w:ascii="Times New Roman" w:hAnsi="Times New Roman" w:cs="Times New Roman"/>
          <w:b/>
          <w:color w:val="222222"/>
          <w:lang w:eastAsia="es-CL"/>
        </w:rPr>
      </w:pPr>
    </w:p>
    <w:p w14:paraId="7051B54D" w14:textId="77777777" w:rsidR="003259D5" w:rsidRPr="003259D5" w:rsidRDefault="003259D5" w:rsidP="003259D5">
      <w:pPr>
        <w:rPr>
          <w:rFonts w:ascii="Times New Roman" w:hAnsi="Times New Roman" w:cs="Times New Roman"/>
          <w:b/>
          <w:color w:val="222222"/>
          <w:lang w:eastAsia="es-CL"/>
        </w:rPr>
      </w:pPr>
    </w:p>
    <w:p w14:paraId="09A54EA0" w14:textId="77777777" w:rsidR="003259D5" w:rsidRPr="003259D5" w:rsidRDefault="003259D5" w:rsidP="003259D5">
      <w:pPr>
        <w:rPr>
          <w:rFonts w:ascii="Times New Roman" w:hAnsi="Times New Roman" w:cs="Times New Roman"/>
          <w:b/>
          <w:color w:val="222222"/>
          <w:lang w:eastAsia="es-CL"/>
        </w:rPr>
      </w:pPr>
    </w:p>
    <w:p w14:paraId="25C60926" w14:textId="77777777" w:rsidR="003259D5" w:rsidRPr="003259D5" w:rsidRDefault="003259D5" w:rsidP="003259D5">
      <w:pPr>
        <w:rPr>
          <w:rFonts w:ascii="Times New Roman" w:hAnsi="Times New Roman" w:cs="Times New Roman"/>
          <w:b/>
          <w:color w:val="222222"/>
          <w:lang w:eastAsia="es-CL"/>
        </w:rPr>
      </w:pPr>
    </w:p>
    <w:p w14:paraId="3959B30C" w14:textId="77777777" w:rsidR="003259D5" w:rsidRPr="003259D5" w:rsidRDefault="003259D5" w:rsidP="003259D5">
      <w:pPr>
        <w:rPr>
          <w:rFonts w:ascii="Times New Roman" w:hAnsi="Times New Roman" w:cs="Times New Roman"/>
          <w:b/>
          <w:color w:val="222222"/>
          <w:lang w:eastAsia="es-CL"/>
        </w:rPr>
      </w:pPr>
    </w:p>
    <w:p w14:paraId="4136AEB2" w14:textId="77777777" w:rsidR="003259D5" w:rsidRPr="003259D5" w:rsidRDefault="003259D5" w:rsidP="003259D5">
      <w:pPr>
        <w:rPr>
          <w:rFonts w:ascii="Times New Roman" w:hAnsi="Times New Roman" w:cs="Times New Roman"/>
          <w:b/>
          <w:color w:val="222222"/>
          <w:lang w:eastAsia="es-CL"/>
        </w:rPr>
      </w:pPr>
    </w:p>
    <w:p w14:paraId="69D8CC9C" w14:textId="77777777" w:rsidR="003259D5" w:rsidRPr="003259D5" w:rsidRDefault="003259D5" w:rsidP="003259D5">
      <w:pPr>
        <w:rPr>
          <w:rFonts w:ascii="Times New Roman" w:hAnsi="Times New Roman" w:cs="Times New Roman"/>
          <w:b/>
          <w:color w:val="222222"/>
          <w:lang w:eastAsia="es-CL"/>
        </w:rPr>
      </w:pPr>
    </w:p>
    <w:p w14:paraId="3D2E76BB" w14:textId="77777777" w:rsidR="003259D5" w:rsidRPr="003259D5" w:rsidRDefault="003259D5" w:rsidP="003259D5">
      <w:pPr>
        <w:rPr>
          <w:rFonts w:ascii="Times New Roman" w:hAnsi="Times New Roman" w:cs="Times New Roman"/>
          <w:b/>
          <w:color w:val="222222"/>
          <w:lang w:eastAsia="es-CL"/>
        </w:rPr>
      </w:pPr>
    </w:p>
    <w:p w14:paraId="3A8DB9A7" w14:textId="77777777" w:rsidR="003259D5" w:rsidRPr="003259D5" w:rsidRDefault="003259D5" w:rsidP="003259D5">
      <w:pPr>
        <w:rPr>
          <w:rFonts w:ascii="Times New Roman" w:hAnsi="Times New Roman" w:cs="Times New Roman"/>
          <w:b/>
          <w:color w:val="222222"/>
          <w:lang w:eastAsia="es-CL"/>
        </w:rPr>
      </w:pPr>
    </w:p>
    <w:p w14:paraId="6A180DB6" w14:textId="77777777" w:rsidR="003259D5" w:rsidRDefault="003259D5" w:rsidP="003259D5">
      <w:pPr>
        <w:rPr>
          <w:rFonts w:ascii="Times New Roman" w:hAnsi="Times New Roman" w:cs="Times New Roman"/>
          <w:b/>
          <w:color w:val="222222"/>
          <w:lang w:eastAsia="es-CL"/>
        </w:rPr>
      </w:pPr>
    </w:p>
    <w:p w14:paraId="2F4BDBB9" w14:textId="77777777" w:rsidR="003259D5" w:rsidRDefault="003259D5" w:rsidP="003259D5">
      <w:pPr>
        <w:rPr>
          <w:rFonts w:ascii="Times New Roman" w:hAnsi="Times New Roman" w:cs="Times New Roman"/>
          <w:b/>
          <w:color w:val="222222"/>
          <w:lang w:eastAsia="es-CL"/>
        </w:rPr>
      </w:pPr>
    </w:p>
    <w:p w14:paraId="0C391E01" w14:textId="77777777" w:rsidR="003259D5" w:rsidRDefault="003259D5" w:rsidP="003259D5">
      <w:pPr>
        <w:rPr>
          <w:rFonts w:ascii="Times New Roman" w:hAnsi="Times New Roman" w:cs="Times New Roman"/>
          <w:b/>
          <w:color w:val="222222"/>
          <w:lang w:eastAsia="es-CL"/>
        </w:rPr>
      </w:pPr>
    </w:p>
    <w:p w14:paraId="0640BF05" w14:textId="77777777" w:rsidR="003259D5" w:rsidRDefault="003259D5" w:rsidP="003259D5">
      <w:pPr>
        <w:rPr>
          <w:rFonts w:ascii="Times New Roman" w:hAnsi="Times New Roman" w:cs="Times New Roman"/>
          <w:b/>
          <w:color w:val="222222"/>
          <w:lang w:eastAsia="es-CL"/>
        </w:rPr>
      </w:pPr>
    </w:p>
    <w:p w14:paraId="7CECCE32" w14:textId="77777777" w:rsidR="003259D5" w:rsidRDefault="003259D5" w:rsidP="003259D5">
      <w:pPr>
        <w:rPr>
          <w:rFonts w:ascii="Times New Roman" w:hAnsi="Times New Roman" w:cs="Times New Roman"/>
          <w:b/>
          <w:color w:val="222222"/>
          <w:lang w:eastAsia="es-CL"/>
        </w:rPr>
      </w:pPr>
    </w:p>
    <w:p w14:paraId="6AA0E22D" w14:textId="77777777" w:rsidR="00662C5B" w:rsidRDefault="00662C5B" w:rsidP="003259D5">
      <w:pPr>
        <w:rPr>
          <w:rFonts w:ascii="Times New Roman" w:hAnsi="Times New Roman" w:cs="Times New Roman"/>
          <w:b/>
          <w:color w:val="222222"/>
          <w:lang w:eastAsia="es-CL"/>
        </w:rPr>
      </w:pPr>
    </w:p>
    <w:p w14:paraId="3911C359" w14:textId="77777777" w:rsidR="00662C5B" w:rsidRDefault="00662C5B" w:rsidP="003259D5">
      <w:pPr>
        <w:rPr>
          <w:rFonts w:ascii="Times New Roman" w:hAnsi="Times New Roman" w:cs="Times New Roman"/>
          <w:b/>
          <w:color w:val="222222"/>
          <w:lang w:eastAsia="es-CL"/>
        </w:rPr>
      </w:pPr>
    </w:p>
    <w:p w14:paraId="797FEF7E" w14:textId="77777777" w:rsidR="00662C5B" w:rsidRPr="003259D5" w:rsidRDefault="00662C5B" w:rsidP="003259D5">
      <w:pPr>
        <w:rPr>
          <w:rFonts w:ascii="Times New Roman" w:hAnsi="Times New Roman" w:cs="Times New Roman"/>
          <w:b/>
          <w:color w:val="222222"/>
          <w:lang w:eastAsia="es-CL"/>
        </w:rPr>
      </w:pPr>
      <w:bookmarkStart w:id="0" w:name="_GoBack"/>
      <w:bookmarkEnd w:id="0"/>
    </w:p>
    <w:p w14:paraId="37D2FB59" w14:textId="77777777" w:rsidR="003259D5" w:rsidRPr="003259D5" w:rsidRDefault="003259D5" w:rsidP="003259D5">
      <w:pPr>
        <w:rPr>
          <w:rFonts w:ascii="Times New Roman" w:hAnsi="Times New Roman" w:cs="Times New Roman"/>
          <w:b/>
          <w:color w:val="222222"/>
          <w:lang w:eastAsia="es-CL"/>
        </w:rPr>
      </w:pPr>
    </w:p>
    <w:p w14:paraId="34016551" w14:textId="77777777" w:rsidR="003259D5" w:rsidRPr="003259D5" w:rsidRDefault="003259D5" w:rsidP="003259D5">
      <w:pPr>
        <w:rPr>
          <w:rFonts w:ascii="Times New Roman" w:hAnsi="Times New Roman" w:cs="Times New Roman"/>
          <w:b/>
          <w:color w:val="222222"/>
          <w:lang w:eastAsia="es-CL"/>
        </w:rPr>
      </w:pPr>
    </w:p>
    <w:p w14:paraId="3498A20D" w14:textId="77777777" w:rsidR="003259D5" w:rsidRPr="003259D5" w:rsidRDefault="003259D5" w:rsidP="003259D5">
      <w:pPr>
        <w:rPr>
          <w:rFonts w:ascii="Times New Roman" w:hAnsi="Times New Roman" w:cs="Times New Roman"/>
          <w:b/>
          <w:color w:val="222222"/>
          <w:lang w:eastAsia="es-CL"/>
        </w:rPr>
      </w:pPr>
    </w:p>
    <w:p w14:paraId="5E8DAD74" w14:textId="77777777" w:rsidR="003259D5" w:rsidRPr="003259D5" w:rsidRDefault="003259D5" w:rsidP="003259D5">
      <w:pPr>
        <w:rPr>
          <w:rFonts w:ascii="Times New Roman" w:hAnsi="Times New Roman" w:cs="Times New Roman"/>
          <w:b/>
          <w:color w:val="222222"/>
          <w:lang w:eastAsia="es-CL"/>
        </w:rPr>
      </w:pPr>
    </w:p>
    <w:p w14:paraId="459465B1" w14:textId="77777777" w:rsidR="003259D5" w:rsidRPr="003259D5" w:rsidRDefault="003259D5" w:rsidP="003259D5">
      <w:pPr>
        <w:rPr>
          <w:rFonts w:ascii="Times New Roman" w:eastAsia="Times New Roman" w:hAnsi="Times New Roman" w:cs="Times New Roman"/>
          <w:b/>
          <w:color w:val="222222"/>
          <w:lang w:eastAsia="es-CL"/>
        </w:rPr>
      </w:pPr>
    </w:p>
    <w:tbl>
      <w:tblPr>
        <w:tblStyle w:val="Tablaconcuadrcula"/>
        <w:tblW w:w="114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8221"/>
      </w:tblGrid>
      <w:tr w:rsidR="003259D5" w:rsidRPr="003259D5" w14:paraId="4726015B" w14:textId="77777777" w:rsidTr="003259D5">
        <w:trPr>
          <w:jc w:val="center"/>
        </w:trPr>
        <w:tc>
          <w:tcPr>
            <w:tcW w:w="11482" w:type="dxa"/>
            <w:gridSpan w:val="2"/>
            <w:tcBorders>
              <w:bottom w:val="single" w:sz="4" w:space="0" w:color="auto"/>
            </w:tcBorders>
          </w:tcPr>
          <w:p w14:paraId="40C0FFE6" w14:textId="08C52F9E" w:rsidR="003259D5" w:rsidRPr="003259D5" w:rsidRDefault="003259D5" w:rsidP="003259D5">
            <w:pPr>
              <w:spacing w:after="0" w:line="240" w:lineRule="auto"/>
              <w:rPr>
                <w:rFonts w:ascii="Times New Roman" w:hAnsi="Times New Roman" w:cs="Times New Roman"/>
                <w:b/>
              </w:rPr>
            </w:pPr>
            <w:r w:rsidRPr="003259D5">
              <w:rPr>
                <w:rFonts w:ascii="Times New Roman" w:hAnsi="Times New Roman" w:cs="Times New Roman"/>
                <w:lang w:val="en-US"/>
              </w:rPr>
              <w:lastRenderedPageBreak/>
              <w:t xml:space="preserve">Table S2. </w:t>
            </w:r>
            <w:r w:rsidRPr="003259D5">
              <w:rPr>
                <w:rFonts w:ascii="Times New Roman" w:hAnsi="Times New Roman" w:cs="Times New Roman"/>
              </w:rPr>
              <w:t xml:space="preserve">Exclusion reasons for </w:t>
            </w:r>
            <w:r w:rsidRPr="003259D5">
              <w:rPr>
                <w:rFonts w:ascii="Times New Roman" w:hAnsi="Times New Roman" w:cs="Times New Roman"/>
                <w:bCs/>
              </w:rPr>
              <w:t>studies included in the preliminary qualitative synthesis.</w:t>
            </w:r>
          </w:p>
        </w:tc>
      </w:tr>
      <w:tr w:rsidR="003259D5" w:rsidRPr="003259D5" w14:paraId="2416794B" w14:textId="77777777" w:rsidTr="003259D5">
        <w:trPr>
          <w:jc w:val="center"/>
        </w:trPr>
        <w:tc>
          <w:tcPr>
            <w:tcW w:w="3261" w:type="dxa"/>
            <w:tcBorders>
              <w:top w:val="single" w:sz="4" w:space="0" w:color="auto"/>
              <w:bottom w:val="single" w:sz="4" w:space="0" w:color="auto"/>
            </w:tcBorders>
          </w:tcPr>
          <w:p w14:paraId="310731C6" w14:textId="6FF391C2" w:rsidR="003259D5" w:rsidRPr="003259D5" w:rsidRDefault="003259D5" w:rsidP="003259D5">
            <w:pPr>
              <w:spacing w:after="0" w:line="240" w:lineRule="auto"/>
              <w:jc w:val="center"/>
              <w:rPr>
                <w:rFonts w:ascii="Times New Roman" w:hAnsi="Times New Roman" w:cs="Times New Roman"/>
                <w:b/>
              </w:rPr>
            </w:pPr>
            <w:r w:rsidRPr="003259D5">
              <w:rPr>
                <w:rFonts w:ascii="Times New Roman" w:hAnsi="Times New Roman" w:cs="Times New Roman"/>
                <w:b/>
              </w:rPr>
              <w:t>Article</w:t>
            </w:r>
          </w:p>
        </w:tc>
        <w:tc>
          <w:tcPr>
            <w:tcW w:w="8221" w:type="dxa"/>
            <w:tcBorders>
              <w:top w:val="single" w:sz="4" w:space="0" w:color="auto"/>
              <w:bottom w:val="single" w:sz="4" w:space="0" w:color="auto"/>
            </w:tcBorders>
          </w:tcPr>
          <w:p w14:paraId="7C0D44D4" w14:textId="6E2BBF74" w:rsidR="003259D5" w:rsidRPr="003259D5" w:rsidRDefault="003259D5" w:rsidP="003259D5">
            <w:pPr>
              <w:spacing w:after="0" w:line="240" w:lineRule="auto"/>
              <w:jc w:val="center"/>
              <w:rPr>
                <w:rFonts w:ascii="Times New Roman" w:hAnsi="Times New Roman" w:cs="Times New Roman"/>
                <w:b/>
              </w:rPr>
            </w:pPr>
            <w:r w:rsidRPr="003259D5">
              <w:rPr>
                <w:rFonts w:ascii="Times New Roman" w:hAnsi="Times New Roman" w:cs="Times New Roman"/>
                <w:b/>
              </w:rPr>
              <w:t>Reason</w:t>
            </w:r>
          </w:p>
        </w:tc>
      </w:tr>
      <w:tr w:rsidR="003259D5" w:rsidRPr="003259D5" w14:paraId="7461C1A7" w14:textId="77777777" w:rsidTr="003259D5">
        <w:trPr>
          <w:jc w:val="center"/>
        </w:trPr>
        <w:tc>
          <w:tcPr>
            <w:tcW w:w="3261" w:type="dxa"/>
            <w:tcBorders>
              <w:top w:val="single" w:sz="4" w:space="0" w:color="auto"/>
            </w:tcBorders>
          </w:tcPr>
          <w:p w14:paraId="1C449611" w14:textId="75B49013"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Bassey et al. 1998 [1]</w:t>
            </w:r>
          </w:p>
        </w:tc>
        <w:tc>
          <w:tcPr>
            <w:tcW w:w="8221" w:type="dxa"/>
            <w:tcBorders>
              <w:top w:val="single" w:sz="4" w:space="0" w:color="auto"/>
            </w:tcBorders>
          </w:tcPr>
          <w:p w14:paraId="0E3DD003" w14:textId="332A7301"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Participants/comparison-related, i.e. compared age groups &gt;18 years of age.</w:t>
            </w:r>
          </w:p>
        </w:tc>
      </w:tr>
      <w:tr w:rsidR="003259D5" w:rsidRPr="003259D5" w14:paraId="2B33D6E7" w14:textId="77777777" w:rsidTr="003259D5">
        <w:trPr>
          <w:jc w:val="center"/>
        </w:trPr>
        <w:tc>
          <w:tcPr>
            <w:tcW w:w="3261" w:type="dxa"/>
          </w:tcPr>
          <w:p w14:paraId="71D4C4CE" w14:textId="062368D2"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eastAsia="Times New Roman" w:hAnsi="Times New Roman" w:cs="Times New Roman"/>
                <w:color w:val="000000" w:themeColor="text1"/>
                <w:lang w:eastAsia="es-CL" w:bidi="ar-SA"/>
              </w:rPr>
              <w:t xml:space="preserve">Ciacci and Bartolomei 2018 </w:t>
            </w:r>
            <w:r w:rsidRPr="003259D5">
              <w:rPr>
                <w:rFonts w:ascii="Times New Roman" w:eastAsia="Times New Roman" w:hAnsi="Times New Roman" w:cs="Times New Roman"/>
                <w:noProof/>
                <w:color w:val="000000" w:themeColor="text1"/>
                <w:lang w:eastAsia="es-CL" w:bidi="ar-SA"/>
              </w:rPr>
              <w:t>[2]</w:t>
            </w:r>
          </w:p>
        </w:tc>
        <w:tc>
          <w:tcPr>
            <w:tcW w:w="8221" w:type="dxa"/>
          </w:tcPr>
          <w:p w14:paraId="0A8F015C" w14:textId="4B46CA1B"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Participants/comparison-related, i.e., compared different age groups (under 17 and under 19 years of competitive age categories for soccer), although they did not report maturity.</w:t>
            </w:r>
          </w:p>
        </w:tc>
      </w:tr>
      <w:tr w:rsidR="003259D5" w:rsidRPr="003259D5" w14:paraId="78623F34" w14:textId="77777777" w:rsidTr="003259D5">
        <w:trPr>
          <w:jc w:val="center"/>
        </w:trPr>
        <w:tc>
          <w:tcPr>
            <w:tcW w:w="3261" w:type="dxa"/>
          </w:tcPr>
          <w:p w14:paraId="1480FB19" w14:textId="5E7784D3" w:rsidR="003259D5" w:rsidRPr="003259D5" w:rsidRDefault="003259D5" w:rsidP="003259D5">
            <w:pPr>
              <w:spacing w:after="0" w:line="240" w:lineRule="auto"/>
              <w:rPr>
                <w:rFonts w:ascii="Times New Roman" w:eastAsia="Times New Roman" w:hAnsi="Times New Roman" w:cs="Times New Roman"/>
                <w:color w:val="000000" w:themeColor="text1"/>
                <w:lang w:eastAsia="es-CL" w:bidi="ar-SA"/>
              </w:rPr>
            </w:pPr>
            <w:r w:rsidRPr="003259D5">
              <w:rPr>
                <w:rFonts w:ascii="Times New Roman" w:eastAsia="Times New Roman" w:hAnsi="Times New Roman" w:cs="Times New Roman"/>
                <w:color w:val="000000" w:themeColor="text1"/>
                <w:lang w:eastAsia="es-CL" w:bidi="ar-SA"/>
              </w:rPr>
              <w:t xml:space="preserve">Dallas et al. 2020 </w:t>
            </w:r>
            <w:r w:rsidRPr="003259D5">
              <w:rPr>
                <w:rFonts w:ascii="Times New Roman" w:eastAsia="Times New Roman" w:hAnsi="Times New Roman" w:cs="Times New Roman"/>
                <w:noProof/>
                <w:color w:val="000000" w:themeColor="text1"/>
                <w:lang w:eastAsia="es-CL" w:bidi="ar-SA"/>
              </w:rPr>
              <w:t>[3]</w:t>
            </w:r>
          </w:p>
        </w:tc>
        <w:tc>
          <w:tcPr>
            <w:tcW w:w="8221" w:type="dxa"/>
          </w:tcPr>
          <w:p w14:paraId="332DA00F" w14:textId="4112109E"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Participants/comparison-related, i.e., compared different age groups (&lt;14 vs &lt;9), although they did not report maturity. Additionally, age groups practiced other sports (taekwondo vs gymnastics, respectively).</w:t>
            </w:r>
          </w:p>
        </w:tc>
      </w:tr>
      <w:tr w:rsidR="003259D5" w:rsidRPr="003259D5" w14:paraId="3961AA17" w14:textId="77777777" w:rsidTr="003259D5">
        <w:trPr>
          <w:jc w:val="center"/>
        </w:trPr>
        <w:tc>
          <w:tcPr>
            <w:tcW w:w="3261" w:type="dxa"/>
          </w:tcPr>
          <w:p w14:paraId="6345BFAF" w14:textId="45B23830" w:rsidR="003259D5" w:rsidRPr="003259D5" w:rsidRDefault="003259D5" w:rsidP="003259D5">
            <w:pPr>
              <w:spacing w:after="0" w:line="240" w:lineRule="auto"/>
              <w:rPr>
                <w:rFonts w:ascii="Times New Roman" w:eastAsia="Times New Roman" w:hAnsi="Times New Roman" w:cs="Times New Roman"/>
                <w:color w:val="000000" w:themeColor="text1"/>
                <w:lang w:eastAsia="es-CL" w:bidi="ar-SA"/>
              </w:rPr>
            </w:pPr>
            <w:proofErr w:type="spellStart"/>
            <w:r w:rsidRPr="003259D5">
              <w:rPr>
                <w:rFonts w:ascii="Times New Roman" w:eastAsia="Times New Roman" w:hAnsi="Times New Roman" w:cs="Times New Roman"/>
                <w:color w:val="000000" w:themeColor="text1"/>
                <w:lang w:eastAsia="es-CL" w:bidi="ar-SA"/>
              </w:rPr>
              <w:t>Falces</w:t>
            </w:r>
            <w:proofErr w:type="spellEnd"/>
            <w:r w:rsidRPr="003259D5">
              <w:rPr>
                <w:rFonts w:ascii="Times New Roman" w:eastAsia="Times New Roman" w:hAnsi="Times New Roman" w:cs="Times New Roman"/>
                <w:color w:val="000000" w:themeColor="text1"/>
                <w:lang w:eastAsia="es-CL" w:bidi="ar-SA"/>
              </w:rPr>
              <w:t>-Prieto et al. 2021</w:t>
            </w:r>
            <w:r w:rsidRPr="003259D5">
              <w:rPr>
                <w:rFonts w:ascii="Times New Roman" w:eastAsia="Times New Roman" w:hAnsi="Times New Roman" w:cs="Times New Roman"/>
                <w:noProof/>
                <w:color w:val="000000" w:themeColor="text1"/>
                <w:lang w:eastAsia="es-CL" w:bidi="ar-SA"/>
              </w:rPr>
              <w:t>[4]</w:t>
            </w:r>
          </w:p>
        </w:tc>
        <w:tc>
          <w:tcPr>
            <w:tcW w:w="8221" w:type="dxa"/>
          </w:tcPr>
          <w:p w14:paraId="05D78DA5" w14:textId="6D145B0E"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Participants/comparison-related, i.e., compared different age groups (under 16 and under 19 years competitive age categories for soccer), although they did not report maturity.</w:t>
            </w:r>
          </w:p>
        </w:tc>
      </w:tr>
      <w:tr w:rsidR="003259D5" w:rsidRPr="003259D5" w14:paraId="14C9989E" w14:textId="77777777" w:rsidTr="003259D5">
        <w:trPr>
          <w:jc w:val="center"/>
        </w:trPr>
        <w:tc>
          <w:tcPr>
            <w:tcW w:w="3261" w:type="dxa"/>
          </w:tcPr>
          <w:p w14:paraId="0F564650" w14:textId="6101B3D6"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 xml:space="preserve">Foss et al. 2018 </w:t>
            </w:r>
            <w:r w:rsidRPr="003259D5">
              <w:rPr>
                <w:rFonts w:ascii="Times New Roman" w:hAnsi="Times New Roman" w:cs="Times New Roman"/>
                <w:noProof/>
                <w:color w:val="000000" w:themeColor="text1"/>
              </w:rPr>
              <w:t>[5]</w:t>
            </w:r>
          </w:p>
        </w:tc>
        <w:tc>
          <w:tcPr>
            <w:tcW w:w="8221" w:type="dxa"/>
          </w:tcPr>
          <w:p w14:paraId="7BD4262D" w14:textId="60BD3B93"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 xml:space="preserve">Outcome-related, i.e., did not report physical fitness </w:t>
            </w:r>
            <w:r w:rsidRPr="003259D5">
              <w:rPr>
                <w:rFonts w:ascii="Times New Roman" w:eastAsia="STIX-Regular" w:hAnsi="Times New Roman" w:cs="Times New Roman"/>
                <w:color w:val="000000" w:themeColor="text1"/>
              </w:rPr>
              <w:t xml:space="preserve">and/or </w:t>
            </w:r>
            <w:r w:rsidRPr="003259D5">
              <w:rPr>
                <w:rFonts w:ascii="Times New Roman" w:hAnsi="Times New Roman" w:cs="Times New Roman"/>
                <w:bCs/>
                <w:color w:val="000000" w:themeColor="text1"/>
              </w:rPr>
              <w:t>sport-specific performance outcomes (i.e., focus on injuries).</w:t>
            </w:r>
          </w:p>
        </w:tc>
      </w:tr>
      <w:tr w:rsidR="003259D5" w:rsidRPr="003259D5" w14:paraId="705B0F4C" w14:textId="77777777" w:rsidTr="003259D5">
        <w:trPr>
          <w:jc w:val="center"/>
        </w:trPr>
        <w:tc>
          <w:tcPr>
            <w:tcW w:w="3261" w:type="dxa"/>
          </w:tcPr>
          <w:p w14:paraId="1AC63EB1" w14:textId="2B0826C9"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 xml:space="preserve">Franchi et al. 2019 </w:t>
            </w:r>
            <w:r w:rsidRPr="003259D5">
              <w:rPr>
                <w:rFonts w:ascii="Times New Roman" w:hAnsi="Times New Roman" w:cs="Times New Roman"/>
                <w:noProof/>
                <w:color w:val="000000" w:themeColor="text1"/>
              </w:rPr>
              <w:t>[6]</w:t>
            </w:r>
          </w:p>
        </w:tc>
        <w:tc>
          <w:tcPr>
            <w:tcW w:w="8221" w:type="dxa"/>
          </w:tcPr>
          <w:p w14:paraId="425FCD7D" w14:textId="434F0068"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Participants/comparison-related, i.e. compared age groups &gt;18 years of age.</w:t>
            </w:r>
          </w:p>
        </w:tc>
      </w:tr>
      <w:tr w:rsidR="003259D5" w:rsidRPr="003259D5" w14:paraId="4593F8B8" w14:textId="77777777" w:rsidTr="003259D5">
        <w:trPr>
          <w:jc w:val="center"/>
        </w:trPr>
        <w:tc>
          <w:tcPr>
            <w:tcW w:w="3261" w:type="dxa"/>
          </w:tcPr>
          <w:p w14:paraId="1B37B033" w14:textId="29FDE7DF"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 xml:space="preserve">Ha et al. 2014 </w:t>
            </w:r>
            <w:r w:rsidRPr="003259D5">
              <w:rPr>
                <w:rFonts w:ascii="Times New Roman" w:hAnsi="Times New Roman" w:cs="Times New Roman"/>
                <w:noProof/>
                <w:color w:val="000000" w:themeColor="text1"/>
              </w:rPr>
              <w:t>[7]</w:t>
            </w:r>
          </w:p>
        </w:tc>
        <w:tc>
          <w:tcPr>
            <w:tcW w:w="8221" w:type="dxa"/>
          </w:tcPr>
          <w:p w14:paraId="426F5EC8" w14:textId="58D49A1D"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Participants/comparison-related, i.e. compared age groups &lt;18 vs. &gt;18 years of age (i.e., data was collected in youth participating in the intervention groups, and in adults, but the adults were not involved in the intervention), and no information was provided regarding maturity status.</w:t>
            </w:r>
          </w:p>
        </w:tc>
      </w:tr>
      <w:tr w:rsidR="003259D5" w:rsidRPr="003259D5" w14:paraId="67DA9439" w14:textId="77777777" w:rsidTr="003259D5">
        <w:trPr>
          <w:jc w:val="center"/>
        </w:trPr>
        <w:tc>
          <w:tcPr>
            <w:tcW w:w="3261" w:type="dxa"/>
          </w:tcPr>
          <w:p w14:paraId="0B8BA7D7" w14:textId="72C4A67D"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 xml:space="preserve">Hunnicutt et al. 2016 </w:t>
            </w:r>
            <w:r w:rsidRPr="003259D5">
              <w:rPr>
                <w:rFonts w:ascii="Times New Roman" w:hAnsi="Times New Roman" w:cs="Times New Roman"/>
                <w:noProof/>
                <w:color w:val="000000" w:themeColor="text1"/>
              </w:rPr>
              <w:t>[8]</w:t>
            </w:r>
          </w:p>
        </w:tc>
        <w:tc>
          <w:tcPr>
            <w:tcW w:w="8221" w:type="dxa"/>
          </w:tcPr>
          <w:p w14:paraId="07B28D12" w14:textId="1A9B8F12"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Participants/comparison-related, i.e. compared age groups &gt;18 years of age.</w:t>
            </w:r>
          </w:p>
        </w:tc>
      </w:tr>
      <w:tr w:rsidR="003259D5" w:rsidRPr="003259D5" w14:paraId="037C49AA" w14:textId="77777777" w:rsidTr="003259D5">
        <w:trPr>
          <w:trHeight w:val="70"/>
          <w:jc w:val="center"/>
        </w:trPr>
        <w:tc>
          <w:tcPr>
            <w:tcW w:w="3261" w:type="dxa"/>
          </w:tcPr>
          <w:p w14:paraId="0EBBCB70" w14:textId="585DA60C"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eastAsia="Times New Roman" w:hAnsi="Times New Roman" w:cs="Times New Roman"/>
                <w:color w:val="000000" w:themeColor="text1"/>
                <w:lang w:eastAsia="es-CL" w:bidi="ar-SA"/>
              </w:rPr>
              <w:t xml:space="preserve">Keiner et al. 2014 </w:t>
            </w:r>
            <w:r w:rsidRPr="003259D5">
              <w:rPr>
                <w:rFonts w:ascii="Times New Roman" w:eastAsia="Times New Roman" w:hAnsi="Times New Roman" w:cs="Times New Roman"/>
                <w:noProof/>
                <w:color w:val="000000" w:themeColor="text1"/>
                <w:lang w:eastAsia="es-CL" w:bidi="ar-SA"/>
              </w:rPr>
              <w:t>[9]</w:t>
            </w:r>
          </w:p>
        </w:tc>
        <w:tc>
          <w:tcPr>
            <w:tcW w:w="8221" w:type="dxa"/>
          </w:tcPr>
          <w:p w14:paraId="55784F05" w14:textId="644ED3DC"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Participants/comparison-related, i.e., compared different age groups, although from the same maturity category (i.e., pre-PHV).</w:t>
            </w:r>
          </w:p>
        </w:tc>
      </w:tr>
      <w:tr w:rsidR="003259D5" w:rsidRPr="003259D5" w14:paraId="1DAA12B4" w14:textId="77777777" w:rsidTr="003259D5">
        <w:trPr>
          <w:trHeight w:val="70"/>
          <w:jc w:val="center"/>
        </w:trPr>
        <w:tc>
          <w:tcPr>
            <w:tcW w:w="3261" w:type="dxa"/>
          </w:tcPr>
          <w:p w14:paraId="1C53C5BC" w14:textId="370A56DF" w:rsidR="003259D5" w:rsidRPr="003259D5" w:rsidRDefault="003259D5" w:rsidP="003259D5">
            <w:pPr>
              <w:spacing w:after="0" w:line="240" w:lineRule="auto"/>
              <w:rPr>
                <w:rFonts w:ascii="Times New Roman" w:eastAsia="Times New Roman" w:hAnsi="Times New Roman" w:cs="Times New Roman"/>
                <w:color w:val="000000" w:themeColor="text1"/>
                <w:lang w:eastAsia="es-CL" w:bidi="ar-SA"/>
              </w:rPr>
            </w:pPr>
            <w:r w:rsidRPr="003259D5">
              <w:rPr>
                <w:rFonts w:ascii="Times New Roman" w:eastAsia="Times New Roman" w:hAnsi="Times New Roman" w:cs="Times New Roman"/>
                <w:color w:val="000000" w:themeColor="text1"/>
                <w:lang w:eastAsia="es-CL" w:bidi="ar-SA"/>
              </w:rPr>
              <w:t xml:space="preserve">Marina and Jemni 2014 </w:t>
            </w:r>
            <w:r w:rsidRPr="003259D5">
              <w:rPr>
                <w:rFonts w:ascii="Times New Roman" w:eastAsia="Times New Roman" w:hAnsi="Times New Roman" w:cs="Times New Roman"/>
                <w:noProof/>
                <w:color w:val="000000" w:themeColor="text1"/>
                <w:lang w:eastAsia="es-CL" w:bidi="ar-SA"/>
              </w:rPr>
              <w:t>[10]</w:t>
            </w:r>
          </w:p>
        </w:tc>
        <w:tc>
          <w:tcPr>
            <w:tcW w:w="8221" w:type="dxa"/>
          </w:tcPr>
          <w:p w14:paraId="54D5805B" w14:textId="0860E408"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Participants/comparison-related, i.e., compared one single group of participants over two training/competition seasons, and although maturity changed across time, most participants remained pre-</w:t>
            </w:r>
            <w:proofErr w:type="spellStart"/>
            <w:r w:rsidRPr="003259D5">
              <w:rPr>
                <w:rFonts w:ascii="Times New Roman" w:hAnsi="Times New Roman" w:cs="Times New Roman"/>
                <w:color w:val="000000" w:themeColor="text1"/>
              </w:rPr>
              <w:t>menarchial</w:t>
            </w:r>
            <w:proofErr w:type="spellEnd"/>
            <w:r w:rsidRPr="003259D5">
              <w:rPr>
                <w:rFonts w:ascii="Times New Roman" w:hAnsi="Times New Roman" w:cs="Times New Roman"/>
                <w:color w:val="000000" w:themeColor="text1"/>
              </w:rPr>
              <w:t>.</w:t>
            </w:r>
          </w:p>
        </w:tc>
      </w:tr>
      <w:tr w:rsidR="003259D5" w:rsidRPr="003259D5" w14:paraId="2124B5C4" w14:textId="77777777" w:rsidTr="003259D5">
        <w:trPr>
          <w:trHeight w:val="300"/>
          <w:jc w:val="center"/>
        </w:trPr>
        <w:tc>
          <w:tcPr>
            <w:tcW w:w="3261" w:type="dxa"/>
          </w:tcPr>
          <w:p w14:paraId="1CF5C147" w14:textId="51584CD1"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 xml:space="preserve">Marta et al. 2014 </w:t>
            </w:r>
            <w:r w:rsidRPr="003259D5">
              <w:rPr>
                <w:rFonts w:ascii="Times New Roman" w:hAnsi="Times New Roman" w:cs="Times New Roman"/>
                <w:noProof/>
                <w:color w:val="000000" w:themeColor="text1"/>
              </w:rPr>
              <w:t>[11]</w:t>
            </w:r>
          </w:p>
        </w:tc>
        <w:tc>
          <w:tcPr>
            <w:tcW w:w="8221" w:type="dxa"/>
            <w:noWrap/>
          </w:tcPr>
          <w:p w14:paraId="68F1D928" w14:textId="7039D0D7" w:rsidR="003259D5" w:rsidRPr="003259D5" w:rsidRDefault="003259D5" w:rsidP="003259D5">
            <w:pPr>
              <w:autoSpaceDE w:val="0"/>
              <w:autoSpaceDN w:val="0"/>
              <w:adjustRightInd w:val="0"/>
              <w:spacing w:after="0" w:line="240" w:lineRule="auto"/>
              <w:rPr>
                <w:rFonts w:ascii="Times New Roman" w:eastAsia="Times New Roman" w:hAnsi="Times New Roman" w:cs="Times New Roman"/>
                <w:color w:val="000000" w:themeColor="text1"/>
                <w:lang w:eastAsia="es-CL"/>
              </w:rPr>
            </w:pPr>
            <w:r w:rsidRPr="003259D5">
              <w:rPr>
                <w:rFonts w:ascii="Times New Roman" w:hAnsi="Times New Roman" w:cs="Times New Roman"/>
                <w:color w:val="000000" w:themeColor="text1"/>
              </w:rPr>
              <w:t xml:space="preserve">Participants/comparison-related, i.e. compared Tanner I and Tanner II (as per our protocol, both correspond to the same maturity category; full explanation available in the main manuscript, section </w:t>
            </w:r>
            <w:r w:rsidRPr="003259D5">
              <w:rPr>
                <w:rFonts w:ascii="Times New Roman" w:hAnsi="Times New Roman" w:cs="Times New Roman"/>
                <w:bCs/>
                <w:iCs/>
                <w:color w:val="000000" w:themeColor="text1"/>
              </w:rPr>
              <w:t>2.6.1)</w:t>
            </w:r>
            <w:r w:rsidRPr="003259D5">
              <w:rPr>
                <w:rFonts w:ascii="Times New Roman" w:hAnsi="Times New Roman" w:cs="Times New Roman"/>
                <w:color w:val="000000" w:themeColor="text1"/>
              </w:rPr>
              <w:t>. Although the authors reported that “…</w:t>
            </w:r>
            <w:r w:rsidRPr="003259D5">
              <w:rPr>
                <w:rFonts w:ascii="Times New Roman" w:hAnsi="Times New Roman" w:cs="Times New Roman"/>
                <w:color w:val="000000" w:themeColor="text1"/>
                <w:lang w:val="en-US" w:bidi="ar-SA"/>
              </w:rPr>
              <w:t xml:space="preserve">it seems that the variable sex had no influence on training-induced strength…or endurance…”, a considerable difference was noted in the distribution of boys and girls between maturation groups, i.e. </w:t>
            </w:r>
            <w:r w:rsidRPr="003259D5">
              <w:rPr>
                <w:rFonts w:ascii="Times New Roman" w:hAnsi="Times New Roman" w:cs="Times New Roman"/>
                <w:color w:val="000000" w:themeColor="text1"/>
              </w:rPr>
              <w:t>41 participants for the plyometric-jump training intervention, involving 25 participants in Tanner I (14 boys; 11 girls) and 16 in Tanner II (5 boys; 11 girls).</w:t>
            </w:r>
          </w:p>
        </w:tc>
      </w:tr>
      <w:tr w:rsidR="003259D5" w:rsidRPr="003259D5" w14:paraId="673BF51F" w14:textId="77777777" w:rsidTr="003259D5">
        <w:trPr>
          <w:trHeight w:val="70"/>
          <w:jc w:val="center"/>
        </w:trPr>
        <w:tc>
          <w:tcPr>
            <w:tcW w:w="3261" w:type="dxa"/>
          </w:tcPr>
          <w:p w14:paraId="2DA5EEA3" w14:textId="14240A3C" w:rsidR="003259D5" w:rsidRPr="003259D5" w:rsidRDefault="003259D5" w:rsidP="003259D5">
            <w:pPr>
              <w:spacing w:after="0" w:line="240" w:lineRule="auto"/>
              <w:rPr>
                <w:rFonts w:ascii="Times New Roman" w:eastAsia="Times New Roman" w:hAnsi="Times New Roman" w:cs="Times New Roman"/>
                <w:color w:val="000000" w:themeColor="text1"/>
                <w:lang w:eastAsia="es-CL" w:bidi="ar-SA"/>
              </w:rPr>
            </w:pPr>
            <w:r w:rsidRPr="003259D5">
              <w:rPr>
                <w:rFonts w:ascii="Times New Roman" w:eastAsia="Times New Roman" w:hAnsi="Times New Roman" w:cs="Times New Roman"/>
                <w:color w:val="000000" w:themeColor="text1"/>
                <w:lang w:eastAsia="es-CL" w:bidi="ar-SA"/>
              </w:rPr>
              <w:t xml:space="preserve">Michel et al. 2014 </w:t>
            </w:r>
            <w:r w:rsidRPr="003259D5">
              <w:rPr>
                <w:rFonts w:ascii="Times New Roman" w:eastAsia="Times New Roman" w:hAnsi="Times New Roman" w:cs="Times New Roman"/>
                <w:noProof/>
                <w:color w:val="000000" w:themeColor="text1"/>
                <w:lang w:eastAsia="es-CL" w:bidi="ar-SA"/>
              </w:rPr>
              <w:t>[12]</w:t>
            </w:r>
          </w:p>
        </w:tc>
        <w:tc>
          <w:tcPr>
            <w:tcW w:w="8221" w:type="dxa"/>
          </w:tcPr>
          <w:p w14:paraId="51C0A9B9" w14:textId="697ADFAD"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Participants/comparison-related, i.e., compared different age groups, although from the same maturity category (i.e., pre-</w:t>
            </w:r>
            <w:proofErr w:type="spellStart"/>
            <w:r w:rsidRPr="003259D5">
              <w:rPr>
                <w:rFonts w:ascii="Times New Roman" w:hAnsi="Times New Roman" w:cs="Times New Roman"/>
                <w:color w:val="000000" w:themeColor="text1"/>
              </w:rPr>
              <w:t>menarchial</w:t>
            </w:r>
            <w:proofErr w:type="spellEnd"/>
            <w:r w:rsidRPr="003259D5">
              <w:rPr>
                <w:rFonts w:ascii="Times New Roman" w:hAnsi="Times New Roman" w:cs="Times New Roman"/>
                <w:color w:val="000000" w:themeColor="text1"/>
              </w:rPr>
              <w:t>).</w:t>
            </w:r>
          </w:p>
        </w:tc>
      </w:tr>
      <w:tr w:rsidR="003259D5" w:rsidRPr="003259D5" w14:paraId="3647BAA4" w14:textId="77777777" w:rsidTr="003259D5">
        <w:trPr>
          <w:jc w:val="center"/>
        </w:trPr>
        <w:tc>
          <w:tcPr>
            <w:tcW w:w="3261" w:type="dxa"/>
          </w:tcPr>
          <w:p w14:paraId="7AD05D8F" w14:textId="71AE3A7D"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 xml:space="preserve">Mero et al. 2021 </w:t>
            </w:r>
            <w:r w:rsidRPr="003259D5">
              <w:rPr>
                <w:rFonts w:ascii="Times New Roman" w:hAnsi="Times New Roman" w:cs="Times New Roman"/>
                <w:noProof/>
                <w:color w:val="000000" w:themeColor="text1"/>
              </w:rPr>
              <w:t>[13]</w:t>
            </w:r>
          </w:p>
        </w:tc>
        <w:tc>
          <w:tcPr>
            <w:tcW w:w="8221" w:type="dxa"/>
          </w:tcPr>
          <w:p w14:paraId="26A22A91" w14:textId="37A02A39"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Intervention-related, i.e., training interventions, were different between age/maturity groups.</w:t>
            </w:r>
          </w:p>
        </w:tc>
      </w:tr>
      <w:tr w:rsidR="003259D5" w:rsidRPr="003259D5" w14:paraId="43428732" w14:textId="77777777" w:rsidTr="003259D5">
        <w:trPr>
          <w:jc w:val="center"/>
        </w:trPr>
        <w:tc>
          <w:tcPr>
            <w:tcW w:w="3261" w:type="dxa"/>
          </w:tcPr>
          <w:p w14:paraId="7520BD7B" w14:textId="21394ACD"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bCs/>
                <w:color w:val="000000" w:themeColor="text1"/>
                <w:lang w:bidi="ar-SA"/>
              </w:rPr>
              <w:t xml:space="preserve">Pardos-Mainer 2017 </w:t>
            </w:r>
            <w:r w:rsidRPr="003259D5">
              <w:rPr>
                <w:rFonts w:ascii="Times New Roman" w:hAnsi="Times New Roman" w:cs="Times New Roman"/>
                <w:bCs/>
                <w:noProof/>
                <w:color w:val="000000" w:themeColor="text1"/>
                <w:lang w:bidi="ar-SA"/>
              </w:rPr>
              <w:t>[14]</w:t>
            </w:r>
          </w:p>
        </w:tc>
        <w:tc>
          <w:tcPr>
            <w:tcW w:w="8221" w:type="dxa"/>
          </w:tcPr>
          <w:p w14:paraId="04120B27" w14:textId="2059E682" w:rsidR="003259D5" w:rsidRPr="003259D5" w:rsidRDefault="003259D5" w:rsidP="003259D5">
            <w:pPr>
              <w:spacing w:after="0" w:line="240" w:lineRule="auto"/>
              <w:rPr>
                <w:rFonts w:ascii="Times New Roman" w:hAnsi="Times New Roman" w:cs="Times New Roman"/>
                <w:color w:val="000000" w:themeColor="text1"/>
              </w:rPr>
            </w:pPr>
            <w:r w:rsidRPr="003259D5">
              <w:rPr>
                <w:rFonts w:ascii="Times New Roman" w:hAnsi="Times New Roman" w:cs="Times New Roman"/>
                <w:color w:val="000000" w:themeColor="text1"/>
              </w:rPr>
              <w:t>Participants/comparison-related, i.e. compared age groups with different sex (i.e., male = 16.3 y, post-PHV; female = 12.6 y, pre-PHV).</w:t>
            </w:r>
          </w:p>
        </w:tc>
      </w:tr>
      <w:tr w:rsidR="003259D5" w:rsidRPr="003259D5" w14:paraId="46AB1CA7" w14:textId="77777777" w:rsidTr="003259D5">
        <w:trPr>
          <w:jc w:val="center"/>
        </w:trPr>
        <w:tc>
          <w:tcPr>
            <w:tcW w:w="3261" w:type="dxa"/>
          </w:tcPr>
          <w:p w14:paraId="180EE1FE" w14:textId="6220B758"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 xml:space="preserve">Peña-Gonzalez 2019 </w:t>
            </w:r>
            <w:r w:rsidRPr="003259D5">
              <w:rPr>
                <w:rFonts w:ascii="Times New Roman" w:hAnsi="Times New Roman" w:cs="Times New Roman"/>
                <w:noProof/>
              </w:rPr>
              <w:t>[15]</w:t>
            </w:r>
          </w:p>
        </w:tc>
        <w:tc>
          <w:tcPr>
            <w:tcW w:w="8221" w:type="dxa"/>
          </w:tcPr>
          <w:p w14:paraId="0E009043" w14:textId="4C3C89F6"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Intervention-related, i.e., exclusion criteria of intervention, mixing RT and PJT exercises, with &lt;50% total training exercises from jump drills.</w:t>
            </w:r>
          </w:p>
        </w:tc>
      </w:tr>
      <w:tr w:rsidR="003259D5" w:rsidRPr="003259D5" w14:paraId="4C5A70F1" w14:textId="77777777" w:rsidTr="003259D5">
        <w:trPr>
          <w:jc w:val="center"/>
        </w:trPr>
        <w:tc>
          <w:tcPr>
            <w:tcW w:w="3261" w:type="dxa"/>
          </w:tcPr>
          <w:p w14:paraId="185E83ED" w14:textId="714C6280"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 xml:space="preserve">Radnor et al. 2017 </w:t>
            </w:r>
            <w:r w:rsidRPr="003259D5">
              <w:rPr>
                <w:rFonts w:ascii="Times New Roman" w:hAnsi="Times New Roman" w:cs="Times New Roman"/>
                <w:noProof/>
              </w:rPr>
              <w:t>[16]</w:t>
            </w:r>
          </w:p>
        </w:tc>
        <w:tc>
          <w:tcPr>
            <w:tcW w:w="8221" w:type="dxa"/>
          </w:tcPr>
          <w:p w14:paraId="7CF7E007" w14:textId="1A806235"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 xml:space="preserve">Outcome-related, i.e., the authors performed a secondary statistical analysis from previously published data. </w:t>
            </w:r>
          </w:p>
        </w:tc>
      </w:tr>
      <w:tr w:rsidR="003259D5" w:rsidRPr="003259D5" w14:paraId="663F1980" w14:textId="77777777" w:rsidTr="003259D5">
        <w:trPr>
          <w:jc w:val="center"/>
        </w:trPr>
        <w:tc>
          <w:tcPr>
            <w:tcW w:w="3261" w:type="dxa"/>
          </w:tcPr>
          <w:p w14:paraId="6C865F4E" w14:textId="23AD3E24"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 xml:space="preserve">Saez de Villarreal 2010 </w:t>
            </w:r>
            <w:r w:rsidRPr="003259D5">
              <w:rPr>
                <w:rFonts w:ascii="Times New Roman" w:hAnsi="Times New Roman" w:cs="Times New Roman"/>
                <w:noProof/>
              </w:rPr>
              <w:t>[17]</w:t>
            </w:r>
          </w:p>
        </w:tc>
        <w:tc>
          <w:tcPr>
            <w:tcW w:w="8221" w:type="dxa"/>
          </w:tcPr>
          <w:p w14:paraId="7A0328BF" w14:textId="66FD886C"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Participants/comparison-related, i.e. compared age groups &gt;18 years of age.</w:t>
            </w:r>
          </w:p>
        </w:tc>
      </w:tr>
      <w:tr w:rsidR="003259D5" w:rsidRPr="003259D5" w14:paraId="1698D0D5" w14:textId="77777777" w:rsidTr="003259D5">
        <w:trPr>
          <w:jc w:val="center"/>
        </w:trPr>
        <w:tc>
          <w:tcPr>
            <w:tcW w:w="3261" w:type="dxa"/>
          </w:tcPr>
          <w:p w14:paraId="2D7702FE" w14:textId="3493751B"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 xml:space="preserve">Saez de Villarreal 2010 </w:t>
            </w:r>
            <w:r w:rsidRPr="003259D5">
              <w:rPr>
                <w:rFonts w:ascii="Times New Roman" w:hAnsi="Times New Roman" w:cs="Times New Roman"/>
                <w:noProof/>
              </w:rPr>
              <w:t>[18]</w:t>
            </w:r>
          </w:p>
        </w:tc>
        <w:tc>
          <w:tcPr>
            <w:tcW w:w="8221" w:type="dxa"/>
          </w:tcPr>
          <w:p w14:paraId="49BA9953" w14:textId="4AE783D8"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Participants/comparison-related, i.e. compared age groups &gt;18 years of age.</w:t>
            </w:r>
          </w:p>
        </w:tc>
      </w:tr>
      <w:tr w:rsidR="003259D5" w:rsidRPr="003259D5" w14:paraId="669AD2DA" w14:textId="77777777" w:rsidTr="003259D5">
        <w:trPr>
          <w:jc w:val="center"/>
        </w:trPr>
        <w:tc>
          <w:tcPr>
            <w:tcW w:w="3261" w:type="dxa"/>
          </w:tcPr>
          <w:p w14:paraId="2463945C" w14:textId="1E7CFCE1" w:rsidR="003259D5" w:rsidRPr="003259D5" w:rsidRDefault="003259D5" w:rsidP="003259D5">
            <w:pPr>
              <w:autoSpaceDE w:val="0"/>
              <w:autoSpaceDN w:val="0"/>
              <w:adjustRightInd w:val="0"/>
              <w:spacing w:after="0" w:line="240" w:lineRule="auto"/>
              <w:rPr>
                <w:rFonts w:ascii="Times New Roman" w:hAnsi="Times New Roman" w:cs="Times New Roman"/>
              </w:rPr>
            </w:pPr>
            <w:r w:rsidRPr="003259D5">
              <w:rPr>
                <w:rFonts w:ascii="Times New Roman" w:hAnsi="Times New Roman" w:cs="Times New Roman"/>
                <w:color w:val="000000" w:themeColor="text1"/>
                <w:lang w:bidi="ar-SA"/>
              </w:rPr>
              <w:t xml:space="preserve">Vassil and Bazanovk 2012 </w:t>
            </w:r>
            <w:r w:rsidRPr="003259D5">
              <w:rPr>
                <w:rFonts w:ascii="Times New Roman" w:hAnsi="Times New Roman" w:cs="Times New Roman"/>
                <w:noProof/>
              </w:rPr>
              <w:t>[19]</w:t>
            </w:r>
          </w:p>
        </w:tc>
        <w:tc>
          <w:tcPr>
            <w:tcW w:w="8221" w:type="dxa"/>
          </w:tcPr>
          <w:p w14:paraId="1B3F4DDD" w14:textId="0AACE6B7"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Participants/comparison-related, i.e. compared age groups with different sex and similar maturity (i.e., male = 17.0 y, post-PHV; female = 14.4 y, post-PHV).</w:t>
            </w:r>
          </w:p>
        </w:tc>
      </w:tr>
      <w:tr w:rsidR="003259D5" w:rsidRPr="003259D5" w14:paraId="62412663" w14:textId="77777777" w:rsidTr="003259D5">
        <w:trPr>
          <w:jc w:val="center"/>
        </w:trPr>
        <w:tc>
          <w:tcPr>
            <w:tcW w:w="3261" w:type="dxa"/>
            <w:tcBorders>
              <w:bottom w:val="single" w:sz="4" w:space="0" w:color="auto"/>
            </w:tcBorders>
          </w:tcPr>
          <w:p w14:paraId="35A61149" w14:textId="61598384" w:rsidR="003259D5" w:rsidRPr="003259D5" w:rsidRDefault="003259D5" w:rsidP="003259D5">
            <w:pPr>
              <w:autoSpaceDE w:val="0"/>
              <w:autoSpaceDN w:val="0"/>
              <w:adjustRightInd w:val="0"/>
              <w:spacing w:after="0" w:line="240" w:lineRule="auto"/>
              <w:rPr>
                <w:rFonts w:ascii="Times New Roman" w:hAnsi="Times New Roman" w:cs="Times New Roman"/>
                <w:color w:val="000000" w:themeColor="text1"/>
                <w:lang w:bidi="ar-SA"/>
              </w:rPr>
            </w:pPr>
            <w:r w:rsidRPr="003259D5">
              <w:rPr>
                <w:rFonts w:ascii="Times New Roman" w:hAnsi="Times New Roman" w:cs="Times New Roman"/>
                <w:color w:val="000000" w:themeColor="text1"/>
                <w:lang w:bidi="ar-SA"/>
              </w:rPr>
              <w:t xml:space="preserve">Verma et al. 2015 </w:t>
            </w:r>
            <w:r w:rsidRPr="003259D5">
              <w:rPr>
                <w:rFonts w:ascii="Times New Roman" w:hAnsi="Times New Roman" w:cs="Times New Roman"/>
                <w:noProof/>
                <w:color w:val="000000" w:themeColor="text1"/>
                <w:lang w:bidi="ar-SA"/>
              </w:rPr>
              <w:t>[20]</w:t>
            </w:r>
          </w:p>
        </w:tc>
        <w:tc>
          <w:tcPr>
            <w:tcW w:w="8221" w:type="dxa"/>
            <w:tcBorders>
              <w:bottom w:val="single" w:sz="4" w:space="0" w:color="auto"/>
            </w:tcBorders>
          </w:tcPr>
          <w:p w14:paraId="3EF1EDEB" w14:textId="1CDC222C"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color w:val="000000" w:themeColor="text1"/>
              </w:rPr>
              <w:t>Participants/comparison-related,</w:t>
            </w:r>
            <w:r w:rsidRPr="003259D5">
              <w:rPr>
                <w:rFonts w:ascii="Times New Roman" w:hAnsi="Times New Roman" w:cs="Times New Roman"/>
              </w:rPr>
              <w:t xml:space="preserve"> i.e. authors reported </w:t>
            </w:r>
            <w:r w:rsidRPr="003259D5">
              <w:rPr>
                <w:rFonts w:ascii="Times New Roman" w:eastAsiaTheme="minorHAnsi" w:hAnsi="Times New Roman" w:cs="Times New Roman"/>
              </w:rPr>
              <w:t xml:space="preserve">groups of different maturity status, but without a </w:t>
            </w:r>
            <w:r w:rsidRPr="003259D5">
              <w:rPr>
                <w:rFonts w:ascii="Times New Roman" w:hAnsi="Times New Roman" w:cs="Times New Roman"/>
              </w:rPr>
              <w:t>well-defined or standardized method, i.e. authors indicated “p</w:t>
            </w:r>
            <w:r w:rsidRPr="003259D5">
              <w:rPr>
                <w:rFonts w:ascii="Times New Roman" w:hAnsi="Times New Roman" w:cs="Times New Roman"/>
                <w:color w:val="000000" w:themeColor="text1"/>
                <w:lang w:val="en-US" w:bidi="ar-SA"/>
              </w:rPr>
              <w:t>re-pubertal” and “pubertal” categories, although without further description of maturity assessment methods.</w:t>
            </w:r>
          </w:p>
        </w:tc>
      </w:tr>
      <w:tr w:rsidR="003259D5" w:rsidRPr="003259D5" w14:paraId="0C889460" w14:textId="77777777" w:rsidTr="003259D5">
        <w:trPr>
          <w:jc w:val="center"/>
        </w:trPr>
        <w:tc>
          <w:tcPr>
            <w:tcW w:w="11482" w:type="dxa"/>
            <w:gridSpan w:val="2"/>
            <w:tcBorders>
              <w:top w:val="single" w:sz="4" w:space="0" w:color="auto"/>
            </w:tcBorders>
          </w:tcPr>
          <w:p w14:paraId="7A64EA97" w14:textId="261BA9FD" w:rsidR="003259D5" w:rsidRPr="003259D5" w:rsidRDefault="003259D5" w:rsidP="003259D5">
            <w:pPr>
              <w:spacing w:after="0" w:line="240" w:lineRule="auto"/>
              <w:rPr>
                <w:rFonts w:ascii="Times New Roman" w:hAnsi="Times New Roman" w:cs="Times New Roman"/>
              </w:rPr>
            </w:pPr>
            <w:r w:rsidRPr="003259D5">
              <w:rPr>
                <w:rFonts w:ascii="Times New Roman" w:hAnsi="Times New Roman" w:cs="Times New Roman"/>
              </w:rPr>
              <w:t>PHV: age of peak height velocity.</w:t>
            </w:r>
          </w:p>
        </w:tc>
      </w:tr>
    </w:tbl>
    <w:p w14:paraId="15A1708E" w14:textId="77777777" w:rsidR="00FE3FC5" w:rsidRPr="003259D5" w:rsidRDefault="00FE3FC5" w:rsidP="003259D5">
      <w:pPr>
        <w:rPr>
          <w:rFonts w:ascii="Times New Roman" w:hAnsi="Times New Roman" w:cs="Times New Roman"/>
        </w:rPr>
      </w:pPr>
    </w:p>
    <w:p w14:paraId="522B7429" w14:textId="20EF2234" w:rsidR="00007FA0" w:rsidRPr="003259D5" w:rsidRDefault="00007FA0" w:rsidP="003259D5">
      <w:pPr>
        <w:rPr>
          <w:rFonts w:ascii="Times New Roman" w:hAnsi="Times New Roman" w:cs="Times New Roman"/>
        </w:rPr>
      </w:pPr>
      <w:r w:rsidRPr="003259D5">
        <w:rPr>
          <w:rFonts w:ascii="Times New Roman" w:hAnsi="Times New Roman" w:cs="Times New Roman"/>
          <w:b/>
        </w:rPr>
        <w:t>REFERENCES</w:t>
      </w:r>
    </w:p>
    <w:p w14:paraId="47DCCF58"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1.</w:t>
      </w:r>
      <w:r w:rsidRPr="003259D5">
        <w:rPr>
          <w:rFonts w:ascii="Times New Roman" w:hAnsi="Times New Roman" w:cs="Times New Roman"/>
        </w:rPr>
        <w:tab/>
        <w:t>Bassey EJ, Rothwell MC, Littlewood JJ, Pye DW. Pre- and postmenopausal women have different bone mineral density responses to the same high-impact exercise. J Bone Miner Res. 1998;13(12):1805-13.</w:t>
      </w:r>
    </w:p>
    <w:p w14:paraId="115ED2D0"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2.</w:t>
      </w:r>
      <w:r w:rsidRPr="003259D5">
        <w:rPr>
          <w:rFonts w:ascii="Times New Roman" w:hAnsi="Times New Roman" w:cs="Times New Roman"/>
        </w:rPr>
        <w:tab/>
        <w:t>Ciacci S, Bartolomei S. The effects of two different explosive strength training programs on vertical jump performance in basketball. J Sports Med Phys Fitness. 2018 Oct;58(10):1375-82.</w:t>
      </w:r>
    </w:p>
    <w:p w14:paraId="2258403A" w14:textId="77777777" w:rsidR="00C838C1" w:rsidRPr="003259D5" w:rsidRDefault="00C838C1" w:rsidP="003259D5">
      <w:pPr>
        <w:pStyle w:val="EndNoteBibliography"/>
        <w:rPr>
          <w:rFonts w:ascii="Times New Roman" w:hAnsi="Times New Roman" w:cs="Times New Roman"/>
          <w:lang w:val="es-CL"/>
        </w:rPr>
      </w:pPr>
      <w:r w:rsidRPr="003259D5">
        <w:rPr>
          <w:rFonts w:ascii="Times New Roman" w:hAnsi="Times New Roman" w:cs="Times New Roman"/>
        </w:rPr>
        <w:lastRenderedPageBreak/>
        <w:t>3.</w:t>
      </w:r>
      <w:r w:rsidRPr="003259D5">
        <w:rPr>
          <w:rFonts w:ascii="Times New Roman" w:hAnsi="Times New Roman" w:cs="Times New Roman"/>
        </w:rPr>
        <w:tab/>
        <w:t xml:space="preserve">Dallas GC, Pappas P, Ntallas CG, Paradisis GP, Exell TA. The effect of four weeks of plyometric training on reactive strength index and leg stiffness is sport dependent. </w:t>
      </w:r>
      <w:r w:rsidRPr="003259D5">
        <w:rPr>
          <w:rFonts w:ascii="Times New Roman" w:hAnsi="Times New Roman" w:cs="Times New Roman"/>
          <w:lang w:val="es-CL"/>
        </w:rPr>
        <w:t>J Sports Med Phys Fitness. 2020;60(7):979-84.</w:t>
      </w:r>
    </w:p>
    <w:p w14:paraId="261EEFB2"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lang w:val="es-CL"/>
        </w:rPr>
        <w:t>4.</w:t>
      </w:r>
      <w:r w:rsidRPr="003259D5">
        <w:rPr>
          <w:rFonts w:ascii="Times New Roman" w:hAnsi="Times New Roman" w:cs="Times New Roman"/>
          <w:lang w:val="es-CL"/>
        </w:rPr>
        <w:tab/>
        <w:t xml:space="preserve">Falces-Prieto M, Raya-González J, de Villarreal ES, Rodicio-Palma J, Iglesias-García FJ, Fernández FTG. </w:t>
      </w:r>
      <w:r w:rsidRPr="003259D5">
        <w:rPr>
          <w:rFonts w:ascii="Times New Roman" w:hAnsi="Times New Roman" w:cs="Times New Roman"/>
        </w:rPr>
        <w:t>Effects of combined plyometric and sled training on vertical jump and linear speed performance in young soccer players. Retos. 2021;42:228-35.</w:t>
      </w:r>
    </w:p>
    <w:p w14:paraId="496C5F57" w14:textId="77777777" w:rsidR="00C838C1" w:rsidRPr="003259D5" w:rsidRDefault="00C838C1" w:rsidP="003259D5">
      <w:pPr>
        <w:pStyle w:val="EndNoteBibliography"/>
        <w:rPr>
          <w:rFonts w:ascii="Times New Roman" w:hAnsi="Times New Roman" w:cs="Times New Roman"/>
          <w:lang w:val="fr-FR"/>
        </w:rPr>
      </w:pPr>
      <w:r w:rsidRPr="003259D5">
        <w:rPr>
          <w:rFonts w:ascii="Times New Roman" w:hAnsi="Times New Roman" w:cs="Times New Roman"/>
        </w:rPr>
        <w:t>5.</w:t>
      </w:r>
      <w:r w:rsidRPr="003259D5">
        <w:rPr>
          <w:rFonts w:ascii="Times New Roman" w:hAnsi="Times New Roman" w:cs="Times New Roman"/>
        </w:rPr>
        <w:tab/>
        <w:t xml:space="preserve">Foss KDB, Thomas S, Khoury JC, Myer GD, Hewett TE. A school-based neuromuscular training program and sport-related injury incidence: a prospective randomized controlled clinical trial. </w:t>
      </w:r>
      <w:r w:rsidRPr="003259D5">
        <w:rPr>
          <w:rFonts w:ascii="Times New Roman" w:hAnsi="Times New Roman" w:cs="Times New Roman"/>
          <w:lang w:val="fr-FR"/>
        </w:rPr>
        <w:t>J Athl Train. 2018;53(1):20-8.</w:t>
      </w:r>
    </w:p>
    <w:p w14:paraId="524BEDC9"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lang w:val="fr-FR"/>
        </w:rPr>
        <w:t>6.</w:t>
      </w:r>
      <w:r w:rsidRPr="003259D5">
        <w:rPr>
          <w:rFonts w:ascii="Times New Roman" w:hAnsi="Times New Roman" w:cs="Times New Roman"/>
          <w:lang w:val="fr-FR"/>
        </w:rPr>
        <w:tab/>
        <w:t xml:space="preserve">Franchi MV, Monti E, Carter A, Quinlan JI, Herrod PJJ, Reeves ND, et al. </w:t>
      </w:r>
      <w:r w:rsidRPr="003259D5">
        <w:rPr>
          <w:rFonts w:ascii="Times New Roman" w:hAnsi="Times New Roman" w:cs="Times New Roman"/>
        </w:rPr>
        <w:t>Bouncing back! Counteracting muscle aging with plyometric muscle loading. Frontiers in physiology. 2019;10:178.</w:t>
      </w:r>
    </w:p>
    <w:p w14:paraId="3151204B"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7.</w:t>
      </w:r>
      <w:r w:rsidRPr="003259D5">
        <w:rPr>
          <w:rFonts w:ascii="Times New Roman" w:hAnsi="Times New Roman" w:cs="Times New Roman"/>
        </w:rPr>
        <w:tab/>
        <w:t>Ha A, Sum R, Chan C, Ng JYY. Promoting rope skipping at Hong Kong schools with low and mid socioeconomic statuses: An ecological perspective. International Review of Social Science. 2014 01/01;2:104-15.</w:t>
      </w:r>
    </w:p>
    <w:p w14:paraId="2EDDBE72"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8.</w:t>
      </w:r>
      <w:r w:rsidRPr="003259D5">
        <w:rPr>
          <w:rFonts w:ascii="Times New Roman" w:hAnsi="Times New Roman" w:cs="Times New Roman"/>
        </w:rPr>
        <w:tab/>
        <w:t>Hunnicutt JL, Aaron SE, Embry AE, Cence B, Morgan P, Bowden MG, et al. The effects of POWER training in young and older adults after stroke. Stroke research and treatment. 2016;2016:7316250.</w:t>
      </w:r>
    </w:p>
    <w:p w14:paraId="35948750"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9.</w:t>
      </w:r>
      <w:r w:rsidRPr="003259D5">
        <w:rPr>
          <w:rFonts w:ascii="Times New Roman" w:hAnsi="Times New Roman" w:cs="Times New Roman"/>
        </w:rPr>
        <w:tab/>
        <w:t>Keiner M, Sander A, Wirth K, Schmidtbleicher D. The impact of 2 years of additional athletic training on the jump performance of young athletes. Science and Sports. 2014;29(4):e39-e46.</w:t>
      </w:r>
    </w:p>
    <w:p w14:paraId="14705609" w14:textId="77777777" w:rsidR="00C838C1" w:rsidRPr="003259D5" w:rsidRDefault="00C838C1" w:rsidP="003259D5">
      <w:pPr>
        <w:pStyle w:val="EndNoteBibliography"/>
        <w:rPr>
          <w:rFonts w:ascii="Times New Roman" w:hAnsi="Times New Roman" w:cs="Times New Roman"/>
          <w:lang w:val="es-CL"/>
        </w:rPr>
      </w:pPr>
      <w:r w:rsidRPr="003259D5">
        <w:rPr>
          <w:rFonts w:ascii="Times New Roman" w:hAnsi="Times New Roman" w:cs="Times New Roman"/>
        </w:rPr>
        <w:t>10.</w:t>
      </w:r>
      <w:r w:rsidRPr="003259D5">
        <w:rPr>
          <w:rFonts w:ascii="Times New Roman" w:hAnsi="Times New Roman" w:cs="Times New Roman"/>
        </w:rPr>
        <w:tab/>
        <w:t xml:space="preserve">Marina M, Jemni M. Plyometric training performance in elite-oriented prepubertal female gymnasts. </w:t>
      </w:r>
      <w:r w:rsidRPr="003259D5">
        <w:rPr>
          <w:rFonts w:ascii="Times New Roman" w:hAnsi="Times New Roman" w:cs="Times New Roman"/>
          <w:lang w:val="es-CL"/>
        </w:rPr>
        <w:t>J Strength Cond Res. 2014;28(4):1015-25.</w:t>
      </w:r>
    </w:p>
    <w:p w14:paraId="423A435A"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lang w:val="es-CL"/>
        </w:rPr>
        <w:t>11.</w:t>
      </w:r>
      <w:r w:rsidRPr="003259D5">
        <w:rPr>
          <w:rFonts w:ascii="Times New Roman" w:hAnsi="Times New Roman" w:cs="Times New Roman"/>
          <w:lang w:val="es-CL"/>
        </w:rPr>
        <w:tab/>
        <w:t xml:space="preserve">Marta CC, Marinho DA, Izquierdo M, Marques MC. </w:t>
      </w:r>
      <w:r w:rsidRPr="003259D5">
        <w:rPr>
          <w:rFonts w:ascii="Times New Roman" w:hAnsi="Times New Roman" w:cs="Times New Roman"/>
        </w:rPr>
        <w:t>Differentiating maturational influence on training-induced strength and endurance adaptations in prepubescent children. American journal of human biology : the official journal of the Human Biology Council. 2014 Jul-Aug;26(4):469-75.</w:t>
      </w:r>
    </w:p>
    <w:p w14:paraId="3BA3AEF8"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12.</w:t>
      </w:r>
      <w:r w:rsidRPr="003259D5">
        <w:rPr>
          <w:rFonts w:ascii="Times New Roman" w:hAnsi="Times New Roman" w:cs="Times New Roman"/>
        </w:rPr>
        <w:tab/>
        <w:t>Michel M, Monem J, Ferran R. A two-season longitudinal follow-up study of jumps with added weights and counter movement jumps in well-trained pre-pubertal female gymnasts. J Sports Med Physical Fit. 2014;54(6):730-41.</w:t>
      </w:r>
    </w:p>
    <w:p w14:paraId="7460D622"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13.</w:t>
      </w:r>
      <w:r w:rsidRPr="003259D5">
        <w:rPr>
          <w:rFonts w:ascii="Times New Roman" w:hAnsi="Times New Roman" w:cs="Times New Roman"/>
        </w:rPr>
        <w:tab/>
        <w:t>Mero AMJ, Häkkinen K, Kyröläinen H, Mero AA. Effects of training on bone metabolism in young athletes. Human Movement. 2021;22(4):105-12.</w:t>
      </w:r>
    </w:p>
    <w:p w14:paraId="022F5B3B"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14.</w:t>
      </w:r>
      <w:r w:rsidRPr="003259D5">
        <w:rPr>
          <w:rFonts w:ascii="Times New Roman" w:hAnsi="Times New Roman" w:cs="Times New Roman"/>
        </w:rPr>
        <w:tab/>
        <w:t>Pardos-Mainer E, Ustero-Pérez O, Gonzalo-Skok O. Effects of upper and lower body plyometric training on physical performance in young tennis players. RICYDE: Revista Internacional de Ciencias del Deporte. 2017;13(49):225-43.</w:t>
      </w:r>
    </w:p>
    <w:p w14:paraId="33C8B4C1"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15.</w:t>
      </w:r>
      <w:r w:rsidRPr="003259D5">
        <w:rPr>
          <w:rFonts w:ascii="Times New Roman" w:hAnsi="Times New Roman" w:cs="Times New Roman"/>
        </w:rPr>
        <w:tab/>
        <w:t>Pena-Gonzalez I, Fernandez-Fernandez J, Cervello E, Moya-Ramon M. Effect of biological maturation on strength-related adaptations in young soccer players. Plos One. 2019 Jul;14(7).</w:t>
      </w:r>
    </w:p>
    <w:p w14:paraId="4CAA9824"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16.</w:t>
      </w:r>
      <w:r w:rsidRPr="003259D5">
        <w:rPr>
          <w:rFonts w:ascii="Times New Roman" w:hAnsi="Times New Roman" w:cs="Times New Roman"/>
        </w:rPr>
        <w:tab/>
        <w:t>Radnor JM, Lloyd RS, Oliver JL. Individual response to different forms of resistance training in school-aged boys. J Strength Cond Res. 2017;31(3):787-97.</w:t>
      </w:r>
    </w:p>
    <w:p w14:paraId="39E41EC6"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17.</w:t>
      </w:r>
      <w:r w:rsidRPr="003259D5">
        <w:rPr>
          <w:rFonts w:ascii="Times New Roman" w:hAnsi="Times New Roman" w:cs="Times New Roman"/>
        </w:rPr>
        <w:tab/>
        <w:t>Saez de Villarreal E, Requena B, Arampatzi F, Salonikidis K. Effect of plyometric training on chair-rise, jumping and sprinting performance in three age groups of women. J Sports Med Phys Fitness. 2010 Jun;50(2):166-73.</w:t>
      </w:r>
    </w:p>
    <w:p w14:paraId="7464CC73"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18.</w:t>
      </w:r>
      <w:r w:rsidRPr="003259D5">
        <w:rPr>
          <w:rFonts w:ascii="Times New Roman" w:hAnsi="Times New Roman" w:cs="Times New Roman"/>
        </w:rPr>
        <w:tab/>
        <w:t>Sáez Sáez de Villarreal E. Effect of plyometric training in three age groups of women. Rev Int Med Cienc Act Fis Dep. 2010;10(39):393-409.</w:t>
      </w:r>
    </w:p>
    <w:p w14:paraId="71124823"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19.</w:t>
      </w:r>
      <w:r w:rsidRPr="003259D5">
        <w:rPr>
          <w:rFonts w:ascii="Times New Roman" w:hAnsi="Times New Roman" w:cs="Times New Roman"/>
        </w:rPr>
        <w:tab/>
        <w:t>Vassil K, Bazanovk B. The effect of plyometric training program on young volleyball players in their usual training period. J Human Sport Exerc. 2012;7:S35-S40.</w:t>
      </w:r>
    </w:p>
    <w:p w14:paraId="60607AC9" w14:textId="77777777" w:rsidR="00C838C1" w:rsidRPr="003259D5" w:rsidRDefault="00C838C1" w:rsidP="003259D5">
      <w:pPr>
        <w:pStyle w:val="EndNoteBibliography"/>
        <w:rPr>
          <w:rFonts w:ascii="Times New Roman" w:hAnsi="Times New Roman" w:cs="Times New Roman"/>
        </w:rPr>
      </w:pPr>
      <w:r w:rsidRPr="003259D5">
        <w:rPr>
          <w:rFonts w:ascii="Times New Roman" w:hAnsi="Times New Roman" w:cs="Times New Roman"/>
        </w:rPr>
        <w:t>20.</w:t>
      </w:r>
      <w:r w:rsidRPr="003259D5">
        <w:rPr>
          <w:rFonts w:ascii="Times New Roman" w:hAnsi="Times New Roman" w:cs="Times New Roman"/>
        </w:rPr>
        <w:tab/>
        <w:t>Verma C, Subramanium L, Krishnan V. Effect of plyometric training on vertical jump height in high school basketball players: arandomised control trial. Int J Med Res Health Sci. 2015;4(1):7-12.</w:t>
      </w:r>
    </w:p>
    <w:p w14:paraId="5A0D6FEC" w14:textId="20F7E031" w:rsidR="00007FA0" w:rsidRPr="003259D5" w:rsidRDefault="00007FA0" w:rsidP="003259D5">
      <w:pPr>
        <w:rPr>
          <w:rFonts w:ascii="Times New Roman" w:hAnsi="Times New Roman" w:cs="Times New Roman"/>
        </w:rPr>
      </w:pPr>
    </w:p>
    <w:sectPr w:rsidR="00007FA0" w:rsidRPr="003259D5" w:rsidSect="00007FA0">
      <w:pgSz w:w="12240" w:h="15840" w:code="1"/>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Lotus">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TIX-Regular">
    <w:altName w:val="MS Gothic"/>
    <w:panose1 w:val="00000000000000000000"/>
    <w:charset w:val="80"/>
    <w:family w:val="roman"/>
    <w:notTrueType/>
    <w:pitch w:val="default"/>
    <w:sig w:usb0="00000003" w:usb1="08070000"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2sbAwMTe0NDQ0tjBW0lEKTi0uzszPAykwrAUAUERQ0SwAAAA="/>
    <w:docVar w:name="EN.InstantFormat" w:val="&lt;ENInstantFormat&gt;&lt;Enabled&gt;1&lt;/Enabled&gt;&lt;ScanUnformatted&gt;1&lt;/ScanUnformatted&gt;&lt;ScanChanges&gt;1&lt;/ScanChanges&gt;&lt;Suspended&gt;0&lt;/Suspended&gt;&lt;/ENInstantFormat&gt;"/>
    <w:docVar w:name="EN.Layout" w:val="&lt;ENLayout&gt;&lt;Style&gt;Sports Medicine_2020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zw25xv4dvfs2edapypfrx59xfaw5war055&quot;&gt;BIBLIOTECA_copia_14_3_19-Converted&lt;record-ids&gt;&lt;item&gt;1006&lt;/item&gt;&lt;item&gt;2623&lt;/item&gt;&lt;item&gt;4753&lt;/item&gt;&lt;item&gt;6332&lt;/item&gt;&lt;item&gt;9320&lt;/item&gt;&lt;item&gt;9591&lt;/item&gt;&lt;item&gt;9711&lt;/item&gt;&lt;item&gt;9781&lt;/item&gt;&lt;item&gt;11708&lt;/item&gt;&lt;item&gt;15072&lt;/item&gt;&lt;item&gt;16071&lt;/item&gt;&lt;item&gt;16955&lt;/item&gt;&lt;item&gt;17648&lt;/item&gt;&lt;item&gt;18664&lt;/item&gt;&lt;item&gt;20641&lt;/item&gt;&lt;item&gt;20855&lt;/item&gt;&lt;item&gt;20936&lt;/item&gt;&lt;item&gt;20939&lt;/item&gt;&lt;item&gt;20940&lt;/item&gt;&lt;item&gt;20975&lt;/item&gt;&lt;/record-ids&gt;&lt;/item&gt;&lt;/Libraries&gt;"/>
  </w:docVars>
  <w:rsids>
    <w:rsidRoot w:val="00917FF9"/>
    <w:rsid w:val="00007FA0"/>
    <w:rsid w:val="00015899"/>
    <w:rsid w:val="00050120"/>
    <w:rsid w:val="00064473"/>
    <w:rsid w:val="000D325E"/>
    <w:rsid w:val="000F446D"/>
    <w:rsid w:val="0013557D"/>
    <w:rsid w:val="001376ED"/>
    <w:rsid w:val="00140109"/>
    <w:rsid w:val="002A14B7"/>
    <w:rsid w:val="002D47AD"/>
    <w:rsid w:val="002D683F"/>
    <w:rsid w:val="0031780B"/>
    <w:rsid w:val="003259D5"/>
    <w:rsid w:val="0035212A"/>
    <w:rsid w:val="003529D9"/>
    <w:rsid w:val="00390692"/>
    <w:rsid w:val="00395539"/>
    <w:rsid w:val="00397A9B"/>
    <w:rsid w:val="003B092A"/>
    <w:rsid w:val="003C51AE"/>
    <w:rsid w:val="003C6E80"/>
    <w:rsid w:val="003E6935"/>
    <w:rsid w:val="003F77EE"/>
    <w:rsid w:val="00444F7A"/>
    <w:rsid w:val="00465A89"/>
    <w:rsid w:val="00474929"/>
    <w:rsid w:val="00497F3B"/>
    <w:rsid w:val="004B0B27"/>
    <w:rsid w:val="00535E26"/>
    <w:rsid w:val="00551250"/>
    <w:rsid w:val="005C1EF0"/>
    <w:rsid w:val="005C3B29"/>
    <w:rsid w:val="005C4115"/>
    <w:rsid w:val="005C6A1B"/>
    <w:rsid w:val="005F598A"/>
    <w:rsid w:val="00626728"/>
    <w:rsid w:val="00662C5B"/>
    <w:rsid w:val="006849BB"/>
    <w:rsid w:val="006B1450"/>
    <w:rsid w:val="00785EB5"/>
    <w:rsid w:val="007B32D3"/>
    <w:rsid w:val="007D268C"/>
    <w:rsid w:val="00807EF6"/>
    <w:rsid w:val="00845F7C"/>
    <w:rsid w:val="00850BF7"/>
    <w:rsid w:val="008D02C0"/>
    <w:rsid w:val="008D6056"/>
    <w:rsid w:val="00904E64"/>
    <w:rsid w:val="00911AB2"/>
    <w:rsid w:val="00914093"/>
    <w:rsid w:val="00917FF9"/>
    <w:rsid w:val="00930051"/>
    <w:rsid w:val="00977A62"/>
    <w:rsid w:val="0099522F"/>
    <w:rsid w:val="009B4D06"/>
    <w:rsid w:val="00A33745"/>
    <w:rsid w:val="00A4291A"/>
    <w:rsid w:val="00B21AA5"/>
    <w:rsid w:val="00BC2A0A"/>
    <w:rsid w:val="00BD68AC"/>
    <w:rsid w:val="00BF1FAB"/>
    <w:rsid w:val="00BF309B"/>
    <w:rsid w:val="00C31D86"/>
    <w:rsid w:val="00C33F64"/>
    <w:rsid w:val="00C4215C"/>
    <w:rsid w:val="00C838C1"/>
    <w:rsid w:val="00C91E7B"/>
    <w:rsid w:val="00CE2BBA"/>
    <w:rsid w:val="00D128D6"/>
    <w:rsid w:val="00D12A11"/>
    <w:rsid w:val="00D66701"/>
    <w:rsid w:val="00DB57A3"/>
    <w:rsid w:val="00DF46DA"/>
    <w:rsid w:val="00E269AA"/>
    <w:rsid w:val="00E40958"/>
    <w:rsid w:val="00E66730"/>
    <w:rsid w:val="00E81C21"/>
    <w:rsid w:val="00ED75DA"/>
    <w:rsid w:val="00EE6BDB"/>
    <w:rsid w:val="00F52A43"/>
    <w:rsid w:val="00FE3FC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86D69"/>
  <w15:chartTrackingRefBased/>
  <w15:docId w15:val="{11C9E93C-D63F-4684-893A-1D95DEFB1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heme="minorBidi"/>
        <w:color w:val="000000" w:themeColor="text1"/>
        <w:sz w:val="24"/>
        <w:szCs w:val="24"/>
        <w:lang w:val="es-CL" w:eastAsia="en-US" w:bidi="ar-SA"/>
      </w:rPr>
    </w:rPrDefault>
    <w:pPrDefault>
      <w:pPr>
        <w:jc w:val="both"/>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0BF7"/>
    <w:rPr>
      <w:rFonts w:ascii="Calibri" w:hAnsi="Calibri" w:cs="Calibri"/>
      <w:color w:val="auto"/>
      <w:sz w:val="22"/>
      <w:szCs w:val="22"/>
      <w:lang w:val="en-GB" w:bidi="en-US"/>
    </w:rPr>
  </w:style>
  <w:style w:type="paragraph" w:styleId="Ttulo1">
    <w:name w:val="heading 1"/>
    <w:basedOn w:val="Normal"/>
    <w:link w:val="Ttulo1Car"/>
    <w:uiPriority w:val="1"/>
    <w:qFormat/>
    <w:rsid w:val="00850BF7"/>
    <w:pPr>
      <w:ind w:left="119"/>
      <w:outlineLvl w:val="0"/>
    </w:pPr>
    <w:rPr>
      <w:sz w:val="25"/>
      <w:szCs w:val="25"/>
    </w:rPr>
  </w:style>
  <w:style w:type="paragraph" w:styleId="Ttulo2">
    <w:name w:val="heading 2"/>
    <w:basedOn w:val="Normal"/>
    <w:link w:val="Ttulo2Car"/>
    <w:uiPriority w:val="1"/>
    <w:qFormat/>
    <w:rsid w:val="00850BF7"/>
    <w:pPr>
      <w:ind w:left="19" w:right="36" w:hanging="13"/>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
    <w:name w:val="متن"/>
    <w:basedOn w:val="Normal"/>
    <w:qFormat/>
    <w:rsid w:val="0031780B"/>
    <w:pPr>
      <w:spacing w:line="288" w:lineRule="auto"/>
      <w:ind w:firstLine="567"/>
      <w:jc w:val="lowKashida"/>
    </w:pPr>
    <w:rPr>
      <w:rFonts w:eastAsia="Times New Roman" w:cs="B Lotus"/>
      <w:szCs w:val="28"/>
    </w:rPr>
  </w:style>
  <w:style w:type="character" w:customStyle="1" w:styleId="markedcontent">
    <w:name w:val="markedcontent"/>
    <w:basedOn w:val="Fuentedeprrafopredeter"/>
    <w:rsid w:val="0031780B"/>
  </w:style>
  <w:style w:type="table" w:customStyle="1" w:styleId="Tablanormal21">
    <w:name w:val="Tabla normal 21"/>
    <w:basedOn w:val="Tablanormal"/>
    <w:uiPriority w:val="42"/>
    <w:rsid w:val="0031780B"/>
    <w:rPr>
      <w:lang w:val="en-US"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basedOn w:val="Fuentedeprrafopredeter"/>
    <w:rsid w:val="0031780B"/>
  </w:style>
  <w:style w:type="character" w:customStyle="1" w:styleId="viiyi">
    <w:name w:val="viiyi"/>
    <w:basedOn w:val="Fuentedeprrafopredeter"/>
    <w:rsid w:val="0031780B"/>
  </w:style>
  <w:style w:type="paragraph" w:styleId="Textoindependiente">
    <w:name w:val="Body Text"/>
    <w:basedOn w:val="Normal"/>
    <w:link w:val="TextoindependienteCar"/>
    <w:uiPriority w:val="1"/>
    <w:qFormat/>
    <w:rsid w:val="00850BF7"/>
    <w:rPr>
      <w:sz w:val="24"/>
      <w:szCs w:val="24"/>
    </w:rPr>
  </w:style>
  <w:style w:type="character" w:customStyle="1" w:styleId="TextoindependienteCar">
    <w:name w:val="Texto independiente Car"/>
    <w:basedOn w:val="Fuentedeprrafopredeter"/>
    <w:link w:val="Textoindependiente"/>
    <w:uiPriority w:val="1"/>
    <w:rsid w:val="00850BF7"/>
    <w:rPr>
      <w:rFonts w:ascii="Calibri" w:eastAsia="Calibri" w:hAnsi="Calibri" w:cs="Calibri"/>
      <w:color w:val="auto"/>
      <w:lang w:val="en-US" w:bidi="en-US"/>
    </w:rPr>
  </w:style>
  <w:style w:type="character" w:customStyle="1" w:styleId="Ttulo1Car">
    <w:name w:val="Título 1 Car"/>
    <w:basedOn w:val="Fuentedeprrafopredeter"/>
    <w:link w:val="Ttulo1"/>
    <w:uiPriority w:val="1"/>
    <w:rsid w:val="00850BF7"/>
    <w:rPr>
      <w:rFonts w:ascii="Calibri" w:eastAsia="Calibri" w:hAnsi="Calibri" w:cs="Calibri"/>
      <w:color w:val="auto"/>
      <w:sz w:val="25"/>
      <w:szCs w:val="25"/>
      <w:lang w:val="en-US" w:bidi="en-US"/>
    </w:rPr>
  </w:style>
  <w:style w:type="paragraph" w:styleId="Textonotapie">
    <w:name w:val="footnote text"/>
    <w:aliases w:val="متن زيرنويس, Char,Char,پایان نامه"/>
    <w:basedOn w:val="Normal"/>
    <w:link w:val="TextonotapieCar"/>
    <w:uiPriority w:val="99"/>
    <w:semiHidden/>
    <w:unhideWhenUsed/>
    <w:rsid w:val="00850BF7"/>
    <w:rPr>
      <w:sz w:val="20"/>
      <w:szCs w:val="20"/>
    </w:rPr>
  </w:style>
  <w:style w:type="character" w:customStyle="1" w:styleId="TextonotapieCar">
    <w:name w:val="Texto nota pie Car"/>
    <w:aliases w:val="متن زيرنويس Car, Char Car,Char Car,پایان نامه Car"/>
    <w:basedOn w:val="Fuentedeprrafopredeter"/>
    <w:link w:val="Textonotapie"/>
    <w:uiPriority w:val="99"/>
    <w:semiHidden/>
    <w:rsid w:val="00850BF7"/>
    <w:rPr>
      <w:rFonts w:ascii="Calibri" w:eastAsia="Calibri" w:hAnsi="Calibri" w:cs="Calibri"/>
      <w:color w:val="auto"/>
      <w:sz w:val="20"/>
      <w:szCs w:val="20"/>
      <w:lang w:val="en-US" w:bidi="en-US"/>
    </w:rPr>
  </w:style>
  <w:style w:type="paragraph" w:styleId="Textocomentario">
    <w:name w:val="annotation text"/>
    <w:basedOn w:val="Normal"/>
    <w:link w:val="TextocomentarioCar"/>
    <w:uiPriority w:val="99"/>
    <w:unhideWhenUsed/>
    <w:rsid w:val="00850BF7"/>
    <w:rPr>
      <w:sz w:val="20"/>
      <w:szCs w:val="20"/>
    </w:rPr>
  </w:style>
  <w:style w:type="character" w:customStyle="1" w:styleId="TextocomentarioCar">
    <w:name w:val="Texto comentario Car"/>
    <w:basedOn w:val="Fuentedeprrafopredeter"/>
    <w:link w:val="Textocomentario"/>
    <w:uiPriority w:val="99"/>
    <w:rsid w:val="00850BF7"/>
    <w:rPr>
      <w:rFonts w:ascii="Calibri" w:eastAsia="Calibri" w:hAnsi="Calibri" w:cs="Calibri"/>
      <w:color w:val="auto"/>
      <w:sz w:val="20"/>
      <w:szCs w:val="20"/>
      <w:lang w:val="en-US" w:bidi="en-US"/>
    </w:rPr>
  </w:style>
  <w:style w:type="paragraph" w:styleId="Encabezado">
    <w:name w:val="header"/>
    <w:basedOn w:val="Normal"/>
    <w:link w:val="EncabezadoCar"/>
    <w:uiPriority w:val="99"/>
    <w:semiHidden/>
    <w:unhideWhenUsed/>
    <w:rsid w:val="00850BF7"/>
    <w:pPr>
      <w:tabs>
        <w:tab w:val="center" w:pos="4419"/>
        <w:tab w:val="right" w:pos="8838"/>
      </w:tabs>
    </w:pPr>
  </w:style>
  <w:style w:type="character" w:customStyle="1" w:styleId="EncabezadoCar">
    <w:name w:val="Encabezado Car"/>
    <w:basedOn w:val="Fuentedeprrafopredeter"/>
    <w:link w:val="Encabezado"/>
    <w:uiPriority w:val="99"/>
    <w:semiHidden/>
    <w:rsid w:val="00850BF7"/>
    <w:rPr>
      <w:rFonts w:ascii="Calibri" w:eastAsia="Calibri" w:hAnsi="Calibri" w:cs="Calibri"/>
      <w:color w:val="auto"/>
      <w:sz w:val="22"/>
      <w:szCs w:val="22"/>
      <w:lang w:val="en-US" w:bidi="en-US"/>
    </w:rPr>
  </w:style>
  <w:style w:type="paragraph" w:styleId="Piedepgina">
    <w:name w:val="footer"/>
    <w:basedOn w:val="Normal"/>
    <w:link w:val="PiedepginaCar"/>
    <w:uiPriority w:val="99"/>
    <w:semiHidden/>
    <w:unhideWhenUsed/>
    <w:rsid w:val="00850BF7"/>
    <w:pPr>
      <w:tabs>
        <w:tab w:val="center" w:pos="4419"/>
        <w:tab w:val="right" w:pos="8838"/>
      </w:tabs>
    </w:pPr>
  </w:style>
  <w:style w:type="character" w:customStyle="1" w:styleId="PiedepginaCar">
    <w:name w:val="Pie de página Car"/>
    <w:basedOn w:val="Fuentedeprrafopredeter"/>
    <w:link w:val="Piedepgina"/>
    <w:uiPriority w:val="99"/>
    <w:semiHidden/>
    <w:rsid w:val="00850BF7"/>
    <w:rPr>
      <w:rFonts w:ascii="Calibri" w:eastAsia="Calibri" w:hAnsi="Calibri" w:cs="Calibri"/>
      <w:color w:val="auto"/>
      <w:sz w:val="22"/>
      <w:szCs w:val="22"/>
      <w:lang w:val="en-US" w:bidi="en-US"/>
    </w:rPr>
  </w:style>
  <w:style w:type="character" w:styleId="Refdenotaalpie">
    <w:name w:val="footnote reference"/>
    <w:aliases w:val="پاورقی,شماره زيرنويس"/>
    <w:uiPriority w:val="99"/>
    <w:semiHidden/>
    <w:unhideWhenUsed/>
    <w:rsid w:val="00850BF7"/>
    <w:rPr>
      <w:vertAlign w:val="superscript"/>
    </w:rPr>
  </w:style>
  <w:style w:type="character" w:styleId="Refdecomentario">
    <w:name w:val="annotation reference"/>
    <w:basedOn w:val="Fuentedeprrafopredeter"/>
    <w:uiPriority w:val="99"/>
    <w:semiHidden/>
    <w:unhideWhenUsed/>
    <w:rsid w:val="00850BF7"/>
    <w:rPr>
      <w:sz w:val="16"/>
      <w:szCs w:val="16"/>
    </w:rPr>
  </w:style>
  <w:style w:type="paragraph" w:styleId="Puesto">
    <w:name w:val="Title"/>
    <w:basedOn w:val="Normal"/>
    <w:next w:val="Normal"/>
    <w:link w:val="PuestoCar"/>
    <w:uiPriority w:val="10"/>
    <w:qFormat/>
    <w:rsid w:val="00850BF7"/>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50BF7"/>
    <w:rPr>
      <w:rFonts w:asciiTheme="majorHAnsi" w:eastAsiaTheme="majorEastAsia" w:hAnsiTheme="majorHAnsi" w:cstheme="majorBidi"/>
      <w:color w:val="auto"/>
      <w:spacing w:val="-10"/>
      <w:kern w:val="28"/>
      <w:sz w:val="56"/>
      <w:szCs w:val="56"/>
      <w:lang w:val="en-US" w:bidi="en-US"/>
    </w:rPr>
  </w:style>
  <w:style w:type="paragraph" w:styleId="Subttulo">
    <w:name w:val="Subtitle"/>
    <w:basedOn w:val="Normal"/>
    <w:next w:val="Normal"/>
    <w:link w:val="SubttuloCar"/>
    <w:uiPriority w:val="11"/>
    <w:qFormat/>
    <w:rsid w:val="00850BF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850BF7"/>
    <w:rPr>
      <w:rFonts w:asciiTheme="minorHAnsi" w:eastAsiaTheme="minorEastAsia" w:hAnsiTheme="minorHAnsi"/>
      <w:color w:val="5A5A5A" w:themeColor="text1" w:themeTint="A5"/>
      <w:spacing w:val="15"/>
      <w:sz w:val="22"/>
      <w:szCs w:val="22"/>
      <w:lang w:val="en-US" w:bidi="en-US"/>
    </w:rPr>
  </w:style>
  <w:style w:type="character" w:styleId="Hipervnculo">
    <w:name w:val="Hyperlink"/>
    <w:basedOn w:val="Fuentedeprrafopredeter"/>
    <w:uiPriority w:val="99"/>
    <w:semiHidden/>
    <w:unhideWhenUsed/>
    <w:rsid w:val="00850BF7"/>
    <w:rPr>
      <w:color w:val="0563C1" w:themeColor="hyperlink"/>
      <w:u w:val="single"/>
    </w:rPr>
  </w:style>
  <w:style w:type="paragraph" w:styleId="HTMLconformatoprevio">
    <w:name w:val="HTML Preformatted"/>
    <w:basedOn w:val="Normal"/>
    <w:link w:val="HTMLconformatoprevioCar"/>
    <w:uiPriority w:val="99"/>
    <w:semiHidden/>
    <w:unhideWhenUsed/>
    <w:rsid w:val="00850BF7"/>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850BF7"/>
    <w:rPr>
      <w:rFonts w:ascii="Consolas" w:eastAsia="Calibri" w:hAnsi="Consolas" w:cs="Calibri"/>
      <w:color w:val="auto"/>
      <w:sz w:val="20"/>
      <w:szCs w:val="20"/>
      <w:lang w:val="en-US" w:bidi="en-US"/>
    </w:rPr>
  </w:style>
  <w:style w:type="paragraph" w:styleId="Asuntodelcomentario">
    <w:name w:val="annotation subject"/>
    <w:basedOn w:val="Textocomentario"/>
    <w:next w:val="Textocomentario"/>
    <w:link w:val="AsuntodelcomentarioCar"/>
    <w:uiPriority w:val="99"/>
    <w:semiHidden/>
    <w:unhideWhenUsed/>
    <w:rsid w:val="00850BF7"/>
    <w:rPr>
      <w:b/>
      <w:bCs/>
    </w:rPr>
  </w:style>
  <w:style w:type="character" w:customStyle="1" w:styleId="AsuntodelcomentarioCar">
    <w:name w:val="Asunto del comentario Car"/>
    <w:basedOn w:val="TextocomentarioCar"/>
    <w:link w:val="Asuntodelcomentario"/>
    <w:uiPriority w:val="99"/>
    <w:semiHidden/>
    <w:rsid w:val="00850BF7"/>
    <w:rPr>
      <w:rFonts w:ascii="Calibri" w:eastAsia="Calibri" w:hAnsi="Calibri" w:cs="Calibri"/>
      <w:b/>
      <w:bCs/>
      <w:color w:val="auto"/>
      <w:sz w:val="20"/>
      <w:szCs w:val="20"/>
      <w:lang w:val="en-US" w:bidi="en-US"/>
    </w:rPr>
  </w:style>
  <w:style w:type="paragraph" w:styleId="Textodeglobo">
    <w:name w:val="Balloon Text"/>
    <w:basedOn w:val="Normal"/>
    <w:link w:val="TextodegloboCar"/>
    <w:uiPriority w:val="99"/>
    <w:semiHidden/>
    <w:unhideWhenUsed/>
    <w:rsid w:val="00850BF7"/>
    <w:rPr>
      <w:rFonts w:ascii="Tahoma" w:hAnsi="Tahoma" w:cs="Tahoma"/>
      <w:sz w:val="16"/>
      <w:szCs w:val="16"/>
    </w:rPr>
  </w:style>
  <w:style w:type="character" w:customStyle="1" w:styleId="TextodegloboCar">
    <w:name w:val="Texto de globo Car"/>
    <w:basedOn w:val="Fuentedeprrafopredeter"/>
    <w:link w:val="Textodeglobo"/>
    <w:uiPriority w:val="99"/>
    <w:semiHidden/>
    <w:rsid w:val="00850BF7"/>
    <w:rPr>
      <w:rFonts w:ascii="Tahoma" w:eastAsia="Calibri" w:hAnsi="Tahoma" w:cs="Tahoma"/>
      <w:color w:val="auto"/>
      <w:sz w:val="16"/>
      <w:szCs w:val="16"/>
      <w:lang w:val="en-US" w:bidi="en-US"/>
    </w:rPr>
  </w:style>
  <w:style w:type="table" w:styleId="Tablaconcuadrcula">
    <w:name w:val="Table Grid"/>
    <w:basedOn w:val="Tablanormal"/>
    <w:uiPriority w:val="59"/>
    <w:rsid w:val="0031780B"/>
    <w:pPr>
      <w:spacing w:after="200" w:line="276" w:lineRule="auto"/>
    </w:pPr>
    <w:rPr>
      <w:rFonts w:ascii="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50BF7"/>
    <w:pPr>
      <w:widowControl w:val="0"/>
      <w:autoSpaceDE w:val="0"/>
      <w:autoSpaceDN w:val="0"/>
    </w:pPr>
    <w:rPr>
      <w:rFonts w:ascii="Calibri" w:hAnsi="Calibri" w:cs="Calibri"/>
      <w:color w:val="auto"/>
      <w:sz w:val="22"/>
      <w:szCs w:val="22"/>
      <w:lang w:val="en-US" w:bidi="en-US"/>
    </w:rPr>
  </w:style>
  <w:style w:type="paragraph" w:styleId="Prrafodelista">
    <w:name w:val="List Paragraph"/>
    <w:basedOn w:val="Normal"/>
    <w:uiPriority w:val="1"/>
    <w:qFormat/>
    <w:rsid w:val="00850BF7"/>
  </w:style>
  <w:style w:type="table" w:customStyle="1" w:styleId="TableNormal1">
    <w:name w:val="Table Normal1"/>
    <w:uiPriority w:val="2"/>
    <w:semiHidden/>
    <w:unhideWhenUsed/>
    <w:qFormat/>
    <w:rsid w:val="00850BF7"/>
    <w:pPr>
      <w:widowControl w:val="0"/>
      <w:autoSpaceDE w:val="0"/>
      <w:autoSpaceDN w:val="0"/>
    </w:pPr>
    <w:rPr>
      <w:rFonts w:asciiTheme="minorHAnsi" w:hAnsiTheme="minorHAns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0BF7"/>
  </w:style>
  <w:style w:type="character" w:customStyle="1" w:styleId="Ttulo2Car">
    <w:name w:val="Título 2 Car"/>
    <w:basedOn w:val="Fuentedeprrafopredeter"/>
    <w:link w:val="Ttulo2"/>
    <w:uiPriority w:val="1"/>
    <w:rsid w:val="00850BF7"/>
    <w:rPr>
      <w:rFonts w:ascii="Calibri" w:eastAsia="Calibri" w:hAnsi="Calibri" w:cs="Calibri"/>
      <w:b/>
      <w:bCs/>
      <w:color w:val="auto"/>
      <w:lang w:val="en-US" w:bidi="en-US"/>
    </w:rPr>
  </w:style>
  <w:style w:type="paragraph" w:customStyle="1" w:styleId="EndNoteBibliographyTitle">
    <w:name w:val="EndNote Bibliography Title"/>
    <w:basedOn w:val="Normal"/>
    <w:link w:val="EndNoteBibliographyTitleCar"/>
    <w:rsid w:val="00007FA0"/>
    <w:pPr>
      <w:jc w:val="center"/>
    </w:pPr>
    <w:rPr>
      <w:noProof/>
      <w:lang w:val="en-US"/>
    </w:rPr>
  </w:style>
  <w:style w:type="character" w:customStyle="1" w:styleId="EndNoteBibliographyTitleCar">
    <w:name w:val="EndNote Bibliography Title Car"/>
    <w:basedOn w:val="Fuentedeprrafopredeter"/>
    <w:link w:val="EndNoteBibliographyTitle"/>
    <w:rsid w:val="00007FA0"/>
    <w:rPr>
      <w:rFonts w:ascii="Calibri" w:hAnsi="Calibri" w:cs="Calibri"/>
      <w:noProof/>
      <w:color w:val="auto"/>
      <w:sz w:val="22"/>
      <w:szCs w:val="22"/>
      <w:lang w:val="en-US" w:bidi="en-US"/>
    </w:rPr>
  </w:style>
  <w:style w:type="paragraph" w:customStyle="1" w:styleId="EndNoteBibliography">
    <w:name w:val="EndNote Bibliography"/>
    <w:basedOn w:val="Normal"/>
    <w:link w:val="EndNoteBibliographyCar"/>
    <w:rsid w:val="00007FA0"/>
    <w:rPr>
      <w:noProof/>
      <w:lang w:val="en-US"/>
    </w:rPr>
  </w:style>
  <w:style w:type="character" w:customStyle="1" w:styleId="EndNoteBibliographyCar">
    <w:name w:val="EndNote Bibliography Car"/>
    <w:basedOn w:val="Fuentedeprrafopredeter"/>
    <w:link w:val="EndNoteBibliography"/>
    <w:rsid w:val="00007FA0"/>
    <w:rPr>
      <w:rFonts w:ascii="Calibri" w:hAnsi="Calibri" w:cs="Calibri"/>
      <w:noProof/>
      <w:color w:val="auto"/>
      <w:sz w:val="22"/>
      <w:szCs w:val="22"/>
      <w:lang w:val="en-US" w:bidi="en-US"/>
    </w:rPr>
  </w:style>
  <w:style w:type="paragraph" w:styleId="Revisin">
    <w:name w:val="Revision"/>
    <w:hidden/>
    <w:uiPriority w:val="99"/>
    <w:semiHidden/>
    <w:rsid w:val="00474929"/>
    <w:pPr>
      <w:jc w:val="left"/>
    </w:pPr>
    <w:rPr>
      <w:rFonts w:ascii="Calibri" w:hAnsi="Calibri" w:cs="Calibri"/>
      <w:color w:val="auto"/>
      <w:sz w:val="22"/>
      <w:szCs w:val="22"/>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1331</Words>
  <Characters>7321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RRC</dc:creator>
  <cp:keywords/>
  <dc:description/>
  <cp:lastModifiedBy>RRC</cp:lastModifiedBy>
  <cp:revision>8</cp:revision>
  <dcterms:created xsi:type="dcterms:W3CDTF">2022-05-18T12:04:00Z</dcterms:created>
  <dcterms:modified xsi:type="dcterms:W3CDTF">2022-10-31T22:18:00Z</dcterms:modified>
</cp:coreProperties>
</file>