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A0E" w:rsidRPr="00226C3D" w:rsidRDefault="00226C3D">
      <w:pPr>
        <w:rPr>
          <w:rFonts w:ascii="Times New Roman" w:hAnsi="Times New Roman" w:cs="Times New Roman"/>
          <w:b/>
          <w:bCs/>
          <w:szCs w:val="21"/>
        </w:rPr>
      </w:pPr>
      <w:r w:rsidRPr="00226C3D">
        <w:rPr>
          <w:rFonts w:ascii="Times New Roman" w:hAnsi="Times New Roman" w:cs="Times New Roman"/>
          <w:b/>
          <w:bCs/>
          <w:szCs w:val="21"/>
        </w:rPr>
        <w:t>Supplementary 3. Risk of bias assessment of included studies in meta-analysis.</w:t>
      </w:r>
    </w:p>
    <w:tbl>
      <w:tblPr>
        <w:tblStyle w:val="a4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992"/>
        <w:gridCol w:w="850"/>
        <w:gridCol w:w="851"/>
        <w:gridCol w:w="709"/>
        <w:gridCol w:w="708"/>
        <w:gridCol w:w="709"/>
      </w:tblGrid>
      <w:tr w:rsidR="0087540B" w:rsidRPr="0087540B" w:rsidTr="00A4002E">
        <w:trPr>
          <w:jc w:val="center"/>
        </w:trPr>
        <w:tc>
          <w:tcPr>
            <w:tcW w:w="1980" w:type="dxa"/>
            <w:vMerge w:val="restart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Author, year</w:t>
            </w:r>
          </w:p>
        </w:tc>
        <w:tc>
          <w:tcPr>
            <w:tcW w:w="1276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External validity</w:t>
            </w:r>
          </w:p>
        </w:tc>
        <w:tc>
          <w:tcPr>
            <w:tcW w:w="4819" w:type="dxa"/>
            <w:gridSpan w:val="6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Internal validity</w:t>
            </w:r>
          </w:p>
        </w:tc>
      </w:tr>
      <w:tr w:rsidR="0087540B" w:rsidRPr="0087540B" w:rsidTr="00A4002E">
        <w:trPr>
          <w:jc w:val="center"/>
        </w:trPr>
        <w:tc>
          <w:tcPr>
            <w:tcW w:w="1980" w:type="dxa"/>
            <w:vMerge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Performance</w:t>
            </w:r>
          </w:p>
        </w:tc>
        <w:tc>
          <w:tcPr>
            <w:tcW w:w="992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Detection</w:t>
            </w:r>
          </w:p>
        </w:tc>
        <w:tc>
          <w:tcPr>
            <w:tcW w:w="850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Attrition</w:t>
            </w:r>
          </w:p>
        </w:tc>
        <w:tc>
          <w:tcPr>
            <w:tcW w:w="2977" w:type="dxa"/>
            <w:gridSpan w:val="4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Selection bias/control of confounding</w:t>
            </w:r>
          </w:p>
        </w:tc>
      </w:tr>
      <w:tr w:rsidR="0087540B" w:rsidRPr="0087540B" w:rsidTr="00A07B3D">
        <w:trPr>
          <w:trHeight w:val="131"/>
          <w:jc w:val="center"/>
        </w:trPr>
        <w:tc>
          <w:tcPr>
            <w:tcW w:w="1980" w:type="dxa"/>
            <w:vMerge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A4002E" w:rsidRPr="0087540B" w:rsidTr="00A4002E">
        <w:trPr>
          <w:jc w:val="center"/>
        </w:trPr>
        <w:tc>
          <w:tcPr>
            <w:tcW w:w="1980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Caffrey,2009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002E" w:rsidRPr="0087540B" w:rsidTr="00A4002E">
        <w:trPr>
          <w:trHeight w:val="357"/>
          <w:jc w:val="center"/>
        </w:trPr>
        <w:tc>
          <w:tcPr>
            <w:tcW w:w="1980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Doherty,2016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002E" w:rsidRPr="0087540B" w:rsidTr="00A4002E">
        <w:trPr>
          <w:trHeight w:val="263"/>
          <w:jc w:val="center"/>
        </w:trPr>
        <w:tc>
          <w:tcPr>
            <w:tcW w:w="1980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Fusco, 2019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002E" w:rsidRPr="0087540B" w:rsidTr="00A4002E">
        <w:trPr>
          <w:jc w:val="center"/>
        </w:trPr>
        <w:tc>
          <w:tcPr>
            <w:tcW w:w="1980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Gribble ,2009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002E" w:rsidRPr="0087540B" w:rsidTr="00A4002E">
        <w:trPr>
          <w:jc w:val="center"/>
        </w:trPr>
        <w:tc>
          <w:tcPr>
            <w:tcW w:w="1980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Hadadi,2011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540B" w:rsidRPr="0087540B" w:rsidTr="00A4002E">
        <w:trPr>
          <w:jc w:val="center"/>
        </w:trPr>
        <w:tc>
          <w:tcPr>
            <w:tcW w:w="1980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40B">
              <w:rPr>
                <w:rFonts w:ascii="Times New Roman" w:hAnsi="Times New Roman" w:cs="Times New Roman"/>
                <w:sz w:val="18"/>
                <w:szCs w:val="18"/>
              </w:rPr>
              <w:t>Hassanpour,2020</w:t>
            </w:r>
          </w:p>
        </w:tc>
        <w:tc>
          <w:tcPr>
            <w:tcW w:w="1276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540B" w:rsidRPr="0087540B" w:rsidTr="00A4002E">
        <w:trPr>
          <w:jc w:val="center"/>
        </w:trPr>
        <w:tc>
          <w:tcPr>
            <w:tcW w:w="1980" w:type="dxa"/>
          </w:tcPr>
          <w:p w:rsidR="0087540B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Hertel</w:t>
            </w: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540B" w:rsidRPr="0087540B" w:rsidTr="00A4002E">
        <w:trPr>
          <w:jc w:val="center"/>
        </w:trPr>
        <w:tc>
          <w:tcPr>
            <w:tcW w:w="1980" w:type="dxa"/>
          </w:tcPr>
          <w:p w:rsidR="0087540B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Hertel</w:t>
            </w: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540B" w:rsidRPr="0087540B" w:rsidTr="00A4002E">
        <w:trPr>
          <w:jc w:val="center"/>
        </w:trPr>
        <w:tc>
          <w:tcPr>
            <w:tcW w:w="1980" w:type="dxa"/>
          </w:tcPr>
          <w:p w:rsidR="0087540B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Hiller, 2007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002E" w:rsidRPr="0087540B" w:rsidTr="00A4002E">
        <w:trPr>
          <w:jc w:val="center"/>
        </w:trPr>
        <w:tc>
          <w:tcPr>
            <w:tcW w:w="1980" w:type="dxa"/>
          </w:tcPr>
          <w:p w:rsidR="0087540B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Hubbard, 2007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540B" w:rsidRPr="0087540B" w:rsidTr="00A4002E">
        <w:trPr>
          <w:jc w:val="center"/>
        </w:trPr>
        <w:tc>
          <w:tcPr>
            <w:tcW w:w="1980" w:type="dxa"/>
          </w:tcPr>
          <w:p w:rsidR="0087540B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Jaffri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87540B" w:rsidRPr="0087540B" w:rsidRDefault="0087540B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5E" w:rsidRPr="0087540B" w:rsidTr="00A4002E">
        <w:trPr>
          <w:jc w:val="center"/>
        </w:trPr>
        <w:tc>
          <w:tcPr>
            <w:tcW w:w="1980" w:type="dxa"/>
          </w:tcPr>
          <w:p w:rsidR="0022515E" w:rsidRPr="0022515E" w:rsidRDefault="0022515E" w:rsidP="00F406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Lee, 2018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5E" w:rsidRPr="0087540B" w:rsidTr="00A4002E">
        <w:trPr>
          <w:jc w:val="center"/>
        </w:trPr>
        <w:tc>
          <w:tcPr>
            <w:tcW w:w="1980" w:type="dxa"/>
          </w:tcPr>
          <w:p w:rsidR="0022515E" w:rsidRPr="0022515E" w:rsidRDefault="0022515E" w:rsidP="00A400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Martínez-Ramírez ,2010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5E" w:rsidRPr="0087540B" w:rsidTr="00A4002E">
        <w:trPr>
          <w:jc w:val="center"/>
        </w:trPr>
        <w:tc>
          <w:tcPr>
            <w:tcW w:w="1980" w:type="dxa"/>
          </w:tcPr>
          <w:p w:rsidR="0022515E" w:rsidRPr="0022515E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Mitchell, 2008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5E" w:rsidRPr="0087540B" w:rsidTr="00A4002E">
        <w:trPr>
          <w:jc w:val="center"/>
        </w:trPr>
        <w:tc>
          <w:tcPr>
            <w:tcW w:w="1980" w:type="dxa"/>
          </w:tcPr>
          <w:p w:rsidR="0022515E" w:rsidRPr="0022515E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Olmsted,2002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5E" w:rsidRPr="0087540B" w:rsidTr="00A4002E">
        <w:trPr>
          <w:jc w:val="center"/>
        </w:trPr>
        <w:tc>
          <w:tcPr>
            <w:tcW w:w="1980" w:type="dxa"/>
          </w:tcPr>
          <w:p w:rsidR="0022515E" w:rsidRPr="0022515E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Porter, 2002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404040" w:themeFill="text1" w:themeFillTint="BF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002E" w:rsidRPr="0087540B" w:rsidTr="00A4002E">
        <w:trPr>
          <w:jc w:val="center"/>
        </w:trPr>
        <w:tc>
          <w:tcPr>
            <w:tcW w:w="1980" w:type="dxa"/>
          </w:tcPr>
          <w:p w:rsidR="0022515E" w:rsidRPr="0022515E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Santos, 2008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404040" w:themeFill="text1" w:themeFillTint="BF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5E" w:rsidRPr="0087540B" w:rsidTr="00A4002E">
        <w:trPr>
          <w:jc w:val="center"/>
        </w:trPr>
        <w:tc>
          <w:tcPr>
            <w:tcW w:w="1980" w:type="dxa"/>
          </w:tcPr>
          <w:p w:rsidR="0022515E" w:rsidRPr="0022515E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Sharma, 2011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002E" w:rsidRPr="0087540B" w:rsidTr="00A4002E">
        <w:trPr>
          <w:jc w:val="center"/>
        </w:trPr>
        <w:tc>
          <w:tcPr>
            <w:tcW w:w="1980" w:type="dxa"/>
          </w:tcPr>
          <w:p w:rsidR="0022515E" w:rsidRPr="0022515E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Sousa, 2017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404040" w:themeFill="text1" w:themeFillTint="BF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5E" w:rsidRPr="0087540B" w:rsidTr="00A4002E">
        <w:trPr>
          <w:jc w:val="center"/>
        </w:trPr>
        <w:tc>
          <w:tcPr>
            <w:tcW w:w="1980" w:type="dxa"/>
          </w:tcPr>
          <w:p w:rsidR="0022515E" w:rsidRPr="0022515E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Tashri</w:t>
            </w:r>
            <w:proofErr w:type="spellEnd"/>
            <w:r w:rsidRPr="0022515E">
              <w:rPr>
                <w:rFonts w:ascii="Times New Roman" w:hAnsi="Times New Roman" w:cs="Times New Roman"/>
                <w:sz w:val="18"/>
                <w:szCs w:val="18"/>
              </w:rPr>
              <w:t>, 2021</w:t>
            </w:r>
          </w:p>
        </w:tc>
        <w:tc>
          <w:tcPr>
            <w:tcW w:w="1276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2515E" w:rsidRDefault="0022515E" w:rsidP="00A4002E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22515E" w:rsidRPr="0087540B" w:rsidRDefault="0022515E" w:rsidP="00A40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7540B" w:rsidRPr="00EB6D2C" w:rsidRDefault="00EB6D2C">
      <w:pPr>
        <w:rPr>
          <w:rFonts w:ascii="Times New Roman" w:hAnsi="Times New Roman" w:cs="Times New Roman"/>
        </w:rPr>
      </w:pPr>
      <w:r w:rsidRPr="00EB6D2C">
        <w:rPr>
          <w:rFonts w:ascii="Times New Roman" w:hAnsi="Times New Roman" w:cs="Times New Roman"/>
        </w:rPr>
        <w:t>Black: the measure was addressed adequately</w:t>
      </w:r>
    </w:p>
    <w:p w:rsidR="00EB6D2C" w:rsidRDefault="00EB6D2C">
      <w:pPr>
        <w:rPr>
          <w:rFonts w:ascii="Times New Roman" w:hAnsi="Times New Roman" w:cs="Times New Roman"/>
        </w:rPr>
      </w:pPr>
      <w:r w:rsidRPr="00EB6D2C">
        <w:rPr>
          <w:rFonts w:ascii="Times New Roman" w:hAnsi="Times New Roman" w:cs="Times New Roman"/>
        </w:rPr>
        <w:t>White: the measure was not address adequately or clearly</w:t>
      </w:r>
    </w:p>
    <w:p w:rsidR="00EB6D2C" w:rsidRPr="00EB6D2C" w:rsidRDefault="00EB6D2C" w:rsidP="00EB6D2C">
      <w:pPr>
        <w:rPr>
          <w:rFonts w:ascii="Times New Roman" w:hAnsi="Times New Roman" w:cs="Times New Roman"/>
        </w:rPr>
      </w:pPr>
      <w:r w:rsidRPr="00EB6D2C">
        <w:rPr>
          <w:rFonts w:ascii="Times New Roman" w:hAnsi="Times New Roman" w:cs="Times New Roman"/>
        </w:rPr>
        <w:t>1. Performance (Representativeness): if the study described demographic details, and were representative of “chronic ankle instability” population.</w:t>
      </w:r>
    </w:p>
    <w:p w:rsidR="00EB6D2C" w:rsidRPr="00EB6D2C" w:rsidRDefault="00EB6D2C" w:rsidP="00EB6D2C">
      <w:pPr>
        <w:rPr>
          <w:rFonts w:ascii="Times New Roman" w:hAnsi="Times New Roman" w:cs="Times New Roman"/>
        </w:rPr>
      </w:pPr>
      <w:r w:rsidRPr="00EB6D2C">
        <w:rPr>
          <w:rFonts w:ascii="Times New Roman" w:hAnsi="Times New Roman" w:cs="Times New Roman"/>
        </w:rPr>
        <w:t>2. Detection (Blinded assessor): if data assessed or processed by a blinded assessor.</w:t>
      </w:r>
    </w:p>
    <w:p w:rsidR="00EB6D2C" w:rsidRPr="00EB6D2C" w:rsidRDefault="00EB6D2C" w:rsidP="00EB6D2C">
      <w:pPr>
        <w:rPr>
          <w:rFonts w:ascii="Times New Roman" w:hAnsi="Times New Roman" w:cs="Times New Roman"/>
        </w:rPr>
      </w:pPr>
      <w:r w:rsidRPr="00EB6D2C">
        <w:rPr>
          <w:rFonts w:ascii="Times New Roman" w:hAnsi="Times New Roman" w:cs="Times New Roman"/>
        </w:rPr>
        <w:t>3. Attrition (Participation rate): if more than 80% of those who volunteered for the study were used eventually.</w:t>
      </w:r>
    </w:p>
    <w:p w:rsidR="00EB6D2C" w:rsidRPr="00EB6D2C" w:rsidRDefault="00EB6D2C" w:rsidP="00EB6D2C">
      <w:pPr>
        <w:rPr>
          <w:rFonts w:ascii="Times New Roman" w:hAnsi="Times New Roman" w:cs="Times New Roman"/>
        </w:rPr>
      </w:pPr>
      <w:r w:rsidRPr="00EB6D2C">
        <w:rPr>
          <w:rFonts w:ascii="Times New Roman" w:hAnsi="Times New Roman" w:cs="Times New Roman"/>
        </w:rPr>
        <w:t>4. Appropriate description of characteristics of study participants: if they reported the character of chronic ankle instability (i.e. unilateral/bilateral or both, times of ankle sprain, or duration of symptoms) and control (i.e. no history of ankle sprain).</w:t>
      </w:r>
    </w:p>
    <w:p w:rsidR="00EB6D2C" w:rsidRPr="00EB6D2C" w:rsidRDefault="00EB6D2C" w:rsidP="00EB6D2C">
      <w:pPr>
        <w:rPr>
          <w:rFonts w:ascii="Times New Roman" w:hAnsi="Times New Roman" w:cs="Times New Roman"/>
        </w:rPr>
      </w:pPr>
      <w:r w:rsidRPr="00EB6D2C">
        <w:rPr>
          <w:rFonts w:ascii="Times New Roman" w:hAnsi="Times New Roman" w:cs="Times New Roman"/>
        </w:rPr>
        <w:t>5. Appropriate testing protocol: if they used valid and reliable</w:t>
      </w:r>
      <w:r w:rsidR="009E4480">
        <w:rPr>
          <w:rFonts w:ascii="Times New Roman" w:hAnsi="Times New Roman" w:cs="Times New Roman"/>
        </w:rPr>
        <w:t xml:space="preserve"> </w:t>
      </w:r>
      <w:r w:rsidRPr="00EB6D2C">
        <w:rPr>
          <w:rFonts w:ascii="Times New Roman" w:hAnsi="Times New Roman" w:cs="Times New Roman"/>
        </w:rPr>
        <w:t>testing device</w:t>
      </w:r>
      <w:r w:rsidR="00D91A92">
        <w:rPr>
          <w:rFonts w:ascii="Times New Roman" w:hAnsi="Times New Roman" w:cs="Times New Roman"/>
        </w:rPr>
        <w:t>.</w:t>
      </w:r>
    </w:p>
    <w:p w:rsidR="00EB6D2C" w:rsidRPr="00EB6D2C" w:rsidRDefault="00EB6D2C" w:rsidP="00EB6D2C">
      <w:pPr>
        <w:rPr>
          <w:rFonts w:ascii="Times New Roman" w:hAnsi="Times New Roman" w:cs="Times New Roman"/>
        </w:rPr>
      </w:pPr>
      <w:r w:rsidRPr="00EB6D2C">
        <w:rPr>
          <w:rFonts w:ascii="Times New Roman" w:hAnsi="Times New Roman" w:cs="Times New Roman"/>
        </w:rPr>
        <w:t>6. Appropriate normalization: if between group comparisons normalized to a standard reference is described</w:t>
      </w:r>
      <w:r w:rsidR="00D91A92">
        <w:rPr>
          <w:rFonts w:ascii="Times New Roman" w:hAnsi="Times New Roman" w:cs="Times New Roman"/>
        </w:rPr>
        <w:t>.</w:t>
      </w:r>
    </w:p>
    <w:p w:rsidR="00EB6D2C" w:rsidRPr="00EB6D2C" w:rsidRDefault="00EB6D2C" w:rsidP="00EB6D2C">
      <w:pPr>
        <w:rPr>
          <w:rFonts w:ascii="Times New Roman" w:hAnsi="Times New Roman" w:cs="Times New Roman"/>
        </w:rPr>
      </w:pPr>
      <w:r w:rsidRPr="00EB6D2C">
        <w:rPr>
          <w:rFonts w:ascii="Times New Roman" w:hAnsi="Times New Roman" w:cs="Times New Roman"/>
        </w:rPr>
        <w:t>7. Appropriate statistical tests used: if describes type of tests</w:t>
      </w:r>
      <w:r w:rsidR="00D91A92">
        <w:rPr>
          <w:rFonts w:ascii="Times New Roman" w:hAnsi="Times New Roman" w:cs="Times New Roman"/>
        </w:rPr>
        <w:t>.</w:t>
      </w:r>
    </w:p>
    <w:sectPr w:rsidR="00EB6D2C" w:rsidRPr="00EB6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1337" w:rsidRDefault="00301337" w:rsidP="00C816F5">
      <w:r>
        <w:separator/>
      </w:r>
    </w:p>
  </w:endnote>
  <w:endnote w:type="continuationSeparator" w:id="0">
    <w:p w:rsidR="00301337" w:rsidRDefault="00301337" w:rsidP="00C8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1337" w:rsidRDefault="00301337" w:rsidP="00C816F5">
      <w:r>
        <w:separator/>
      </w:r>
    </w:p>
  </w:footnote>
  <w:footnote w:type="continuationSeparator" w:id="0">
    <w:p w:rsidR="00301337" w:rsidRDefault="00301337" w:rsidP="00C81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0B"/>
    <w:rsid w:val="00155EBA"/>
    <w:rsid w:val="0022515E"/>
    <w:rsid w:val="00226C3D"/>
    <w:rsid w:val="00301337"/>
    <w:rsid w:val="005153CC"/>
    <w:rsid w:val="0067208C"/>
    <w:rsid w:val="0087540B"/>
    <w:rsid w:val="009E4480"/>
    <w:rsid w:val="00A07B3D"/>
    <w:rsid w:val="00A31A0E"/>
    <w:rsid w:val="00A4002E"/>
    <w:rsid w:val="00B810DA"/>
    <w:rsid w:val="00C816F5"/>
    <w:rsid w:val="00D91A92"/>
    <w:rsid w:val="00EB6D2C"/>
    <w:rsid w:val="00F4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3D9A2"/>
  <w15:chartTrackingRefBased/>
  <w15:docId w15:val="{B9DFFEAA-A7A5-453F-A2A5-86C41702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5153C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4">
    <w:name w:val="Table Grid"/>
    <w:basedOn w:val="a1"/>
    <w:uiPriority w:val="39"/>
    <w:rsid w:val="00875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22515E"/>
    <w:rPr>
      <w:color w:val="808080"/>
    </w:rPr>
  </w:style>
  <w:style w:type="paragraph" w:styleId="a6">
    <w:name w:val="header"/>
    <w:basedOn w:val="a"/>
    <w:link w:val="a7"/>
    <w:uiPriority w:val="99"/>
    <w:unhideWhenUsed/>
    <w:rsid w:val="00C81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816F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81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816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1369</Characters>
  <Application>Microsoft Office Word</Application>
  <DocSecurity>0</DocSecurity>
  <Lines>152</Lines>
  <Paragraphs>107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xiaomei</dc:creator>
  <cp:keywords/>
  <dc:description/>
  <cp:lastModifiedBy>xiaomei</cp:lastModifiedBy>
  <cp:revision>4</cp:revision>
  <dcterms:created xsi:type="dcterms:W3CDTF">2023-01-09T14:33:00Z</dcterms:created>
  <dcterms:modified xsi:type="dcterms:W3CDTF">2023-01-29T14:25:00Z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2d0538b23f5d6d7671dbee4a854eebcfb9b06ca1d67ded54cdebdb04bc2c4c1f</vt:lpwstr>
  </property>
</Properties>
</file>