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11E" w:rsidRPr="00B87420" w:rsidRDefault="00B87420">
      <w:pPr>
        <w:rPr>
          <w:rFonts w:ascii="Times New Roman" w:hAnsi="Times New Roman" w:cs="Times New Roman"/>
          <w:b/>
          <w:bCs/>
          <w:szCs w:val="21"/>
        </w:rPr>
      </w:pPr>
      <w:r w:rsidRPr="00B87420">
        <w:rPr>
          <w:rFonts w:ascii="Times New Roman" w:hAnsi="Times New Roman" w:cs="Times New Roman"/>
          <w:b/>
          <w:bCs/>
          <w:szCs w:val="21"/>
        </w:rPr>
        <w:t xml:space="preserve">Supplementary 4. </w:t>
      </w:r>
      <w:r w:rsidR="0033711E" w:rsidRPr="00B87420">
        <w:rPr>
          <w:rFonts w:ascii="Times New Roman" w:hAnsi="Times New Roman" w:cs="Times New Roman"/>
          <w:b/>
          <w:bCs/>
          <w:szCs w:val="21"/>
        </w:rPr>
        <w:t xml:space="preserve">CAI Inclusion criteria of studies included in the systematic review based on the recommendation of </w:t>
      </w:r>
      <w:r>
        <w:rPr>
          <w:rFonts w:ascii="Times New Roman" w:hAnsi="Times New Roman" w:cs="Times New Roman"/>
          <w:b/>
          <w:bCs/>
          <w:szCs w:val="21"/>
        </w:rPr>
        <w:t xml:space="preserve">the </w:t>
      </w:r>
      <w:r w:rsidR="0033711E" w:rsidRPr="00B87420">
        <w:rPr>
          <w:rFonts w:ascii="Times New Roman" w:hAnsi="Times New Roman" w:cs="Times New Roman"/>
          <w:b/>
          <w:bCs/>
          <w:szCs w:val="21"/>
        </w:rPr>
        <w:t>International Ankle Consortium.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116"/>
        <w:gridCol w:w="1003"/>
        <w:gridCol w:w="1134"/>
        <w:gridCol w:w="1134"/>
        <w:gridCol w:w="1134"/>
        <w:gridCol w:w="1134"/>
        <w:gridCol w:w="1134"/>
        <w:gridCol w:w="1134"/>
        <w:gridCol w:w="1256"/>
        <w:gridCol w:w="1154"/>
      </w:tblGrid>
      <w:tr w:rsidR="00851EB0" w:rsidRPr="00A06DDF" w:rsidTr="009E7A97">
        <w:trPr>
          <w:trHeight w:val="381"/>
        </w:trPr>
        <w:tc>
          <w:tcPr>
            <w:tcW w:w="2116" w:type="dxa"/>
            <w:vMerge w:val="restart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1003" w:type="dxa"/>
            <w:vMerge w:val="restart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Population defined by authors</w:t>
            </w:r>
          </w:p>
        </w:tc>
        <w:tc>
          <w:tcPr>
            <w:tcW w:w="4536" w:type="dxa"/>
            <w:gridSpan w:val="4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All criteria required</w:t>
            </w:r>
          </w:p>
        </w:tc>
        <w:tc>
          <w:tcPr>
            <w:tcW w:w="3524" w:type="dxa"/>
            <w:gridSpan w:val="3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At least 1 of 3 criteria required</w:t>
            </w:r>
          </w:p>
        </w:tc>
        <w:tc>
          <w:tcPr>
            <w:tcW w:w="1154" w:type="dxa"/>
            <w:vMerge w:val="restart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Percentage of required criteria met</w:t>
            </w:r>
          </w:p>
        </w:tc>
      </w:tr>
      <w:tr w:rsidR="00851EB0" w:rsidRPr="00A06DDF" w:rsidTr="009E7A97">
        <w:tc>
          <w:tcPr>
            <w:tcW w:w="2116" w:type="dxa"/>
            <w:vMerge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vMerge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A history of at least 1 significant ankle sprain</w:t>
            </w:r>
          </w:p>
        </w:tc>
        <w:tc>
          <w:tcPr>
            <w:tcW w:w="1134" w:type="dxa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Injury resulting in pain, swelling, interruption of physical activity for at least 1 day</w:t>
            </w:r>
          </w:p>
        </w:tc>
        <w:tc>
          <w:tcPr>
            <w:tcW w:w="1134" w:type="dxa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The initial ankle sprain occurred at least 12 months prior to the study</w:t>
            </w:r>
          </w:p>
        </w:tc>
        <w:tc>
          <w:tcPr>
            <w:tcW w:w="1134" w:type="dxa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No history of ankle sprain in last 3 months</w:t>
            </w:r>
          </w:p>
        </w:tc>
        <w:tc>
          <w:tcPr>
            <w:tcW w:w="1134" w:type="dxa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At least 2 episodes of “giving way” in the last 6 months</w:t>
            </w:r>
          </w:p>
        </w:tc>
        <w:tc>
          <w:tcPr>
            <w:tcW w:w="1134" w:type="dxa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Ankle sprain recurrence (at least 2 sprains on same ankle)</w:t>
            </w:r>
          </w:p>
        </w:tc>
        <w:tc>
          <w:tcPr>
            <w:tcW w:w="1256" w:type="dxa"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DDF">
              <w:rPr>
                <w:rFonts w:ascii="Times New Roman" w:hAnsi="Times New Roman" w:cs="Times New Roman"/>
                <w:sz w:val="18"/>
                <w:szCs w:val="18"/>
              </w:rPr>
              <w:t xml:space="preserve">Self-reported ankle instability confirmed by questionnaires (AII, CAIT, </w:t>
            </w:r>
            <w:proofErr w:type="spellStart"/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IdFAI</w:t>
            </w:r>
            <w:proofErr w:type="spellEnd"/>
            <w:r w:rsidRPr="00A06D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vMerge/>
          </w:tcPr>
          <w:p w:rsidR="00A06DDF" w:rsidRPr="00A06DDF" w:rsidRDefault="00A06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DDF" w:rsidRPr="00A06DDF" w:rsidTr="009E7A97">
        <w:tc>
          <w:tcPr>
            <w:tcW w:w="2116" w:type="dxa"/>
          </w:tcPr>
          <w:p w:rsidR="00C93BA2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Caffrey,2009</w:t>
            </w:r>
          </w:p>
        </w:tc>
        <w:tc>
          <w:tcPr>
            <w:tcW w:w="1003" w:type="dxa"/>
          </w:tcPr>
          <w:p w:rsidR="006815CB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C93BA2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</w:tr>
      <w:tr w:rsidR="00A06DDF" w:rsidRPr="00A06DDF" w:rsidTr="009E7A97">
        <w:tc>
          <w:tcPr>
            <w:tcW w:w="2116" w:type="dxa"/>
          </w:tcPr>
          <w:p w:rsidR="00C93BA2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Doherty,2016</w:t>
            </w:r>
          </w:p>
        </w:tc>
        <w:tc>
          <w:tcPr>
            <w:tcW w:w="1003" w:type="dxa"/>
          </w:tcPr>
          <w:p w:rsidR="00C93BA2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C93BA2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A06DDF" w:rsidRPr="00A06DDF" w:rsidTr="009E7A97">
        <w:tc>
          <w:tcPr>
            <w:tcW w:w="2116" w:type="dxa"/>
          </w:tcPr>
          <w:p w:rsidR="00C93BA2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Fusco, 2019</w:t>
            </w:r>
          </w:p>
        </w:tc>
        <w:tc>
          <w:tcPr>
            <w:tcW w:w="1003" w:type="dxa"/>
          </w:tcPr>
          <w:p w:rsidR="00C93BA2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7F7F7F" w:themeFill="text1" w:themeFillTint="80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C93BA2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.64</w:t>
            </w:r>
          </w:p>
        </w:tc>
      </w:tr>
      <w:tr w:rsidR="00A06DDF" w:rsidRPr="00A06DDF" w:rsidTr="009E7A97">
        <w:tc>
          <w:tcPr>
            <w:tcW w:w="2116" w:type="dxa"/>
          </w:tcPr>
          <w:p w:rsidR="00C93BA2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Gribble ,2009</w:t>
            </w:r>
          </w:p>
        </w:tc>
        <w:tc>
          <w:tcPr>
            <w:tcW w:w="1003" w:type="dxa"/>
          </w:tcPr>
          <w:p w:rsidR="00C93BA2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C93BA2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  <w:tr w:rsidR="00A06DDF" w:rsidRPr="00A06DDF" w:rsidTr="009E7A97">
        <w:tc>
          <w:tcPr>
            <w:tcW w:w="2116" w:type="dxa"/>
          </w:tcPr>
          <w:p w:rsidR="00C93BA2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Hadadi,2011</w:t>
            </w:r>
          </w:p>
        </w:tc>
        <w:tc>
          <w:tcPr>
            <w:tcW w:w="1003" w:type="dxa"/>
          </w:tcPr>
          <w:p w:rsidR="00C93BA2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C93BA2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</w:t>
            </w:r>
          </w:p>
        </w:tc>
      </w:tr>
      <w:tr w:rsidR="00A06DDF" w:rsidRPr="00A06DDF" w:rsidTr="009E7A97">
        <w:tc>
          <w:tcPr>
            <w:tcW w:w="2116" w:type="dxa"/>
          </w:tcPr>
          <w:p w:rsidR="00C93BA2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Hassanpour,2020</w:t>
            </w:r>
          </w:p>
        </w:tc>
        <w:tc>
          <w:tcPr>
            <w:tcW w:w="1003" w:type="dxa"/>
          </w:tcPr>
          <w:p w:rsidR="00C93BA2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C93BA2" w:rsidRPr="00A06DDF" w:rsidRDefault="00C93B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C93BA2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Hertel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6732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Hertel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Hiller, 2007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F60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Hubbard, 2007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Jaffri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Lee, 2018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Martínez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Ramírez ,2010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Mitchell, 2008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.64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Olmsted,2002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Porter, 2002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Santos, 2008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Sharma, 2011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D0D0D" w:themeFill="text1" w:themeFillTint="F2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.64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Sousa, 2017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AI, MAI</w:t>
            </w:r>
          </w:p>
        </w:tc>
        <w:tc>
          <w:tcPr>
            <w:tcW w:w="1134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</w:t>
            </w:r>
          </w:p>
        </w:tc>
      </w:tr>
      <w:tr w:rsidR="00851EB0" w:rsidRPr="00A06DDF" w:rsidTr="009E7A97">
        <w:tc>
          <w:tcPr>
            <w:tcW w:w="2116" w:type="dxa"/>
          </w:tcPr>
          <w:p w:rsidR="00851EB0" w:rsidRPr="00851EB0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Tashri</w:t>
            </w:r>
            <w:proofErr w:type="spellEnd"/>
            <w:r w:rsidRPr="00851EB0">
              <w:rPr>
                <w:rFonts w:ascii="Times New Roman" w:hAnsi="Times New Roman" w:cs="Times New Roman"/>
                <w:sz w:val="18"/>
                <w:szCs w:val="18"/>
              </w:rPr>
              <w:t>, 2021</w:t>
            </w:r>
          </w:p>
        </w:tc>
        <w:tc>
          <w:tcPr>
            <w:tcW w:w="1003" w:type="dxa"/>
          </w:tcPr>
          <w:p w:rsidR="00851EB0" w:rsidRPr="00A06DDF" w:rsidRDefault="00681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134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000000" w:themeFill="text1"/>
          </w:tcPr>
          <w:p w:rsidR="00851EB0" w:rsidRPr="00A06DDF" w:rsidRDefault="00851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851EB0" w:rsidRPr="00A06DDF" w:rsidRDefault="00E155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</w:tbl>
    <w:p w:rsidR="0033711E" w:rsidRPr="006815CB" w:rsidRDefault="00DD0AC7">
      <w:pPr>
        <w:rPr>
          <w:rFonts w:ascii="Times New Roman" w:hAnsi="Times New Roman" w:cs="Times New Roman"/>
          <w:sz w:val="18"/>
          <w:szCs w:val="18"/>
        </w:rPr>
      </w:pPr>
      <w:r w:rsidRPr="006815CB">
        <w:rPr>
          <w:rFonts w:ascii="Times New Roman" w:hAnsi="Times New Roman" w:cs="Times New Roman"/>
          <w:sz w:val="18"/>
          <w:szCs w:val="18"/>
        </w:rPr>
        <w:t>Black = Reported, White = Not Reported, Grey = number or time frame not stated or not achieved the standard recommended.</w:t>
      </w:r>
    </w:p>
    <w:p w:rsidR="00DD0AC7" w:rsidRPr="006815CB" w:rsidRDefault="00DD0AC7">
      <w:pPr>
        <w:rPr>
          <w:rFonts w:ascii="Times New Roman" w:hAnsi="Times New Roman" w:cs="Times New Roman"/>
          <w:sz w:val="18"/>
          <w:szCs w:val="18"/>
        </w:rPr>
      </w:pPr>
      <w:r w:rsidRPr="006815CB">
        <w:rPr>
          <w:rFonts w:ascii="Times New Roman" w:hAnsi="Times New Roman" w:cs="Times New Roman"/>
          <w:sz w:val="18"/>
          <w:szCs w:val="18"/>
        </w:rPr>
        <w:t>CAI: chronic ankle instability; FAI: functional ankle instability; MAI: mechanical ankle instability.</w:t>
      </w:r>
    </w:p>
    <w:sectPr w:rsidR="00DD0AC7" w:rsidRPr="006815CB" w:rsidSect="003371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2167" w:rsidRDefault="004C2167" w:rsidP="00E67325">
      <w:r>
        <w:separator/>
      </w:r>
    </w:p>
  </w:endnote>
  <w:endnote w:type="continuationSeparator" w:id="0">
    <w:p w:rsidR="004C2167" w:rsidRDefault="004C2167" w:rsidP="00E6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2167" w:rsidRDefault="004C2167" w:rsidP="00E67325">
      <w:r>
        <w:separator/>
      </w:r>
    </w:p>
  </w:footnote>
  <w:footnote w:type="continuationSeparator" w:id="0">
    <w:p w:rsidR="004C2167" w:rsidRDefault="004C2167" w:rsidP="00E67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1E"/>
    <w:rsid w:val="00123E40"/>
    <w:rsid w:val="00316964"/>
    <w:rsid w:val="0033711E"/>
    <w:rsid w:val="004172AC"/>
    <w:rsid w:val="004C2167"/>
    <w:rsid w:val="005153CC"/>
    <w:rsid w:val="00621F9A"/>
    <w:rsid w:val="0067208C"/>
    <w:rsid w:val="006753C9"/>
    <w:rsid w:val="006815CB"/>
    <w:rsid w:val="006E7BEB"/>
    <w:rsid w:val="00851EB0"/>
    <w:rsid w:val="00984D69"/>
    <w:rsid w:val="009E7A97"/>
    <w:rsid w:val="00A06DDF"/>
    <w:rsid w:val="00A31A0E"/>
    <w:rsid w:val="00B87420"/>
    <w:rsid w:val="00C93BA2"/>
    <w:rsid w:val="00CB7360"/>
    <w:rsid w:val="00DD0AC7"/>
    <w:rsid w:val="00E15543"/>
    <w:rsid w:val="00E67325"/>
    <w:rsid w:val="00F60C06"/>
    <w:rsid w:val="00FA06EE"/>
    <w:rsid w:val="00FB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8277E"/>
  <w15:chartTrackingRefBased/>
  <w15:docId w15:val="{AD27C6A0-72F9-4DA1-AF61-79A3820F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153C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C93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7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732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67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73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1325</Characters>
  <Application>Microsoft Office Word</Application>
  <DocSecurity>0</DocSecurity>
  <Lines>220</Lines>
  <Paragraphs>78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xiaomei</dc:creator>
  <cp:keywords/>
  <dc:description/>
  <cp:lastModifiedBy>xiaomei</cp:lastModifiedBy>
  <cp:revision>4</cp:revision>
  <dcterms:created xsi:type="dcterms:W3CDTF">2023-01-09T14:31:00Z</dcterms:created>
  <dcterms:modified xsi:type="dcterms:W3CDTF">2023-01-29T14:27:00Z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ddbd638b-7f83-41dc-aa04-658bf8419cce</vt:lpwstr>
  </property>
</Properties>
</file>