
<file path=[Content_Types].xml><?xml version="1.0" encoding="utf-8"?>
<Types xmlns="http://schemas.openxmlformats.org/package/2006/content-types">
  <Default Extension="wmf" ContentType="image/x-wm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14BA2">
      <w:pPr>
        <w:pStyle w:val="6"/>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80" w:lineRule="auto"/>
        <w:ind w:left="0" w:right="0"/>
        <w:jc w:val="center"/>
        <w:textAlignment w:val="auto"/>
        <w:rPr>
          <w:sz w:val="32"/>
          <w:szCs w:val="28"/>
        </w:rPr>
      </w:pPr>
      <w:r>
        <w:rPr>
          <w:sz w:val="32"/>
          <w:szCs w:val="28"/>
        </w:rPr>
        <w:t>Comparative Effectiveness of Exercise Interventions for Hamstring Injury Prevention in Football Players: A Systematic Review and Network Meta-analysis</w:t>
      </w:r>
    </w:p>
    <w:p w14:paraId="50D66DD1">
      <w:pPr>
        <w:pStyle w:val="6"/>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480" w:lineRule="auto"/>
        <w:jc w:val="center"/>
        <w:textAlignment w:val="auto"/>
        <w:rPr>
          <w:sz w:val="28"/>
          <w:szCs w:val="24"/>
        </w:rPr>
      </w:pPr>
      <w:r>
        <w:rPr>
          <w:sz w:val="28"/>
          <w:szCs w:val="24"/>
        </w:rPr>
        <w:t>Sports Medicine - Open</w:t>
      </w:r>
    </w:p>
    <w:p w14:paraId="70276274">
      <w:pPr>
        <w:pStyle w:val="6"/>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480" w:lineRule="auto"/>
        <w:jc w:val="center"/>
        <w:textAlignment w:val="auto"/>
      </w:pPr>
      <w:r>
        <w:t>BinJie Hong¹, Xin Hong², Hao Lin³, ZiYi Yang⁴, Jun Feng¹*</w:t>
      </w:r>
    </w:p>
    <w:p w14:paraId="4C1D2BC3">
      <w:pPr>
        <w:pStyle w:val="6"/>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480" w:lineRule="auto"/>
        <w:jc w:val="center"/>
        <w:textAlignment w:val="auto"/>
      </w:pPr>
    </w:p>
    <w:p w14:paraId="092C8927">
      <w:pPr>
        <w:pStyle w:val="6"/>
        <w:keepNext w:val="0"/>
        <w:keepLines w:val="0"/>
        <w:pageBreakBefore w:val="0"/>
        <w:widowControl/>
        <w:suppressLineNumbers w:val="0"/>
        <w:kinsoku/>
        <w:wordWrap/>
        <w:overflowPunct/>
        <w:topLinePunct w:val="0"/>
        <w:autoSpaceDE w:val="0"/>
        <w:autoSpaceDN w:val="0"/>
        <w:bidi w:val="0"/>
        <w:adjustRightInd/>
        <w:snapToGrid/>
        <w:spacing w:beforeAutospacing="0" w:after="0" w:afterAutospacing="0" w:line="480" w:lineRule="auto"/>
        <w:textAlignment w:val="auto"/>
        <w:rPr>
          <w:rStyle w:val="10"/>
        </w:rPr>
      </w:pPr>
      <w:r>
        <w:rPr>
          <w:rStyle w:val="10"/>
        </w:rPr>
        <w:t>Affiliations:</w:t>
      </w:r>
    </w:p>
    <w:p w14:paraId="771A1063">
      <w:pPr>
        <w:pStyle w:val="6"/>
        <w:keepNext w:val="0"/>
        <w:keepLines w:val="0"/>
        <w:pageBreakBefore w:val="0"/>
        <w:widowControl/>
        <w:suppressLineNumbers w:val="0"/>
        <w:kinsoku/>
        <w:wordWrap/>
        <w:overflowPunct/>
        <w:topLinePunct w:val="0"/>
        <w:autoSpaceDE w:val="0"/>
        <w:autoSpaceDN w:val="0"/>
        <w:bidi w:val="0"/>
        <w:adjustRightInd/>
        <w:snapToGrid/>
        <w:spacing w:before="0" w:beforeAutospacing="0" w:afterAutospacing="0" w:line="480" w:lineRule="auto"/>
        <w:textAlignment w:val="auto"/>
      </w:pPr>
      <w:r>
        <w:t>¹ China Football College, Beijing Sport University, Beijing 100084, China</w:t>
      </w:r>
      <w:r>
        <w:br w:type="textWrapping"/>
      </w:r>
      <w:r>
        <w:t>² School of Strength and Conditioning, Beijing Sport University, Beijing 100084, China</w:t>
      </w:r>
      <w:r>
        <w:br w:type="textWrapping"/>
      </w:r>
      <w:r>
        <w:t>³ Physical Education Institute, Inner Mongolia University for Nationalities, Tongliao, Inner Mongolia 028000, China</w:t>
      </w:r>
      <w:r>
        <w:br w:type="textWrapping"/>
      </w:r>
      <w:r>
        <w:t>⁴ College of Education, Beijing Sport University, Beijing 100084, China</w:t>
      </w:r>
    </w:p>
    <w:p w14:paraId="526867CC">
      <w:pPr>
        <w:pStyle w:val="6"/>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480" w:lineRule="auto"/>
        <w:textAlignment w:val="auto"/>
      </w:pPr>
      <w:r>
        <w:rPr>
          <w:rStyle w:val="10"/>
        </w:rPr>
        <w:t>Corresponding author</w:t>
      </w:r>
      <w:r>
        <w:rPr>
          <w:rStyle w:val="10"/>
          <w:rFonts w:hint="eastAsia" w:eastAsia="宋体"/>
          <w:lang w:val="en-US" w:eastAsia="zh-CN"/>
        </w:rPr>
        <w:t xml:space="preserve"> information:</w:t>
      </w:r>
      <w:r>
        <w:br w:type="textWrapping"/>
      </w:r>
      <w:r>
        <w:t>Jun Feng</w:t>
      </w:r>
      <w:r>
        <w:br w:type="textWrapping"/>
      </w:r>
      <w:r>
        <w:t>China Football College, Beijing Sport University</w:t>
      </w:r>
      <w:r>
        <w:br w:type="textWrapping"/>
      </w:r>
      <w:r>
        <w:t>Beijing 100084, China</w:t>
      </w:r>
      <w:r>
        <w:br w:type="textWrapping"/>
      </w:r>
      <w:r>
        <w:t>E-mail: fengjun@bsu.edu.cn</w:t>
      </w:r>
    </w:p>
    <w:p w14:paraId="24AAD769">
      <w:r>
        <w:br w:type="page"/>
      </w:r>
    </w:p>
    <w:p w14:paraId="6798E20A">
      <w:pPr>
        <w:pStyle w:val="2"/>
        <w:sectPr>
          <w:type w:val="continuous"/>
          <w:pgSz w:w="11920" w:h="16850"/>
          <w:pgMar w:top="1200" w:right="560" w:bottom="280" w:left="700" w:header="720" w:footer="720" w:gutter="0"/>
          <w:cols w:space="720" w:num="1"/>
        </w:sectPr>
      </w:pPr>
    </w:p>
    <w:p w14:paraId="7F26AB84">
      <w:pPr>
        <w:pStyle w:val="2"/>
      </w:pPr>
      <w:r>
        <w:t>Supplementary</w:t>
      </w:r>
      <w:r>
        <w:rPr>
          <w:spacing w:val="-4"/>
        </w:rPr>
        <w:t xml:space="preserve"> </w:t>
      </w:r>
      <w:r>
        <w:t>Tables</w:t>
      </w:r>
    </w:p>
    <w:p w14:paraId="0DA3D947">
      <w:pPr>
        <w:spacing w:before="2"/>
        <w:rPr>
          <w:b/>
          <w:sz w:val="37"/>
        </w:rPr>
      </w:pPr>
    </w:p>
    <w:p w14:paraId="2B25BEC8">
      <w:pPr>
        <w:spacing w:before="1" w:line="304" w:lineRule="auto"/>
        <w:ind w:left="2944" w:right="1086" w:hanging="2511"/>
      </w:pPr>
      <w:r>
        <w:rPr>
          <w:b/>
          <w:sz w:val="24"/>
        </w:rPr>
        <w:t xml:space="preserve">Supplementary Table 1. </w:t>
      </w:r>
      <w:r>
        <w:t xml:space="preserve">Search Strategy for PUBMED, </w:t>
      </w:r>
      <w:r>
        <w:rPr>
          <w:rFonts w:hint="eastAsia" w:eastAsia="宋体"/>
          <w:lang w:val="en-US" w:eastAsia="zh-CN"/>
        </w:rPr>
        <w:t>COCHRANE LIBRARY</w:t>
      </w:r>
      <w:r>
        <w:t xml:space="preserve">, WEB OF SCIENCE and </w:t>
      </w:r>
      <w:r>
        <w:rPr>
          <w:rFonts w:hint="eastAsia" w:eastAsia="宋体"/>
          <w:lang w:val="en-US" w:eastAsia="zh-CN"/>
        </w:rPr>
        <w:t>EMBASE</w:t>
      </w:r>
      <w:r>
        <w:t>,</w:t>
      </w:r>
      <w:r>
        <w:rPr>
          <w:rFonts w:hint="eastAsia" w:eastAsia="宋体"/>
          <w:lang w:val="en-US" w:eastAsia="zh-CN"/>
        </w:rPr>
        <w:t xml:space="preserve"> </w:t>
      </w:r>
      <w:r>
        <w:rPr>
          <w:spacing w:val="-52"/>
        </w:rPr>
        <w:t xml:space="preserve"> </w:t>
      </w:r>
      <w:r>
        <w:rPr>
          <w:rFonts w:hint="eastAsia" w:eastAsia="宋体"/>
          <w:lang w:val="en-US" w:eastAsia="zh-CN"/>
        </w:rPr>
        <w:t>January</w:t>
      </w:r>
      <w:r>
        <w:rPr>
          <w:spacing w:val="-2"/>
        </w:rPr>
        <w:t xml:space="preserve"> </w:t>
      </w:r>
      <w:r>
        <w:rPr>
          <w:rFonts w:hint="eastAsia" w:eastAsia="宋体"/>
          <w:spacing w:val="-2"/>
          <w:lang w:val="en-US" w:eastAsia="zh-CN"/>
        </w:rPr>
        <w:t>5th</w:t>
      </w:r>
      <w:r>
        <w:t>, 202</w:t>
      </w:r>
      <w:r>
        <w:rPr>
          <w:rFonts w:hint="eastAsia" w:eastAsia="宋体"/>
          <w:lang w:val="en-US" w:eastAsia="zh-CN"/>
        </w:rPr>
        <w:t>6</w:t>
      </w:r>
      <w:r>
        <w:t>.</w:t>
      </w:r>
    </w:p>
    <w:p w14:paraId="4CA52128">
      <w:pPr>
        <w:spacing w:before="7"/>
        <w:rPr>
          <w:sz w:val="17"/>
        </w:rPr>
      </w:pPr>
    </w:p>
    <w:tbl>
      <w:tblPr>
        <w:tblStyle w:val="11"/>
        <w:tblW w:w="0" w:type="auto"/>
        <w:tblInd w:w="97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7"/>
      </w:tblGrid>
      <w:tr w14:paraId="49169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8507" w:type="dxa"/>
          </w:tcPr>
          <w:p w14:paraId="58C4DB73">
            <w:pPr>
              <w:pStyle w:val="13"/>
              <w:spacing w:before="98"/>
              <w:ind w:left="2971" w:right="2952"/>
              <w:rPr>
                <w:b/>
                <w:sz w:val="20"/>
              </w:rPr>
            </w:pPr>
            <w:r>
              <w:rPr>
                <w:b/>
                <w:sz w:val="20"/>
              </w:rPr>
              <w:t>Search</w:t>
            </w:r>
            <w:r>
              <w:rPr>
                <w:b/>
                <w:spacing w:val="-4"/>
                <w:sz w:val="20"/>
              </w:rPr>
              <w:t xml:space="preserve"> </w:t>
            </w:r>
            <w:r>
              <w:rPr>
                <w:b/>
                <w:sz w:val="20"/>
              </w:rPr>
              <w:t>Strategy</w:t>
            </w:r>
            <w:r>
              <w:rPr>
                <w:b/>
                <w:spacing w:val="1"/>
                <w:sz w:val="20"/>
              </w:rPr>
              <w:t xml:space="preserve"> </w:t>
            </w:r>
            <w:r>
              <w:rPr>
                <w:b/>
                <w:sz w:val="20"/>
              </w:rPr>
              <w:t>(n=</w:t>
            </w:r>
            <w:r>
              <w:rPr>
                <w:rFonts w:hint="eastAsia" w:eastAsia="宋体"/>
                <w:b/>
                <w:sz w:val="20"/>
                <w:lang w:val="en-US" w:eastAsia="zh-CN"/>
              </w:rPr>
              <w:t>645</w:t>
            </w:r>
            <w:r>
              <w:rPr>
                <w:b/>
                <w:sz w:val="20"/>
              </w:rPr>
              <w:t>)</w:t>
            </w:r>
          </w:p>
        </w:tc>
      </w:tr>
      <w:tr w14:paraId="0CEFE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trPr>
        <w:tc>
          <w:tcPr>
            <w:tcW w:w="8507" w:type="dxa"/>
          </w:tcPr>
          <w:p w14:paraId="54F888A8">
            <w:pPr>
              <w:pStyle w:val="13"/>
              <w:spacing w:before="79"/>
              <w:ind w:left="2971" w:right="2953"/>
              <w:rPr>
                <w:b/>
                <w:sz w:val="20"/>
              </w:rPr>
            </w:pPr>
            <w:r>
              <w:rPr>
                <w:b/>
                <w:sz w:val="20"/>
              </w:rPr>
              <w:t>PubMed</w:t>
            </w:r>
            <w:r>
              <w:rPr>
                <w:b/>
                <w:spacing w:val="-1"/>
                <w:sz w:val="20"/>
              </w:rPr>
              <w:t xml:space="preserve"> </w:t>
            </w:r>
            <w:r>
              <w:rPr>
                <w:b/>
                <w:sz w:val="20"/>
              </w:rPr>
              <w:t>(Results:</w:t>
            </w:r>
            <w:r>
              <w:rPr>
                <w:b/>
                <w:spacing w:val="-1"/>
                <w:sz w:val="20"/>
              </w:rPr>
              <w:t xml:space="preserve"> </w:t>
            </w:r>
            <w:r>
              <w:rPr>
                <w:rFonts w:hint="eastAsia" w:eastAsia="宋体"/>
                <w:b/>
                <w:spacing w:val="-1"/>
                <w:sz w:val="20"/>
                <w:lang w:val="en-US" w:eastAsia="zh-CN"/>
              </w:rPr>
              <w:t>197</w:t>
            </w:r>
            <w:r>
              <w:rPr>
                <w:b/>
                <w:sz w:val="20"/>
              </w:rPr>
              <w:t>)</w:t>
            </w:r>
          </w:p>
        </w:tc>
      </w:tr>
      <w:tr w14:paraId="15621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1" w:hRule="atLeast"/>
        </w:trPr>
        <w:tc>
          <w:tcPr>
            <w:tcW w:w="8507" w:type="dxa"/>
          </w:tcPr>
          <w:p w14:paraId="1E00C032">
            <w:pPr>
              <w:pStyle w:val="13"/>
              <w:spacing w:before="74" w:line="254" w:lineRule="auto"/>
              <w:ind w:left="100" w:right="129"/>
              <w:jc w:val="left"/>
              <w:rPr>
                <w:sz w:val="20"/>
              </w:rPr>
            </w:pPr>
            <w:r>
              <w:rPr>
                <w:rFonts w:hint="eastAsia" w:eastAsia="宋体"/>
                <w:sz w:val="20"/>
                <w:lang w:val="en-US" w:eastAsia="zh-CN"/>
              </w:rPr>
              <w:t>(</w:t>
            </w:r>
            <w:r>
              <w:rPr>
                <w:rFonts w:hint="eastAsia"/>
                <w:sz w:val="20"/>
              </w:rPr>
              <w:t>((((((Soccer</w:t>
            </w:r>
            <w:r>
              <w:rPr>
                <w:rFonts w:hint="eastAsia" w:eastAsia="宋体"/>
                <w:sz w:val="20"/>
                <w:lang w:val="en-US" w:eastAsia="zh-CN"/>
              </w:rPr>
              <w:t xml:space="preserve"> </w:t>
            </w:r>
            <w:r>
              <w:rPr>
                <w:rFonts w:hint="eastAsia"/>
                <w:sz w:val="20"/>
              </w:rPr>
              <w:t xml:space="preserve">[Mesh]) OR </w:t>
            </w:r>
            <w:r>
              <w:rPr>
                <w:sz w:val="20"/>
              </w:rPr>
              <w:t>(Football [MeSH]</w:t>
            </w:r>
            <w:r>
              <w:rPr>
                <w:rFonts w:hint="eastAsia" w:eastAsia="宋体"/>
                <w:sz w:val="20"/>
                <w:lang w:val="en-US" w:eastAsia="zh-CN"/>
              </w:rPr>
              <w:t xml:space="preserve">)) OR </w:t>
            </w:r>
            <w:r>
              <w:rPr>
                <w:rFonts w:hint="eastAsia"/>
                <w:sz w:val="20"/>
              </w:rPr>
              <w:t>(Football European)) OR (European,Football)) OR (Europeans,Football)) OR (European Football)) OR (Football, European))) AND ((((((((((Hamstring Muscles) OR (Hamstring Muscle)) OR (Muscle, Hamstring)) OR (Muscles, Hamstring)) OR (Semitendinosus)) OR (Semimembranosus)) OR (Biceps Femoris)) OR ("Hamstring Muscles"[Mesh])) AND ((((((((((((((((((((((((("Exercise"[Mesh]) OR (Exercises)) OR (Exercise, Physical)) OR (Physical Exercise)) OR (Physical Exercises)) OR (Exercise, Aerobic)) OR (Aerobic Exercise)) OR (Aerobic Exercises)) OR (Exercises, Aerobic)) OR (Exercise, Isometric)) OR (Exercises, Isometric)) OR (Isometric Exercises)) OR (Isometric Exercise)) OR (Acute Exercise)) OR (Acute Exercises)) OR (Exercise, Acute)) OR (Exercises, Acute)) OR (Exercise Training)) OR (Exercise Trainings)) OR (Training, Exercise)) OR (Trainings, Exercise)) OR (Physical Activity)) OR (Activities, Physical)) OR (Activity, Physical)) OR (Physical Activities))) AND ((((((("prevention and control" [Subheading]) OR (prevention and control)) OR (preventive measures[Title/Abstract])) OR (preventive therapy[Title/Abstract])) OR (prophylaxis[Title/Abstract])) OR (control[Title/Abstract])) OR (prevention[Title/Abstract]))</w:t>
            </w:r>
          </w:p>
        </w:tc>
      </w:tr>
      <w:tr w14:paraId="345B1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6" w:hRule="atLeast"/>
        </w:trPr>
        <w:tc>
          <w:tcPr>
            <w:tcW w:w="8507" w:type="dxa"/>
          </w:tcPr>
          <w:p w14:paraId="4C92F501">
            <w:pPr>
              <w:pStyle w:val="13"/>
              <w:spacing w:before="79"/>
              <w:ind w:right="2953"/>
              <w:jc w:val="center"/>
              <w:rPr>
                <w:b/>
                <w:sz w:val="20"/>
              </w:rPr>
            </w:pPr>
            <w:r>
              <w:rPr>
                <w:rFonts w:hint="eastAsia" w:eastAsia="宋体"/>
                <w:b/>
                <w:sz w:val="20"/>
                <w:lang w:val="en-US" w:eastAsia="zh-CN"/>
              </w:rPr>
              <w:t xml:space="preserve">                                                       </w:t>
            </w:r>
            <w:r>
              <w:rPr>
                <w:b/>
                <w:sz w:val="20"/>
              </w:rPr>
              <w:t>Cochrane Library</w:t>
            </w:r>
            <w:r>
              <w:rPr>
                <w:b/>
                <w:spacing w:val="-2"/>
                <w:sz w:val="20"/>
              </w:rPr>
              <w:t xml:space="preserve"> </w:t>
            </w:r>
            <w:r>
              <w:rPr>
                <w:b/>
                <w:sz w:val="20"/>
              </w:rPr>
              <w:t xml:space="preserve">(Results: </w:t>
            </w:r>
            <w:r>
              <w:rPr>
                <w:rFonts w:hint="eastAsia" w:eastAsia="宋体"/>
                <w:b/>
                <w:sz w:val="20"/>
                <w:lang w:val="en-US" w:eastAsia="zh-CN"/>
              </w:rPr>
              <w:t>11</w:t>
            </w:r>
            <w:r>
              <w:rPr>
                <w:b/>
                <w:sz w:val="20"/>
              </w:rPr>
              <w:t>)</w:t>
            </w:r>
          </w:p>
        </w:tc>
      </w:tr>
      <w:tr w14:paraId="711BA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80" w:hRule="atLeast"/>
        </w:trPr>
        <w:tc>
          <w:tcPr>
            <w:tcW w:w="8507" w:type="dxa"/>
          </w:tcPr>
          <w:p w14:paraId="2E82C1DC">
            <w:pPr>
              <w:pStyle w:val="13"/>
              <w:spacing w:line="230" w:lineRule="exact"/>
              <w:jc w:val="left"/>
              <w:rPr>
                <w:rFonts w:hint="default" w:eastAsia="宋体"/>
                <w:sz w:val="20"/>
                <w:lang w:val="en-US" w:eastAsia="zh-CN"/>
              </w:rPr>
            </w:pPr>
            <w:r>
              <w:rPr>
                <w:rFonts w:hint="eastAsia"/>
                <w:sz w:val="20"/>
              </w:rPr>
              <w:t>(Hamstring Muscles</w:t>
            </w:r>
            <w:r>
              <w:rPr>
                <w:rFonts w:hint="eastAsia" w:eastAsia="宋体"/>
                <w:sz w:val="20"/>
                <w:lang w:val="en-US" w:eastAsia="zh-CN"/>
              </w:rPr>
              <w:t xml:space="preserve"> [MESH] OR </w:t>
            </w:r>
            <w:r>
              <w:rPr>
                <w:rFonts w:hint="eastAsia"/>
                <w:sz w:val="20"/>
              </w:rPr>
              <w:t>Hamstring Muscle OR Muscles, Hamstring OR Muscle, Hamstring OR Semitendinosus OR Semimembranosus OR Biceps Femoris):ti,ab,kw</w:t>
            </w:r>
            <w:r>
              <w:rPr>
                <w:rFonts w:hint="eastAsia" w:eastAsia="宋体"/>
                <w:sz w:val="20"/>
                <w:lang w:val="en-US" w:eastAsia="zh-CN"/>
              </w:rPr>
              <w:t xml:space="preserve"> AND (Exercise [MESH] OR Activities OR Physical OR Physical Activities OR Activity, Physical OR Physical Activity OR Exercises, Isometric OR Exercise, Isometric OR Isometric Exercises OR Isometric Exercise OR Exercise Trainings OR Exercise Training OR Trainings, Exercise OR Training, Exercise OR Exercise, Aerobic OR Aerobic Exercise OR Aerobic Exercises OR Exercises, Aerobic OR Acute Exercises OR Acute Exercise OR Exercise, Acute OR Exercises, Acute OR Physical Exercises OR Exercise, Physical OR Exercises, Physical OR Exercises OR Physical Exercise):ti,ab,kw AND (Soccer [MESH] OR Football [MESH] OR European Football OR Europeans, Football OR European, Football OR Football, European OR Football European):ti,ab,kw AND (Primary Prevention [ MESH] OR Secondary Prevention [MESH] OR Disease Prevention, Primary OR Disease Preventions, Primary OR Primary Disease Preventions OR Prevention, Primary OR Primary Disease Prevention OR Primordial Prevention OR Primordial Preventions OR Preventions, Primordial OR Prevention, Primordial):ti,ab,kwOR (Relapse Preventions OR Relapse Prevention OR Preventions, Relapse OR Prevention, Relapse OR Therapies, Early OR Early Therapies OR Therapy, Early OR Early Therapy OR Secondary Disease Prevention OR Secondary Preventions OR Secondary Disease Preventions OR Preventions, Secondary Disease OR Prevention, Secondary OR Disease Prevention, Secondary OR Disease Preventions, Secondary OR Preventions, Secondary OR Prevention, Secondary Disease):ti,ab,kw</w:t>
            </w:r>
          </w:p>
        </w:tc>
      </w:tr>
      <w:tr w14:paraId="75684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4" w:hRule="atLeast"/>
        </w:trPr>
        <w:tc>
          <w:tcPr>
            <w:tcW w:w="8507" w:type="dxa"/>
          </w:tcPr>
          <w:p w14:paraId="5B9C1A4B">
            <w:pPr>
              <w:pStyle w:val="13"/>
              <w:spacing w:before="79"/>
              <w:ind w:left="2971" w:right="2956"/>
              <w:rPr>
                <w:b/>
                <w:sz w:val="20"/>
              </w:rPr>
            </w:pPr>
            <w:r>
              <w:rPr>
                <w:b/>
                <w:sz w:val="20"/>
              </w:rPr>
              <w:t>Web</w:t>
            </w:r>
            <w:r>
              <w:rPr>
                <w:b/>
                <w:spacing w:val="-2"/>
                <w:sz w:val="20"/>
              </w:rPr>
              <w:t xml:space="preserve"> </w:t>
            </w:r>
            <w:r>
              <w:rPr>
                <w:b/>
                <w:sz w:val="20"/>
              </w:rPr>
              <w:t>of</w:t>
            </w:r>
            <w:r>
              <w:rPr>
                <w:b/>
                <w:spacing w:val="-1"/>
                <w:sz w:val="20"/>
              </w:rPr>
              <w:t xml:space="preserve"> </w:t>
            </w:r>
            <w:r>
              <w:rPr>
                <w:b/>
                <w:sz w:val="20"/>
              </w:rPr>
              <w:t>Science</w:t>
            </w:r>
            <w:r>
              <w:rPr>
                <w:b/>
                <w:spacing w:val="-2"/>
                <w:sz w:val="20"/>
              </w:rPr>
              <w:t xml:space="preserve"> </w:t>
            </w:r>
            <w:r>
              <w:rPr>
                <w:b/>
                <w:sz w:val="20"/>
              </w:rPr>
              <w:t>(Results:</w:t>
            </w:r>
            <w:r>
              <w:rPr>
                <w:b/>
                <w:spacing w:val="2"/>
                <w:sz w:val="20"/>
              </w:rPr>
              <w:t xml:space="preserve"> </w:t>
            </w:r>
            <w:r>
              <w:rPr>
                <w:rFonts w:hint="eastAsia" w:eastAsia="宋体"/>
                <w:b/>
                <w:spacing w:val="2"/>
                <w:sz w:val="20"/>
                <w:lang w:val="en-US" w:eastAsia="zh-CN"/>
              </w:rPr>
              <w:t>347</w:t>
            </w:r>
            <w:r>
              <w:rPr>
                <w:b/>
                <w:sz w:val="20"/>
              </w:rPr>
              <w:t>)</w:t>
            </w:r>
          </w:p>
        </w:tc>
      </w:tr>
      <w:tr w14:paraId="315F0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6" w:hRule="atLeast"/>
        </w:trPr>
        <w:tc>
          <w:tcPr>
            <w:tcW w:w="8507" w:type="dxa"/>
          </w:tcPr>
          <w:p w14:paraId="7F7D5E2B">
            <w:pPr>
              <w:pStyle w:val="13"/>
              <w:spacing w:before="74" w:line="254" w:lineRule="auto"/>
              <w:ind w:right="83"/>
              <w:jc w:val="left"/>
              <w:rPr>
                <w:rFonts w:hint="default" w:eastAsia="宋体"/>
                <w:sz w:val="20"/>
                <w:lang w:val="en-US" w:eastAsia="zh-CN"/>
              </w:rPr>
            </w:pPr>
            <w:r>
              <w:rPr>
                <w:rFonts w:hint="eastAsia" w:eastAsia="宋体"/>
                <w:sz w:val="20"/>
                <w:lang w:val="en-US" w:eastAsia="zh-CN"/>
              </w:rPr>
              <w:t>(((((TI;AB;KW=</w:t>
            </w:r>
            <w:r>
              <w:rPr>
                <w:rFonts w:hint="eastAsia"/>
                <w:sz w:val="20"/>
              </w:rPr>
              <w:t xml:space="preserve">(Soccer OR </w:t>
            </w:r>
            <w:r>
              <w:rPr>
                <w:rFonts w:hint="eastAsia" w:eastAsia="宋体"/>
                <w:sz w:val="20"/>
                <w:lang w:val="en-US" w:eastAsia="zh-CN"/>
              </w:rPr>
              <w:t xml:space="preserve">Football OR </w:t>
            </w:r>
            <w:r>
              <w:rPr>
                <w:rFonts w:hint="eastAsia"/>
                <w:sz w:val="20"/>
              </w:rPr>
              <w:t>Football European OR European,Football OR Europeans,Football OR European Football OR Football, European )</w:t>
            </w:r>
            <w:r>
              <w:rPr>
                <w:rFonts w:hint="eastAsia" w:eastAsia="宋体"/>
                <w:sz w:val="20"/>
                <w:lang w:val="en-US" w:eastAsia="zh-CN"/>
              </w:rPr>
              <w:t>) AND TI;AB;KW=(Hamstring Muscles OR Hamstring Muscle OR Muscle, Hamstring OR Muscles, Hamstring OR Semitendinosus OR Semimembranosus OR Biceps Femoris )) AND TI;AB;KW=(Exercises OR Exercise, Physical OR Exercises, Physical OR Physical Exercise OR Physical Exercises OR Exercise, Aerobic OR Aerobic Exercise OR Aerobic Exercises OR Exercises, Aerobic OR Exercise, Isometric OR Exercises, Isometric OR Isometric Exercises OR Isometric Exercise OR Acute Exercise OR Acute Exercises OR Exercise, Acute OR Exercises, Acute OR Exercise Training OR Exercise Trainings OR Training, Exercise OR Trainings, Exercise OR Physical Activity OR Activities, Physical OR Activity, Physical OR Physical Activities)) AND TI;AB;KW=(prevention and control OR preventive measures OR preventive therapy OR prophylaxis OR control OR prevention))))</w:t>
            </w:r>
            <w:r>
              <w:rPr>
                <w:rFonts w:hint="eastAsia" w:eastAsia="宋体"/>
                <w:sz w:val="20"/>
                <w:lang w:val="en-US" w:eastAsia="zh-CN"/>
              </w:rPr>
              <w:tab/>
            </w:r>
            <w:r>
              <w:rPr>
                <w:rFonts w:hint="eastAsia" w:eastAsia="宋体"/>
                <w:sz w:val="20"/>
                <w:lang w:val="en-US" w:eastAsia="zh-CN"/>
              </w:rPr>
              <w:tab/>
            </w:r>
            <w:r>
              <w:rPr>
                <w:rFonts w:hint="eastAsia" w:eastAsia="宋体"/>
                <w:sz w:val="20"/>
                <w:lang w:val="en-US" w:eastAsia="zh-CN"/>
              </w:rPr>
              <w:tab/>
            </w:r>
          </w:p>
        </w:tc>
      </w:tr>
      <w:tr w14:paraId="303EF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4" w:hRule="atLeast"/>
        </w:trPr>
        <w:tc>
          <w:tcPr>
            <w:tcW w:w="8507" w:type="dxa"/>
          </w:tcPr>
          <w:p w14:paraId="579467B6">
            <w:pPr>
              <w:pStyle w:val="13"/>
              <w:spacing w:before="77"/>
              <w:ind w:left="2971" w:right="2956"/>
              <w:rPr>
                <w:b/>
                <w:sz w:val="20"/>
              </w:rPr>
            </w:pPr>
            <w:r>
              <w:rPr>
                <w:rFonts w:hint="eastAsia" w:eastAsia="宋体"/>
                <w:b/>
                <w:sz w:val="20"/>
                <w:lang w:val="en-US" w:eastAsia="zh-CN"/>
              </w:rPr>
              <w:t>Embase</w:t>
            </w:r>
            <w:r>
              <w:rPr>
                <w:b/>
                <w:spacing w:val="-1"/>
                <w:sz w:val="20"/>
              </w:rPr>
              <w:t xml:space="preserve"> </w:t>
            </w:r>
            <w:r>
              <w:rPr>
                <w:b/>
                <w:sz w:val="20"/>
              </w:rPr>
              <w:t>(Results:</w:t>
            </w:r>
            <w:r>
              <w:rPr>
                <w:b/>
                <w:spacing w:val="-2"/>
                <w:sz w:val="20"/>
              </w:rPr>
              <w:t xml:space="preserve"> </w:t>
            </w:r>
            <w:r>
              <w:rPr>
                <w:rFonts w:hint="eastAsia" w:eastAsia="宋体"/>
                <w:b/>
                <w:spacing w:val="-2"/>
                <w:sz w:val="20"/>
                <w:lang w:val="en-US" w:eastAsia="zh-CN"/>
              </w:rPr>
              <w:t>99</w:t>
            </w:r>
            <w:r>
              <w:rPr>
                <w:b/>
                <w:sz w:val="20"/>
              </w:rPr>
              <w:t>)</w:t>
            </w:r>
          </w:p>
        </w:tc>
      </w:tr>
      <w:tr w14:paraId="393D2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3" w:hRule="atLeast"/>
        </w:trPr>
        <w:tc>
          <w:tcPr>
            <w:tcW w:w="8507" w:type="dxa"/>
          </w:tcPr>
          <w:p w14:paraId="57772138">
            <w:pPr>
              <w:pStyle w:val="13"/>
              <w:spacing w:before="2"/>
              <w:ind w:left="100"/>
              <w:jc w:val="left"/>
              <w:rPr>
                <w:rFonts w:hint="default" w:eastAsia="宋体"/>
                <w:sz w:val="20"/>
                <w:lang w:val="en-US" w:eastAsia="zh-CN"/>
              </w:rPr>
            </w:pPr>
            <w:r>
              <w:rPr>
                <w:rFonts w:hint="eastAsia" w:eastAsia="宋体"/>
                <w:sz w:val="20"/>
                <w:lang w:val="en-US" w:eastAsia="zh-CN"/>
              </w:rPr>
              <w:t>((((((((</w:t>
            </w:r>
            <w:r>
              <w:rPr>
                <w:rFonts w:hint="eastAsia"/>
                <w:sz w:val="20"/>
              </w:rPr>
              <w:t>'hamstring muscle'/exp</w:t>
            </w:r>
            <w:r>
              <w:rPr>
                <w:rFonts w:hint="eastAsia" w:eastAsia="宋体"/>
                <w:sz w:val="20"/>
                <w:lang w:val="en-US" w:eastAsia="zh-CN"/>
              </w:rPr>
              <w:t>) OR (hamstring:ti,ab,kw OR 'hamstring muscles':ti,ab,kw OR 'hamstring muscle':ti,ab,kw) AND (('exercise'/exp) OR  ('exercise':ti,ab,kw OR 'biometric exercise':ti,ab,kw OR effort:ti,ab,kw OR 'exercise capacity':ti,ab,kw OR 'exercise performance':ti,ab,kw OR 'exercise training':ti,ab,kw OR exertion:ti,ab,kw OR 'fitness training':ti,ab,kw OR 'fitness workout':ti,ab,kw OR 'physical conditioning, human':ti,ab,kw OR 'physical effort':ti,ab,kw OR 'physical exercise':ti,ab,kw OR 'physical exertion':ti,ab,kw OR 'physical work-out':ti,ab,kw OR 'physical workout':ti,ab,kw OR exercise:ti,ab,kw) AND (('football'/exp OR 'soccer'/exp) OR ('football player'/exp) OR ('football players':ti,ab,kw OR footballer:ti,ab,kw OR footballers:ti,ab,kw OR 'football player':ti,ab,kw) OR ('soccer player'/exp) OR ('soccer player':ti,ab,kw) AND (('prevention'/exp) OR ('prevention':ti,ab,kw OR 'precautionary action':ti,ab,kw OR 'preventive action':ti,ab,kw OR 'preventive measure':ti,ab,kw OR prevention:ti,ab,kw))))</w:t>
            </w:r>
          </w:p>
        </w:tc>
      </w:tr>
    </w:tbl>
    <w:p w14:paraId="53A2373F">
      <w:pPr>
        <w:rPr>
          <w:sz w:val="20"/>
        </w:rPr>
        <w:sectPr>
          <w:pgSz w:w="11920" w:h="16850"/>
          <w:pgMar w:top="1200" w:right="560" w:bottom="280" w:left="700" w:header="720" w:footer="720" w:gutter="0"/>
          <w:cols w:space="720" w:num="1"/>
        </w:sectPr>
      </w:pPr>
    </w:p>
    <w:p w14:paraId="60BEB771">
      <w:pPr>
        <w:spacing w:before="76"/>
        <w:ind w:left="1539" w:right="1694"/>
        <w:jc w:val="center"/>
        <w:rPr>
          <w:sz w:val="24"/>
        </w:rPr>
      </w:pPr>
      <w:r>
        <w:rPr>
          <w:b/>
          <w:sz w:val="24"/>
        </w:rPr>
        <w:t>Supplementary</w:t>
      </w:r>
      <w:r>
        <w:rPr>
          <w:b/>
          <w:spacing w:val="-10"/>
          <w:sz w:val="24"/>
        </w:rPr>
        <w:t xml:space="preserve"> </w:t>
      </w:r>
      <w:r>
        <w:rPr>
          <w:b/>
          <w:sz w:val="24"/>
        </w:rPr>
        <w:t>Table</w:t>
      </w:r>
      <w:r>
        <w:rPr>
          <w:b/>
          <w:spacing w:val="-6"/>
          <w:sz w:val="24"/>
        </w:rPr>
        <w:t xml:space="preserve"> </w:t>
      </w:r>
      <w:r>
        <w:rPr>
          <w:b/>
          <w:sz w:val="24"/>
        </w:rPr>
        <w:t>2.</w:t>
      </w:r>
      <w:r>
        <w:rPr>
          <w:b/>
          <w:spacing w:val="2"/>
          <w:sz w:val="24"/>
        </w:rPr>
        <w:t xml:space="preserve"> </w:t>
      </w:r>
      <w:r>
        <w:rPr>
          <w:sz w:val="24"/>
        </w:rPr>
        <w:t>Inclusion</w:t>
      </w:r>
      <w:r>
        <w:rPr>
          <w:spacing w:val="-4"/>
          <w:sz w:val="24"/>
        </w:rPr>
        <w:t xml:space="preserve"> </w:t>
      </w:r>
      <w:r>
        <w:rPr>
          <w:sz w:val="24"/>
        </w:rPr>
        <w:t>criteria</w:t>
      </w:r>
      <w:r>
        <w:rPr>
          <w:spacing w:val="-5"/>
          <w:sz w:val="24"/>
        </w:rPr>
        <w:t xml:space="preserve"> </w:t>
      </w:r>
      <w:r>
        <w:rPr>
          <w:sz w:val="24"/>
        </w:rPr>
        <w:t>adopted</w:t>
      </w:r>
      <w:r>
        <w:rPr>
          <w:spacing w:val="-7"/>
          <w:sz w:val="24"/>
        </w:rPr>
        <w:t xml:space="preserve"> </w:t>
      </w:r>
      <w:r>
        <w:rPr>
          <w:sz w:val="24"/>
        </w:rPr>
        <w:t>by</w:t>
      </w:r>
      <w:r>
        <w:rPr>
          <w:spacing w:val="-13"/>
          <w:sz w:val="24"/>
        </w:rPr>
        <w:t xml:space="preserve"> </w:t>
      </w:r>
      <w:r>
        <w:rPr>
          <w:sz w:val="24"/>
        </w:rPr>
        <w:t>the</w:t>
      </w:r>
      <w:r>
        <w:rPr>
          <w:spacing w:val="-5"/>
          <w:sz w:val="24"/>
        </w:rPr>
        <w:t xml:space="preserve"> </w:t>
      </w:r>
      <w:r>
        <w:rPr>
          <w:sz w:val="24"/>
        </w:rPr>
        <w:t>PICO</w:t>
      </w:r>
      <w:r>
        <w:rPr>
          <w:rFonts w:hint="eastAsia" w:eastAsia="宋体"/>
          <w:sz w:val="24"/>
          <w:lang w:val="en-US" w:eastAsia="zh-CN"/>
        </w:rPr>
        <w:t>S</w:t>
      </w:r>
      <w:r>
        <w:rPr>
          <w:spacing w:val="-4"/>
          <w:sz w:val="24"/>
        </w:rPr>
        <w:t xml:space="preserve"> </w:t>
      </w:r>
      <w:r>
        <w:rPr>
          <w:sz w:val="24"/>
        </w:rPr>
        <w:t>framework</w:t>
      </w:r>
    </w:p>
    <w:p w14:paraId="1ADC4FE9">
      <w:pPr>
        <w:rPr>
          <w:sz w:val="20"/>
        </w:rPr>
      </w:pPr>
    </w:p>
    <w:p w14:paraId="72CD3270">
      <w:pPr>
        <w:spacing w:before="3"/>
        <w:rPr>
          <w:sz w:val="11"/>
        </w:rPr>
      </w:pPr>
    </w:p>
    <w:tbl>
      <w:tblPr>
        <w:tblStyle w:val="11"/>
        <w:tblW w:w="0" w:type="auto"/>
        <w:tblInd w:w="10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06"/>
        <w:gridCol w:w="6306"/>
      </w:tblGrid>
      <w:tr w14:paraId="23B78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2206" w:type="dxa"/>
          </w:tcPr>
          <w:p w14:paraId="137F881C">
            <w:pPr>
              <w:pStyle w:val="13"/>
              <w:spacing w:before="94"/>
              <w:ind w:left="599"/>
              <w:jc w:val="left"/>
              <w:rPr>
                <w:b/>
                <w:sz w:val="24"/>
              </w:rPr>
            </w:pPr>
            <w:r>
              <w:rPr>
                <w:b/>
                <w:sz w:val="24"/>
              </w:rPr>
              <w:t>Definition</w:t>
            </w:r>
          </w:p>
        </w:tc>
        <w:tc>
          <w:tcPr>
            <w:tcW w:w="6306" w:type="dxa"/>
          </w:tcPr>
          <w:p w14:paraId="5B3BCE5F">
            <w:pPr>
              <w:pStyle w:val="13"/>
              <w:spacing w:before="94"/>
              <w:ind w:left="1864"/>
              <w:jc w:val="left"/>
              <w:rPr>
                <w:b/>
                <w:sz w:val="24"/>
              </w:rPr>
            </w:pPr>
            <w:r>
              <w:rPr>
                <w:b/>
                <w:sz w:val="24"/>
              </w:rPr>
              <w:t>Inclusion</w:t>
            </w:r>
            <w:r>
              <w:rPr>
                <w:b/>
                <w:spacing w:val="-3"/>
                <w:sz w:val="24"/>
              </w:rPr>
              <w:t xml:space="preserve"> </w:t>
            </w:r>
            <w:r>
              <w:rPr>
                <w:b/>
                <w:sz w:val="24"/>
              </w:rPr>
              <w:t>criteria</w:t>
            </w:r>
            <w:r>
              <w:rPr>
                <w:b/>
                <w:spacing w:val="-4"/>
                <w:sz w:val="24"/>
              </w:rPr>
              <w:t xml:space="preserve"> </w:t>
            </w:r>
            <w:r>
              <w:rPr>
                <w:b/>
                <w:sz w:val="24"/>
              </w:rPr>
              <w:t>applied</w:t>
            </w:r>
          </w:p>
        </w:tc>
      </w:tr>
      <w:tr w14:paraId="0A5C5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2" w:hRule="atLeast"/>
        </w:trPr>
        <w:tc>
          <w:tcPr>
            <w:tcW w:w="2206" w:type="dxa"/>
          </w:tcPr>
          <w:p w14:paraId="23CB5C28">
            <w:pPr>
              <w:pStyle w:val="13"/>
              <w:spacing w:before="97"/>
              <w:ind w:left="112"/>
              <w:jc w:val="left"/>
              <w:rPr>
                <w:b/>
                <w:sz w:val="24"/>
              </w:rPr>
            </w:pPr>
            <w:r>
              <w:rPr>
                <w:b/>
                <w:sz w:val="24"/>
              </w:rPr>
              <w:t>Population</w:t>
            </w:r>
          </w:p>
        </w:tc>
        <w:tc>
          <w:tcPr>
            <w:tcW w:w="6306" w:type="dxa"/>
          </w:tcPr>
          <w:p w14:paraId="050DB1A8">
            <w:pPr>
              <w:pStyle w:val="13"/>
              <w:spacing w:before="89" w:line="237" w:lineRule="auto"/>
              <w:ind w:left="110" w:right="1549"/>
              <w:jc w:val="left"/>
              <w:rPr>
                <w:sz w:val="24"/>
              </w:rPr>
            </w:pPr>
            <w:r>
              <w:rPr>
                <w:sz w:val="24"/>
              </w:rPr>
              <w:t>Male</w:t>
            </w:r>
            <w:r>
              <w:rPr>
                <w:spacing w:val="-5"/>
                <w:sz w:val="24"/>
              </w:rPr>
              <w:t xml:space="preserve"> </w:t>
            </w:r>
            <w:r>
              <w:rPr>
                <w:sz w:val="24"/>
              </w:rPr>
              <w:t>and</w:t>
            </w:r>
            <w:r>
              <w:rPr>
                <w:spacing w:val="-2"/>
                <w:sz w:val="24"/>
              </w:rPr>
              <w:t xml:space="preserve"> </w:t>
            </w:r>
            <w:r>
              <w:rPr>
                <w:sz w:val="24"/>
              </w:rPr>
              <w:t>female</w:t>
            </w:r>
            <w:r>
              <w:rPr>
                <w:spacing w:val="-5"/>
                <w:sz w:val="24"/>
              </w:rPr>
              <w:t xml:space="preserve"> </w:t>
            </w:r>
            <w:r>
              <w:rPr>
                <w:sz w:val="24"/>
              </w:rPr>
              <w:t>football</w:t>
            </w:r>
            <w:r>
              <w:rPr>
                <w:spacing w:val="3"/>
                <w:sz w:val="24"/>
              </w:rPr>
              <w:t xml:space="preserve"> </w:t>
            </w:r>
            <w:r>
              <w:rPr>
                <w:sz w:val="24"/>
              </w:rPr>
              <w:t>players</w:t>
            </w:r>
            <w:r>
              <w:rPr>
                <w:spacing w:val="-2"/>
                <w:sz w:val="24"/>
              </w:rPr>
              <w:t xml:space="preserve"> </w:t>
            </w:r>
            <w:r>
              <w:rPr>
                <w:sz w:val="24"/>
              </w:rPr>
              <w:t>of</w:t>
            </w:r>
            <w:r>
              <w:rPr>
                <w:spacing w:val="-6"/>
                <w:sz w:val="24"/>
              </w:rPr>
              <w:t xml:space="preserve"> </w:t>
            </w:r>
            <w:r>
              <w:rPr>
                <w:sz w:val="24"/>
              </w:rPr>
              <w:t>any</w:t>
            </w:r>
            <w:r>
              <w:rPr>
                <w:spacing w:val="-12"/>
                <w:sz w:val="24"/>
              </w:rPr>
              <w:t xml:space="preserve"> </w:t>
            </w:r>
            <w:r>
              <w:rPr>
                <w:sz w:val="24"/>
              </w:rPr>
              <w:t>age</w:t>
            </w:r>
            <w:r>
              <w:rPr>
                <w:spacing w:val="-3"/>
                <w:sz w:val="24"/>
              </w:rPr>
              <w:t xml:space="preserve"> </w:t>
            </w:r>
            <w:r>
              <w:rPr>
                <w:sz w:val="24"/>
              </w:rPr>
              <w:t>and</w:t>
            </w:r>
            <w:r>
              <w:rPr>
                <w:spacing w:val="-57"/>
                <w:sz w:val="24"/>
              </w:rPr>
              <w:t xml:space="preserve"> </w:t>
            </w:r>
            <w:r>
              <w:rPr>
                <w:sz w:val="24"/>
              </w:rPr>
              <w:t>participation</w:t>
            </w:r>
            <w:r>
              <w:rPr>
                <w:spacing w:val="-1"/>
                <w:sz w:val="24"/>
              </w:rPr>
              <w:t xml:space="preserve"> </w:t>
            </w:r>
            <w:r>
              <w:rPr>
                <w:sz w:val="24"/>
              </w:rPr>
              <w:t>level</w:t>
            </w:r>
          </w:p>
        </w:tc>
      </w:tr>
      <w:tr w14:paraId="46674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0" w:hRule="atLeast"/>
        </w:trPr>
        <w:tc>
          <w:tcPr>
            <w:tcW w:w="2206" w:type="dxa"/>
          </w:tcPr>
          <w:p w14:paraId="56CFB8F4">
            <w:pPr>
              <w:pStyle w:val="13"/>
              <w:spacing w:before="94"/>
              <w:ind w:left="112"/>
              <w:jc w:val="left"/>
              <w:rPr>
                <w:b/>
                <w:sz w:val="24"/>
              </w:rPr>
            </w:pPr>
            <w:r>
              <w:rPr>
                <w:b/>
                <w:sz w:val="24"/>
              </w:rPr>
              <w:t>Intervention</w:t>
            </w:r>
          </w:p>
        </w:tc>
        <w:tc>
          <w:tcPr>
            <w:tcW w:w="6306" w:type="dxa"/>
          </w:tcPr>
          <w:p w14:paraId="246CD919">
            <w:pPr>
              <w:pStyle w:val="13"/>
              <w:spacing w:before="85"/>
              <w:ind w:left="110" w:right="541"/>
              <w:jc w:val="left"/>
              <w:rPr>
                <w:sz w:val="24"/>
              </w:rPr>
            </w:pPr>
            <w:r>
              <w:rPr>
                <w:sz w:val="24"/>
              </w:rPr>
              <w:t xml:space="preserve">Active exercise or training-based intervention </w:t>
            </w:r>
          </w:p>
        </w:tc>
      </w:tr>
      <w:tr w14:paraId="4CE49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4" w:hRule="atLeast"/>
        </w:trPr>
        <w:tc>
          <w:tcPr>
            <w:tcW w:w="2206" w:type="dxa"/>
          </w:tcPr>
          <w:p w14:paraId="4491B95A">
            <w:pPr>
              <w:pStyle w:val="13"/>
              <w:spacing w:before="94"/>
              <w:ind w:left="112"/>
              <w:jc w:val="left"/>
              <w:rPr>
                <w:b/>
                <w:sz w:val="24"/>
              </w:rPr>
            </w:pPr>
            <w:r>
              <w:rPr>
                <w:b/>
                <w:sz w:val="24"/>
              </w:rPr>
              <w:t>Control</w:t>
            </w:r>
          </w:p>
        </w:tc>
        <w:tc>
          <w:tcPr>
            <w:tcW w:w="6306" w:type="dxa"/>
          </w:tcPr>
          <w:p w14:paraId="08ACEB6F">
            <w:pPr>
              <w:pStyle w:val="13"/>
              <w:spacing w:before="85"/>
              <w:ind w:left="110"/>
              <w:jc w:val="left"/>
              <w:rPr>
                <w:sz w:val="24"/>
              </w:rPr>
            </w:pPr>
            <w:r>
              <w:rPr>
                <w:sz w:val="24"/>
              </w:rPr>
              <w:t>Usual</w:t>
            </w:r>
            <w:r>
              <w:rPr>
                <w:spacing w:val="-1"/>
                <w:sz w:val="24"/>
              </w:rPr>
              <w:t xml:space="preserve"> </w:t>
            </w:r>
            <w:r>
              <w:rPr>
                <w:sz w:val="24"/>
              </w:rPr>
              <w:t>training</w:t>
            </w:r>
            <w:r>
              <w:rPr>
                <w:spacing w:val="-2"/>
                <w:sz w:val="24"/>
              </w:rPr>
              <w:t xml:space="preserve"> </w:t>
            </w:r>
            <w:r>
              <w:rPr>
                <w:sz w:val="24"/>
              </w:rPr>
              <w:t>routine</w:t>
            </w:r>
            <w:r>
              <w:rPr>
                <w:spacing w:val="-1"/>
                <w:sz w:val="24"/>
              </w:rPr>
              <w:t xml:space="preserve"> </w:t>
            </w:r>
            <w:r>
              <w:rPr>
                <w:sz w:val="24"/>
              </w:rPr>
              <w:t>(UTR)</w:t>
            </w:r>
          </w:p>
        </w:tc>
      </w:tr>
      <w:tr w14:paraId="3C8D9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2206" w:type="dxa"/>
          </w:tcPr>
          <w:p w14:paraId="010B2E69">
            <w:pPr>
              <w:pStyle w:val="13"/>
              <w:spacing w:before="94"/>
              <w:ind w:left="112"/>
              <w:jc w:val="left"/>
              <w:rPr>
                <w:b/>
                <w:sz w:val="24"/>
              </w:rPr>
            </w:pPr>
            <w:r>
              <w:rPr>
                <w:b/>
                <w:sz w:val="24"/>
              </w:rPr>
              <w:t>Outcome</w:t>
            </w:r>
          </w:p>
        </w:tc>
        <w:tc>
          <w:tcPr>
            <w:tcW w:w="6306" w:type="dxa"/>
          </w:tcPr>
          <w:p w14:paraId="4A01BCA9">
            <w:pPr>
              <w:pStyle w:val="13"/>
              <w:spacing w:before="85"/>
              <w:ind w:left="110"/>
              <w:jc w:val="left"/>
              <w:rPr>
                <w:sz w:val="24"/>
              </w:rPr>
            </w:pPr>
            <w:r>
              <w:rPr>
                <w:sz w:val="24"/>
              </w:rPr>
              <w:t>Count of</w:t>
            </w:r>
            <w:r>
              <w:rPr>
                <w:spacing w:val="-15"/>
                <w:sz w:val="24"/>
              </w:rPr>
              <w:t xml:space="preserve"> </w:t>
            </w:r>
            <w:r>
              <w:rPr>
                <w:rFonts w:hint="eastAsia" w:eastAsia="宋体"/>
                <w:spacing w:val="-15"/>
                <w:sz w:val="24"/>
                <w:lang w:val="en-US" w:eastAsia="zh-CN"/>
              </w:rPr>
              <w:t>hamstring</w:t>
            </w:r>
            <w:r>
              <w:rPr>
                <w:spacing w:val="-17"/>
                <w:sz w:val="24"/>
              </w:rPr>
              <w:t xml:space="preserve"> </w:t>
            </w:r>
            <w:r>
              <w:rPr>
                <w:sz w:val="24"/>
              </w:rPr>
              <w:t>injuries and</w:t>
            </w:r>
            <w:r>
              <w:rPr>
                <w:spacing w:val="1"/>
                <w:sz w:val="24"/>
              </w:rPr>
              <w:t xml:space="preserve"> </w:t>
            </w:r>
            <w:r>
              <w:rPr>
                <w:sz w:val="24"/>
              </w:rPr>
              <w:t>exposure</w:t>
            </w:r>
            <w:r>
              <w:rPr>
                <w:spacing w:val="-3"/>
                <w:sz w:val="24"/>
              </w:rPr>
              <w:t xml:space="preserve"> </w:t>
            </w:r>
            <w:r>
              <w:rPr>
                <w:sz w:val="24"/>
              </w:rPr>
              <w:t>hours</w:t>
            </w:r>
          </w:p>
        </w:tc>
      </w:tr>
      <w:tr w14:paraId="737E8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trPr>
        <w:tc>
          <w:tcPr>
            <w:tcW w:w="2206" w:type="dxa"/>
          </w:tcPr>
          <w:p w14:paraId="3D672D6A">
            <w:pPr>
              <w:pStyle w:val="13"/>
              <w:spacing w:before="97"/>
              <w:ind w:left="112"/>
              <w:jc w:val="left"/>
              <w:rPr>
                <w:b/>
                <w:sz w:val="24"/>
              </w:rPr>
            </w:pPr>
            <w:r>
              <w:rPr>
                <w:b/>
                <w:sz w:val="24"/>
              </w:rPr>
              <w:t>Study</w:t>
            </w:r>
            <w:r>
              <w:rPr>
                <w:b/>
                <w:spacing w:val="-3"/>
                <w:sz w:val="24"/>
              </w:rPr>
              <w:t xml:space="preserve"> </w:t>
            </w:r>
            <w:r>
              <w:rPr>
                <w:b/>
                <w:sz w:val="24"/>
              </w:rPr>
              <w:t>design</w:t>
            </w:r>
          </w:p>
        </w:tc>
        <w:tc>
          <w:tcPr>
            <w:tcW w:w="6306" w:type="dxa"/>
          </w:tcPr>
          <w:p w14:paraId="78BF1C17">
            <w:pPr>
              <w:pStyle w:val="13"/>
              <w:spacing w:before="88"/>
              <w:ind w:left="110"/>
              <w:jc w:val="left"/>
              <w:rPr>
                <w:sz w:val="24"/>
              </w:rPr>
            </w:pPr>
            <w:r>
              <w:rPr>
                <w:sz w:val="24"/>
              </w:rPr>
              <w:t>Randomized</w:t>
            </w:r>
            <w:r>
              <w:rPr>
                <w:spacing w:val="-1"/>
                <w:sz w:val="24"/>
              </w:rPr>
              <w:t xml:space="preserve"> </w:t>
            </w:r>
            <w:r>
              <w:rPr>
                <w:sz w:val="24"/>
              </w:rPr>
              <w:t>controlled</w:t>
            </w:r>
            <w:r>
              <w:rPr>
                <w:spacing w:val="-1"/>
                <w:sz w:val="24"/>
              </w:rPr>
              <w:t xml:space="preserve"> </w:t>
            </w:r>
            <w:r>
              <w:rPr>
                <w:sz w:val="24"/>
              </w:rPr>
              <w:t>trials</w:t>
            </w:r>
            <w:r>
              <w:rPr>
                <w:spacing w:val="-1"/>
                <w:sz w:val="24"/>
              </w:rPr>
              <w:t xml:space="preserve"> </w:t>
            </w:r>
            <w:r>
              <w:rPr>
                <w:sz w:val="24"/>
              </w:rPr>
              <w:t>(RCTs)</w:t>
            </w:r>
          </w:p>
        </w:tc>
      </w:tr>
    </w:tbl>
    <w:p w14:paraId="335A924F">
      <w:pPr>
        <w:rPr>
          <w:sz w:val="24"/>
        </w:rPr>
        <w:sectPr>
          <w:pgSz w:w="11920" w:h="16850"/>
          <w:pgMar w:top="1220" w:right="560" w:bottom="280" w:left="700" w:header="720" w:footer="720" w:gutter="0"/>
          <w:cols w:space="720" w:num="1"/>
        </w:sectPr>
      </w:pPr>
    </w:p>
    <w:p w14:paraId="3042F124">
      <w:pPr>
        <w:pStyle w:val="2"/>
        <w:ind w:left="0" w:leftChars="0" w:firstLine="0" w:firstLineChars="0"/>
        <w:jc w:val="center"/>
        <w:rPr>
          <w:rFonts w:ascii="Times New Roman" w:hAnsi="Times New Roman" w:eastAsia="Times New Roman" w:cs="Times New Roman"/>
          <w:b w:val="0"/>
          <w:bCs w:val="0"/>
          <w:sz w:val="24"/>
          <w:szCs w:val="22"/>
          <w:lang w:val="en-US" w:eastAsia="en-US"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3.</w:t>
      </w:r>
      <w:r>
        <w:rPr>
          <w:sz w:val="24"/>
        </w:rPr>
        <w:t xml:space="preserve"> </w:t>
      </w:r>
      <w:r>
        <w:rPr>
          <w:rFonts w:ascii="Times New Roman" w:hAnsi="Times New Roman" w:eastAsia="Times New Roman" w:cs="Times New Roman"/>
          <w:b w:val="0"/>
          <w:bCs w:val="0"/>
          <w:sz w:val="24"/>
          <w:szCs w:val="22"/>
          <w:lang w:val="en-US" w:eastAsia="en-US" w:bidi="ar-SA"/>
        </w:rPr>
        <w:t>Injury definitions used in the included studies</w:t>
      </w:r>
    </w:p>
    <w:p w14:paraId="74C914F2">
      <w:pPr>
        <w:pStyle w:val="2"/>
        <w:ind w:left="0" w:leftChars="0" w:firstLine="0" w:firstLineChars="0"/>
        <w:jc w:val="center"/>
        <w:rPr>
          <w:rFonts w:ascii="Times New Roman" w:hAnsi="Times New Roman" w:eastAsia="Times New Roman" w:cs="Times New Roman"/>
          <w:b w:val="0"/>
          <w:bCs w:val="0"/>
          <w:sz w:val="24"/>
          <w:szCs w:val="22"/>
          <w:lang w:val="en-US" w:eastAsia="en-US" w:bidi="ar-SA"/>
        </w:rPr>
      </w:pPr>
    </w:p>
    <w:tbl>
      <w:tblPr>
        <w:tblStyle w:val="8"/>
        <w:tblpPr w:leftFromText="180" w:rightFromText="180" w:vertAnchor="text" w:horzAnchor="page" w:tblpX="693" w:tblpY="265"/>
        <w:tblOverlap w:val="never"/>
        <w:tblW w:w="10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3384"/>
        <w:gridCol w:w="1954"/>
        <w:gridCol w:w="1687"/>
        <w:gridCol w:w="1952"/>
      </w:tblGrid>
      <w:tr w14:paraId="7F56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899" w:type="dxa"/>
            <w:tcBorders>
              <w:top w:val="single" w:color="000000" w:sz="12" w:space="0"/>
              <w:left w:val="nil"/>
              <w:bottom w:val="single" w:color="000000" w:sz="4" w:space="0"/>
              <w:right w:val="nil"/>
              <w:tl2br w:val="nil"/>
            </w:tcBorders>
            <w:shd w:val="clear" w:color="auto" w:fill="FFFFFF"/>
            <w:vAlign w:val="center"/>
          </w:tcPr>
          <w:p w14:paraId="3D4FA35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bCs/>
                <w:i w:val="0"/>
                <w:color w:val="000000"/>
                <w:kern w:val="0"/>
                <w:sz w:val="20"/>
                <w:szCs w:val="20"/>
                <w:lang w:val="en-US" w:eastAsia="zh-CN" w:bidi="ar"/>
              </w:rPr>
              <w:t>Study</w:t>
            </w:r>
          </w:p>
        </w:tc>
        <w:tc>
          <w:tcPr>
            <w:tcW w:w="3384" w:type="dxa"/>
            <w:tcBorders>
              <w:top w:val="single" w:color="000000" w:sz="12" w:space="0"/>
              <w:left w:val="nil"/>
              <w:bottom w:val="single" w:color="000000" w:sz="4" w:space="0"/>
              <w:right w:val="nil"/>
            </w:tcBorders>
            <w:shd w:val="clear" w:color="auto" w:fill="FFFFFF"/>
            <w:vAlign w:val="center"/>
          </w:tcPr>
          <w:p w14:paraId="799A6AE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bCs/>
                <w:i w:val="0"/>
                <w:color w:val="000000"/>
                <w:kern w:val="0"/>
                <w:sz w:val="20"/>
                <w:szCs w:val="20"/>
                <w:lang w:val="en-US" w:eastAsia="zh-CN" w:bidi="ar"/>
              </w:rPr>
              <w:t>Injury definition as reported</w:t>
            </w:r>
          </w:p>
        </w:tc>
        <w:tc>
          <w:tcPr>
            <w:tcW w:w="1954" w:type="dxa"/>
            <w:tcBorders>
              <w:top w:val="single" w:color="000000" w:sz="12" w:space="0"/>
              <w:left w:val="nil"/>
              <w:bottom w:val="single" w:color="000000" w:sz="4" w:space="0"/>
              <w:right w:val="nil"/>
            </w:tcBorders>
            <w:shd w:val="clear" w:color="auto" w:fill="FFFFFF"/>
            <w:vAlign w:val="center"/>
          </w:tcPr>
          <w:p w14:paraId="495796B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bCs/>
                <w:i w:val="0"/>
                <w:color w:val="000000"/>
                <w:kern w:val="0"/>
                <w:sz w:val="20"/>
                <w:szCs w:val="20"/>
                <w:lang w:val="en-US" w:eastAsia="zh-CN" w:bidi="ar"/>
              </w:rPr>
              <w:t>Classification</w:t>
            </w:r>
          </w:p>
        </w:tc>
        <w:tc>
          <w:tcPr>
            <w:tcW w:w="1687" w:type="dxa"/>
            <w:tcBorders>
              <w:top w:val="single" w:color="000000" w:sz="12" w:space="0"/>
              <w:left w:val="nil"/>
              <w:bottom w:val="single" w:color="000000" w:sz="4" w:space="0"/>
              <w:right w:val="nil"/>
            </w:tcBorders>
            <w:shd w:val="clear" w:color="auto" w:fill="FFFFFF"/>
            <w:vAlign w:val="center"/>
          </w:tcPr>
          <w:p w14:paraId="55BA3A5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bCs/>
                <w:i w:val="0"/>
                <w:color w:val="000000"/>
                <w:kern w:val="0"/>
                <w:sz w:val="20"/>
                <w:szCs w:val="20"/>
                <w:lang w:val="en-US" w:eastAsia="zh-CN" w:bidi="ar"/>
              </w:rPr>
              <w:t>Included in sensitivity check</w:t>
            </w:r>
          </w:p>
        </w:tc>
        <w:tc>
          <w:tcPr>
            <w:tcW w:w="1952" w:type="dxa"/>
            <w:tcBorders>
              <w:top w:val="single" w:color="000000" w:sz="12" w:space="0"/>
              <w:left w:val="nil"/>
              <w:bottom w:val="single" w:color="000000" w:sz="4" w:space="0"/>
              <w:right w:val="nil"/>
            </w:tcBorders>
            <w:shd w:val="clear" w:color="auto" w:fill="FFFFFF"/>
            <w:vAlign w:val="center"/>
          </w:tcPr>
          <w:p w14:paraId="45FD371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bCs/>
                <w:i w:val="0"/>
                <w:color w:val="000000"/>
                <w:kern w:val="0"/>
                <w:sz w:val="20"/>
                <w:szCs w:val="20"/>
                <w:lang w:val="en-US" w:eastAsia="zh-CN" w:bidi="ar"/>
              </w:rPr>
              <w:t>Reason</w:t>
            </w:r>
          </w:p>
        </w:tc>
      </w:tr>
      <w:tr w14:paraId="6593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single" w:color="000000" w:sz="4" w:space="0"/>
              <w:left w:val="nil"/>
              <w:bottom w:val="nil"/>
              <w:right w:val="nil"/>
            </w:tcBorders>
            <w:shd w:val="clear" w:color="auto" w:fill="FFFFFF"/>
            <w:vAlign w:val="center"/>
          </w:tcPr>
          <w:p w14:paraId="67749A5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Hasebe et al. (2020)</w:t>
            </w:r>
          </w:p>
        </w:tc>
        <w:tc>
          <w:tcPr>
            <w:tcW w:w="3384" w:type="dxa"/>
            <w:tcBorders>
              <w:top w:val="single" w:color="000000" w:sz="4" w:space="0"/>
              <w:left w:val="nil"/>
              <w:bottom w:val="nil"/>
              <w:right w:val="nil"/>
            </w:tcBorders>
            <w:shd w:val="clear" w:color="auto" w:fill="FFFFFF"/>
            <w:vAlign w:val="center"/>
          </w:tcPr>
          <w:p w14:paraId="0CE5675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Pain in posterior thigh regardless of time loss or treatment</w:t>
            </w:r>
          </w:p>
        </w:tc>
        <w:tc>
          <w:tcPr>
            <w:tcW w:w="1954" w:type="dxa"/>
            <w:tcBorders>
              <w:top w:val="single" w:color="000000" w:sz="4" w:space="0"/>
              <w:left w:val="nil"/>
              <w:bottom w:val="nil"/>
              <w:right w:val="nil"/>
            </w:tcBorders>
            <w:shd w:val="clear" w:color="auto" w:fill="FFFFFF"/>
            <w:vAlign w:val="center"/>
          </w:tcPr>
          <w:p w14:paraId="6A612DB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Broad symptom-based</w:t>
            </w:r>
          </w:p>
        </w:tc>
        <w:tc>
          <w:tcPr>
            <w:tcW w:w="1687" w:type="dxa"/>
            <w:tcBorders>
              <w:top w:val="single" w:color="000000" w:sz="4" w:space="0"/>
              <w:left w:val="nil"/>
              <w:bottom w:val="nil"/>
              <w:right w:val="nil"/>
            </w:tcBorders>
            <w:shd w:val="clear" w:color="auto" w:fill="FFFFFF"/>
            <w:vAlign w:val="center"/>
          </w:tcPr>
          <w:p w14:paraId="144F4E8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w:t>
            </w:r>
          </w:p>
        </w:tc>
        <w:tc>
          <w:tcPr>
            <w:tcW w:w="1952" w:type="dxa"/>
            <w:tcBorders>
              <w:top w:val="single" w:color="000000" w:sz="4" w:space="0"/>
              <w:left w:val="nil"/>
              <w:bottom w:val="nil"/>
              <w:right w:val="nil"/>
            </w:tcBorders>
            <w:shd w:val="clear" w:color="auto" w:fill="FFFFFF"/>
            <w:vAlign w:val="center"/>
          </w:tcPr>
          <w:p w14:paraId="1981153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Not strict time-loss</w:t>
            </w:r>
          </w:p>
        </w:tc>
      </w:tr>
      <w:tr w14:paraId="251D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190D032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Al Attar et al. (2023)</w:t>
            </w:r>
          </w:p>
        </w:tc>
        <w:tc>
          <w:tcPr>
            <w:tcW w:w="3384" w:type="dxa"/>
            <w:tcBorders>
              <w:top w:val="nil"/>
              <w:left w:val="nil"/>
              <w:bottom w:val="nil"/>
              <w:right w:val="nil"/>
            </w:tcBorders>
            <w:shd w:val="clear" w:color="auto" w:fill="FFFFFF"/>
            <w:vAlign w:val="center"/>
          </w:tcPr>
          <w:p w14:paraId="218D3F1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Prevented participation in subsequent match/training</w:t>
            </w:r>
          </w:p>
        </w:tc>
        <w:tc>
          <w:tcPr>
            <w:tcW w:w="1954" w:type="dxa"/>
            <w:tcBorders>
              <w:top w:val="nil"/>
              <w:left w:val="nil"/>
              <w:bottom w:val="nil"/>
              <w:right w:val="nil"/>
            </w:tcBorders>
            <w:shd w:val="clear" w:color="auto" w:fill="FFFFFF"/>
            <w:vAlign w:val="center"/>
          </w:tcPr>
          <w:p w14:paraId="21D65BC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6644550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1061062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Fuller/time-loss compatible</w:t>
            </w:r>
          </w:p>
        </w:tc>
      </w:tr>
      <w:tr w14:paraId="0E80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1A689B2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Soligard et al. (2008)</w:t>
            </w:r>
          </w:p>
        </w:tc>
        <w:tc>
          <w:tcPr>
            <w:tcW w:w="3384" w:type="dxa"/>
            <w:tcBorders>
              <w:top w:val="nil"/>
              <w:left w:val="nil"/>
              <w:bottom w:val="nil"/>
              <w:right w:val="nil"/>
            </w:tcBorders>
            <w:shd w:val="clear" w:color="auto" w:fill="FFFFFF"/>
            <w:vAlign w:val="center"/>
          </w:tcPr>
          <w:p w14:paraId="4558D72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Unable to fully take part in next match/training</w:t>
            </w:r>
          </w:p>
        </w:tc>
        <w:tc>
          <w:tcPr>
            <w:tcW w:w="1954" w:type="dxa"/>
            <w:tcBorders>
              <w:top w:val="nil"/>
              <w:left w:val="nil"/>
              <w:bottom w:val="nil"/>
              <w:right w:val="nil"/>
            </w:tcBorders>
            <w:shd w:val="clear" w:color="auto" w:fill="FFFFFF"/>
            <w:vAlign w:val="center"/>
          </w:tcPr>
          <w:p w14:paraId="69B7E9C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2AEDD18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7D13A95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Fuller/time-loss compatible</w:t>
            </w:r>
          </w:p>
        </w:tc>
      </w:tr>
      <w:tr w14:paraId="4A62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19D3EAE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Steffen et al. (2008)</w:t>
            </w:r>
          </w:p>
        </w:tc>
        <w:tc>
          <w:tcPr>
            <w:tcW w:w="3384" w:type="dxa"/>
            <w:tcBorders>
              <w:top w:val="nil"/>
              <w:left w:val="nil"/>
              <w:bottom w:val="nil"/>
              <w:right w:val="nil"/>
            </w:tcBorders>
            <w:shd w:val="clear" w:color="auto" w:fill="FFFFFF"/>
            <w:vAlign w:val="center"/>
          </w:tcPr>
          <w:p w14:paraId="75FCC52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Unable to fully take part in next match/training</w:t>
            </w:r>
          </w:p>
        </w:tc>
        <w:tc>
          <w:tcPr>
            <w:tcW w:w="1954" w:type="dxa"/>
            <w:tcBorders>
              <w:top w:val="nil"/>
              <w:left w:val="nil"/>
              <w:bottom w:val="nil"/>
              <w:right w:val="nil"/>
            </w:tcBorders>
            <w:shd w:val="clear" w:color="auto" w:fill="FFFFFF"/>
            <w:vAlign w:val="center"/>
          </w:tcPr>
          <w:p w14:paraId="73FACF8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2789A27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184EE6E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Fuller/time-loss compatible</w:t>
            </w:r>
          </w:p>
        </w:tc>
      </w:tr>
      <w:tr w14:paraId="3BDD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4A1011A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Van de Hoef et al. (2019)</w:t>
            </w:r>
          </w:p>
        </w:tc>
        <w:tc>
          <w:tcPr>
            <w:tcW w:w="3384" w:type="dxa"/>
            <w:tcBorders>
              <w:top w:val="nil"/>
              <w:left w:val="nil"/>
              <w:bottom w:val="nil"/>
              <w:right w:val="nil"/>
            </w:tcBorders>
            <w:shd w:val="clear" w:color="auto" w:fill="FFFFFF"/>
            <w:vAlign w:val="center"/>
          </w:tcPr>
          <w:p w14:paraId="3828A10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 hamstring injury</w:t>
            </w:r>
          </w:p>
        </w:tc>
        <w:tc>
          <w:tcPr>
            <w:tcW w:w="1954" w:type="dxa"/>
            <w:tcBorders>
              <w:top w:val="nil"/>
              <w:left w:val="nil"/>
              <w:bottom w:val="nil"/>
              <w:right w:val="nil"/>
            </w:tcBorders>
            <w:shd w:val="clear" w:color="auto" w:fill="FFFFFF"/>
            <w:vAlign w:val="center"/>
          </w:tcPr>
          <w:p w14:paraId="7C271ED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610953B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49FA7EE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 hamstring outcome</w:t>
            </w:r>
          </w:p>
        </w:tc>
      </w:tr>
      <w:tr w14:paraId="40D6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5F04110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Van der Horst et al. (2015)</w:t>
            </w:r>
          </w:p>
        </w:tc>
        <w:tc>
          <w:tcPr>
            <w:tcW w:w="3384" w:type="dxa"/>
            <w:tcBorders>
              <w:top w:val="nil"/>
              <w:left w:val="nil"/>
              <w:bottom w:val="nil"/>
              <w:right w:val="nil"/>
            </w:tcBorders>
            <w:shd w:val="clear" w:color="auto" w:fill="FFFFFF"/>
            <w:vAlign w:val="center"/>
          </w:tcPr>
          <w:p w14:paraId="646BD14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Any posterior thigh complaint irrespective of medical attention or time loss</w:t>
            </w:r>
          </w:p>
        </w:tc>
        <w:tc>
          <w:tcPr>
            <w:tcW w:w="1954" w:type="dxa"/>
            <w:tcBorders>
              <w:top w:val="nil"/>
              <w:left w:val="nil"/>
              <w:bottom w:val="nil"/>
              <w:right w:val="nil"/>
            </w:tcBorders>
            <w:shd w:val="clear" w:color="auto" w:fill="FFFFFF"/>
            <w:vAlign w:val="center"/>
          </w:tcPr>
          <w:p w14:paraId="6CE6CF9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Broad physical complaint</w:t>
            </w:r>
          </w:p>
        </w:tc>
        <w:tc>
          <w:tcPr>
            <w:tcW w:w="1687" w:type="dxa"/>
            <w:tcBorders>
              <w:top w:val="nil"/>
              <w:left w:val="nil"/>
              <w:bottom w:val="nil"/>
              <w:right w:val="nil"/>
            </w:tcBorders>
            <w:shd w:val="clear" w:color="auto" w:fill="FFFFFF"/>
            <w:vAlign w:val="center"/>
          </w:tcPr>
          <w:p w14:paraId="21814F6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w:t>
            </w:r>
          </w:p>
        </w:tc>
        <w:tc>
          <w:tcPr>
            <w:tcW w:w="1952" w:type="dxa"/>
            <w:tcBorders>
              <w:top w:val="nil"/>
              <w:left w:val="nil"/>
              <w:bottom w:val="nil"/>
              <w:right w:val="nil"/>
            </w:tcBorders>
            <w:shd w:val="clear" w:color="auto" w:fill="FFFFFF"/>
            <w:vAlign w:val="center"/>
          </w:tcPr>
          <w:p w14:paraId="0E4DCCA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Not strict time-loss</w:t>
            </w:r>
          </w:p>
        </w:tc>
      </w:tr>
      <w:tr w14:paraId="5255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6A1FD20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Engebretsen et al. (2008)</w:t>
            </w:r>
          </w:p>
        </w:tc>
        <w:tc>
          <w:tcPr>
            <w:tcW w:w="3384" w:type="dxa"/>
            <w:tcBorders>
              <w:top w:val="nil"/>
              <w:left w:val="nil"/>
              <w:bottom w:val="nil"/>
              <w:right w:val="nil"/>
            </w:tcBorders>
            <w:shd w:val="clear" w:color="auto" w:fill="FFFFFF"/>
            <w:vAlign w:val="center"/>
          </w:tcPr>
          <w:p w14:paraId="0EB37C1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Unable to take full part in future training or match play</w:t>
            </w:r>
          </w:p>
        </w:tc>
        <w:tc>
          <w:tcPr>
            <w:tcW w:w="1954" w:type="dxa"/>
            <w:tcBorders>
              <w:top w:val="nil"/>
              <w:left w:val="nil"/>
              <w:bottom w:val="nil"/>
              <w:right w:val="nil"/>
            </w:tcBorders>
            <w:shd w:val="clear" w:color="auto" w:fill="FFFFFF"/>
            <w:vAlign w:val="center"/>
          </w:tcPr>
          <w:p w14:paraId="52387B1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6267318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727A6CF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Fuller/time-loss compatible</w:t>
            </w:r>
          </w:p>
        </w:tc>
      </w:tr>
      <w:tr w14:paraId="345B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6A7F44C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Van Beijsterveldt et al. (2012)</w:t>
            </w:r>
          </w:p>
        </w:tc>
        <w:tc>
          <w:tcPr>
            <w:tcW w:w="3384" w:type="dxa"/>
            <w:tcBorders>
              <w:top w:val="nil"/>
              <w:left w:val="nil"/>
              <w:bottom w:val="nil"/>
              <w:right w:val="nil"/>
            </w:tcBorders>
            <w:shd w:val="clear" w:color="auto" w:fill="FFFFFF"/>
            <w:vAlign w:val="center"/>
          </w:tcPr>
          <w:p w14:paraId="631B2E1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Consensus-based injury recording; 0-day injuries reported</w:t>
            </w:r>
          </w:p>
        </w:tc>
        <w:tc>
          <w:tcPr>
            <w:tcW w:w="1954" w:type="dxa"/>
            <w:tcBorders>
              <w:top w:val="nil"/>
              <w:left w:val="nil"/>
              <w:bottom w:val="nil"/>
              <w:right w:val="nil"/>
            </w:tcBorders>
            <w:shd w:val="clear" w:color="auto" w:fill="FFFFFF"/>
            <w:vAlign w:val="center"/>
          </w:tcPr>
          <w:p w14:paraId="2F34646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Broad/unclear Fuller-based</w:t>
            </w:r>
          </w:p>
        </w:tc>
        <w:tc>
          <w:tcPr>
            <w:tcW w:w="1687" w:type="dxa"/>
            <w:tcBorders>
              <w:top w:val="nil"/>
              <w:left w:val="nil"/>
              <w:bottom w:val="nil"/>
              <w:right w:val="nil"/>
            </w:tcBorders>
            <w:shd w:val="clear" w:color="auto" w:fill="FFFFFF"/>
            <w:vAlign w:val="center"/>
          </w:tcPr>
          <w:p w14:paraId="465B6DF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w:t>
            </w:r>
          </w:p>
        </w:tc>
        <w:tc>
          <w:tcPr>
            <w:tcW w:w="1952" w:type="dxa"/>
            <w:tcBorders>
              <w:top w:val="nil"/>
              <w:left w:val="nil"/>
              <w:bottom w:val="nil"/>
              <w:right w:val="nil"/>
            </w:tcBorders>
            <w:shd w:val="clear" w:color="auto" w:fill="FFFFFF"/>
            <w:vAlign w:val="center"/>
          </w:tcPr>
          <w:p w14:paraId="38503F7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Not strict time-loss</w:t>
            </w:r>
          </w:p>
        </w:tc>
      </w:tr>
      <w:tr w14:paraId="7F39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nil"/>
              <w:right w:val="nil"/>
            </w:tcBorders>
            <w:shd w:val="clear" w:color="auto" w:fill="FFFFFF"/>
            <w:vAlign w:val="center"/>
          </w:tcPr>
          <w:p w14:paraId="46602E8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Owoeye et al. (2014)</w:t>
            </w:r>
          </w:p>
        </w:tc>
        <w:tc>
          <w:tcPr>
            <w:tcW w:w="3384" w:type="dxa"/>
            <w:tcBorders>
              <w:top w:val="nil"/>
              <w:left w:val="nil"/>
              <w:bottom w:val="nil"/>
              <w:right w:val="nil"/>
            </w:tcBorders>
            <w:shd w:val="clear" w:color="auto" w:fill="FFFFFF"/>
            <w:vAlign w:val="center"/>
          </w:tcPr>
          <w:p w14:paraId="7BDB8B7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Unable to fully participate in subsequent training or match</w:t>
            </w:r>
          </w:p>
        </w:tc>
        <w:tc>
          <w:tcPr>
            <w:tcW w:w="1954" w:type="dxa"/>
            <w:tcBorders>
              <w:top w:val="nil"/>
              <w:left w:val="nil"/>
              <w:bottom w:val="nil"/>
              <w:right w:val="nil"/>
            </w:tcBorders>
            <w:shd w:val="clear" w:color="auto" w:fill="FFFFFF"/>
            <w:vAlign w:val="center"/>
          </w:tcPr>
          <w:p w14:paraId="01FCD87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Time-loss</w:t>
            </w:r>
          </w:p>
        </w:tc>
        <w:tc>
          <w:tcPr>
            <w:tcW w:w="1687" w:type="dxa"/>
            <w:tcBorders>
              <w:top w:val="nil"/>
              <w:left w:val="nil"/>
              <w:bottom w:val="nil"/>
              <w:right w:val="nil"/>
            </w:tcBorders>
            <w:shd w:val="clear" w:color="auto" w:fill="FFFFFF"/>
            <w:vAlign w:val="center"/>
          </w:tcPr>
          <w:p w14:paraId="6928446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Yes</w:t>
            </w:r>
          </w:p>
        </w:tc>
        <w:tc>
          <w:tcPr>
            <w:tcW w:w="1952" w:type="dxa"/>
            <w:tcBorders>
              <w:top w:val="nil"/>
              <w:left w:val="nil"/>
              <w:bottom w:val="nil"/>
              <w:right w:val="nil"/>
            </w:tcBorders>
            <w:shd w:val="clear" w:color="auto" w:fill="FFFFFF"/>
            <w:vAlign w:val="center"/>
          </w:tcPr>
          <w:p w14:paraId="6AA7F40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Fuller/time-loss compatible</w:t>
            </w:r>
          </w:p>
        </w:tc>
      </w:tr>
      <w:tr w14:paraId="707C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899" w:type="dxa"/>
            <w:tcBorders>
              <w:top w:val="nil"/>
              <w:left w:val="nil"/>
              <w:bottom w:val="single" w:color="000000" w:sz="12" w:space="0"/>
              <w:right w:val="nil"/>
            </w:tcBorders>
            <w:shd w:val="clear" w:color="auto" w:fill="FFFFFF"/>
            <w:vAlign w:val="center"/>
          </w:tcPr>
          <w:p w14:paraId="7348F59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Silvers-Granelli et al. (2015)</w:t>
            </w:r>
          </w:p>
        </w:tc>
        <w:tc>
          <w:tcPr>
            <w:tcW w:w="3384" w:type="dxa"/>
            <w:tcBorders>
              <w:top w:val="nil"/>
              <w:left w:val="nil"/>
              <w:bottom w:val="single" w:color="000000" w:sz="12" w:space="0"/>
              <w:right w:val="nil"/>
            </w:tcBorders>
            <w:shd w:val="clear" w:color="auto" w:fill="FFFFFF"/>
            <w:vAlign w:val="center"/>
          </w:tcPr>
          <w:p w14:paraId="1B931BF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Any physical complaint irrespective of medical attention or time loss</w:t>
            </w:r>
          </w:p>
        </w:tc>
        <w:tc>
          <w:tcPr>
            <w:tcW w:w="1954" w:type="dxa"/>
            <w:tcBorders>
              <w:top w:val="nil"/>
              <w:left w:val="nil"/>
              <w:bottom w:val="single" w:color="000000" w:sz="12" w:space="0"/>
              <w:right w:val="nil"/>
            </w:tcBorders>
            <w:shd w:val="clear" w:color="auto" w:fill="FFFFFF"/>
            <w:vAlign w:val="center"/>
          </w:tcPr>
          <w:p w14:paraId="4F8235C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Broad physical complaint</w:t>
            </w:r>
          </w:p>
        </w:tc>
        <w:tc>
          <w:tcPr>
            <w:tcW w:w="1687" w:type="dxa"/>
            <w:tcBorders>
              <w:top w:val="nil"/>
              <w:left w:val="nil"/>
              <w:bottom w:val="single" w:color="000000" w:sz="12" w:space="0"/>
              <w:right w:val="nil"/>
            </w:tcBorders>
            <w:shd w:val="clear" w:color="auto" w:fill="FFFFFF"/>
            <w:vAlign w:val="center"/>
          </w:tcPr>
          <w:p w14:paraId="511FA4F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w:t>
            </w:r>
          </w:p>
        </w:tc>
        <w:tc>
          <w:tcPr>
            <w:tcW w:w="1952" w:type="dxa"/>
            <w:tcBorders>
              <w:top w:val="nil"/>
              <w:left w:val="nil"/>
              <w:bottom w:val="single" w:color="000000" w:sz="12" w:space="0"/>
              <w:right w:val="nil"/>
            </w:tcBorders>
            <w:shd w:val="clear" w:color="auto" w:fill="FFFFFF"/>
            <w:vAlign w:val="center"/>
          </w:tcPr>
          <w:p w14:paraId="60B49F8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0"/>
                <w:vertAlign w:val="baseline"/>
                <w:lang w:val="en-US" w:eastAsia="zh-CN" w:bidi="ar-SA"/>
              </w:rPr>
            </w:pPr>
            <w:r>
              <w:rPr>
                <w:rFonts w:hint="default" w:ascii="Times New Roman" w:hAnsi="Times New Roman" w:eastAsia="宋体" w:cs="Times New Roman"/>
                <w:b w:val="0"/>
                <w:i w:val="0"/>
                <w:color w:val="000000"/>
                <w:kern w:val="0"/>
                <w:sz w:val="20"/>
                <w:szCs w:val="20"/>
                <w:lang w:val="en-US" w:eastAsia="zh-CN" w:bidi="ar"/>
              </w:rPr>
              <w:t>Not strict time-loss</w:t>
            </w:r>
          </w:p>
        </w:tc>
      </w:tr>
    </w:tbl>
    <w:p w14:paraId="16C24E84">
      <w:pPr>
        <w:spacing w:before="76"/>
        <w:ind w:right="1692"/>
        <w:jc w:val="both"/>
        <w:rPr>
          <w:b/>
          <w:sz w:val="24"/>
        </w:rPr>
        <w:sectPr>
          <w:pgSz w:w="11920" w:h="16850"/>
          <w:pgMar w:top="1220" w:right="560" w:bottom="280" w:left="700" w:header="720" w:footer="720" w:gutter="0"/>
          <w:cols w:space="720" w:num="1"/>
        </w:sectPr>
      </w:pPr>
    </w:p>
    <w:p w14:paraId="0E15E1D2">
      <w:pPr>
        <w:spacing w:before="76"/>
        <w:ind w:right="1692"/>
        <w:jc w:val="center"/>
        <w:rPr>
          <w:sz w:val="24"/>
        </w:rPr>
      </w:pPr>
      <w:r>
        <w:rPr>
          <w:b/>
          <w:sz w:val="24"/>
        </w:rPr>
        <w:t>Supplementary</w:t>
      </w:r>
      <w:r>
        <w:rPr>
          <w:b/>
          <w:spacing w:val="-8"/>
          <w:sz w:val="24"/>
        </w:rPr>
        <w:t xml:space="preserve"> </w:t>
      </w:r>
      <w:r>
        <w:rPr>
          <w:b/>
          <w:sz w:val="24"/>
        </w:rPr>
        <w:t>Table</w:t>
      </w:r>
      <w:r>
        <w:rPr>
          <w:b/>
          <w:spacing w:val="-4"/>
          <w:sz w:val="24"/>
        </w:rPr>
        <w:t xml:space="preserve"> </w:t>
      </w:r>
      <w:r>
        <w:rPr>
          <w:rFonts w:hint="eastAsia" w:eastAsia="宋体"/>
          <w:b/>
          <w:spacing w:val="-4"/>
          <w:sz w:val="24"/>
          <w:lang w:val="en-US" w:eastAsia="zh-CN"/>
        </w:rPr>
        <w:t>4</w:t>
      </w:r>
      <w:r>
        <w:rPr>
          <w:b/>
          <w:sz w:val="24"/>
        </w:rPr>
        <w:t>.</w:t>
      </w:r>
      <w:r>
        <w:rPr>
          <w:b/>
          <w:spacing w:val="-6"/>
          <w:sz w:val="24"/>
        </w:rPr>
        <w:t xml:space="preserve"> </w:t>
      </w:r>
      <w:r>
        <w:rPr>
          <w:sz w:val="24"/>
        </w:rPr>
        <w:t>Risk</w:t>
      </w:r>
      <w:r>
        <w:rPr>
          <w:spacing w:val="-3"/>
          <w:sz w:val="24"/>
        </w:rPr>
        <w:t xml:space="preserve"> </w:t>
      </w:r>
      <w:r>
        <w:rPr>
          <w:sz w:val="24"/>
        </w:rPr>
        <w:t>of</w:t>
      </w:r>
      <w:r>
        <w:rPr>
          <w:spacing w:val="-4"/>
          <w:sz w:val="24"/>
        </w:rPr>
        <w:t xml:space="preserve"> </w:t>
      </w:r>
      <w:r>
        <w:rPr>
          <w:sz w:val="24"/>
        </w:rPr>
        <w:t>bias</w:t>
      </w:r>
      <w:r>
        <w:rPr>
          <w:spacing w:val="-5"/>
          <w:sz w:val="24"/>
        </w:rPr>
        <w:t xml:space="preserve"> </w:t>
      </w:r>
      <w:r>
        <w:rPr>
          <w:sz w:val="24"/>
        </w:rPr>
        <w:t>of</w:t>
      </w:r>
      <w:r>
        <w:rPr>
          <w:spacing w:val="-7"/>
          <w:sz w:val="24"/>
        </w:rPr>
        <w:t xml:space="preserve"> </w:t>
      </w:r>
      <w:r>
        <w:rPr>
          <w:sz w:val="24"/>
        </w:rPr>
        <w:t>included</w:t>
      </w:r>
      <w:r>
        <w:rPr>
          <w:spacing w:val="-4"/>
          <w:sz w:val="24"/>
        </w:rPr>
        <w:t xml:space="preserve"> </w:t>
      </w:r>
      <w:r>
        <w:rPr>
          <w:sz w:val="24"/>
        </w:rPr>
        <w:t>studies</w:t>
      </w:r>
      <w:r>
        <w:rPr>
          <w:spacing w:val="-3"/>
          <w:sz w:val="24"/>
        </w:rPr>
        <w:t xml:space="preserve"> </w:t>
      </w:r>
      <w:r>
        <w:rPr>
          <w:sz w:val="24"/>
        </w:rPr>
        <w:t>(</w:t>
      </w:r>
      <w:r>
        <w:rPr>
          <w:rFonts w:hint="eastAsia" w:eastAsia="宋体"/>
          <w:sz w:val="24"/>
          <w:lang w:val="en-US" w:eastAsia="zh-CN"/>
        </w:rPr>
        <w:t>RoB2</w:t>
      </w:r>
      <w:r>
        <w:rPr>
          <w:spacing w:val="-4"/>
          <w:sz w:val="24"/>
        </w:rPr>
        <w:t xml:space="preserve"> </w:t>
      </w:r>
      <w:r>
        <w:rPr>
          <w:sz w:val="24"/>
        </w:rPr>
        <w:t>scale)</w:t>
      </w:r>
    </w:p>
    <w:tbl>
      <w:tblPr>
        <w:tblStyle w:val="8"/>
        <w:tblpPr w:leftFromText="180" w:rightFromText="180" w:vertAnchor="text" w:horzAnchor="page" w:tblpXSpec="center" w:tblpY="17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1659"/>
        <w:gridCol w:w="1548"/>
        <w:gridCol w:w="1524"/>
        <w:gridCol w:w="1552"/>
        <w:gridCol w:w="1527"/>
        <w:gridCol w:w="1525"/>
      </w:tblGrid>
      <w:tr w14:paraId="5928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41" w:type="dxa"/>
            <w:vAlign w:val="center"/>
          </w:tcPr>
          <w:p w14:paraId="0755CA06">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Study (Author, Year)</w:t>
            </w:r>
          </w:p>
        </w:tc>
        <w:tc>
          <w:tcPr>
            <w:tcW w:w="1659" w:type="dxa"/>
            <w:vAlign w:val="center"/>
          </w:tcPr>
          <w:p w14:paraId="2D19CCF9">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Randomization process</w:t>
            </w:r>
          </w:p>
        </w:tc>
        <w:tc>
          <w:tcPr>
            <w:tcW w:w="1548" w:type="dxa"/>
            <w:vAlign w:val="center"/>
          </w:tcPr>
          <w:p w14:paraId="487E05E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Deviations from intended interventions</w:t>
            </w:r>
          </w:p>
        </w:tc>
        <w:tc>
          <w:tcPr>
            <w:tcW w:w="1524" w:type="dxa"/>
            <w:vAlign w:val="center"/>
          </w:tcPr>
          <w:p w14:paraId="4EC48B8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Missing outcome data</w:t>
            </w:r>
          </w:p>
        </w:tc>
        <w:tc>
          <w:tcPr>
            <w:tcW w:w="1552" w:type="dxa"/>
            <w:vAlign w:val="center"/>
          </w:tcPr>
          <w:p w14:paraId="158E9DB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Measurement of the outcome</w:t>
            </w:r>
          </w:p>
        </w:tc>
        <w:tc>
          <w:tcPr>
            <w:tcW w:w="1527" w:type="dxa"/>
            <w:vAlign w:val="center"/>
          </w:tcPr>
          <w:p w14:paraId="5F00512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Selection of the reported result</w:t>
            </w:r>
          </w:p>
        </w:tc>
        <w:tc>
          <w:tcPr>
            <w:tcW w:w="1525" w:type="dxa"/>
            <w:vAlign w:val="center"/>
          </w:tcPr>
          <w:p w14:paraId="3EA0EC9F">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b/>
                <w:bCs/>
                <w:i w:val="0"/>
                <w:iCs w:val="0"/>
                <w:color w:val="000000"/>
                <w:kern w:val="0"/>
                <w:sz w:val="18"/>
                <w:szCs w:val="18"/>
                <w:u w:val="none"/>
                <w:lang w:val="en-US" w:eastAsia="zh-CN" w:bidi="ar"/>
              </w:rPr>
              <w:t>Overall risk of bias</w:t>
            </w:r>
          </w:p>
        </w:tc>
      </w:tr>
      <w:tr w14:paraId="3F51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49957CB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 xml:space="preserve">Hasebe et al.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(2019)</w:t>
            </w:r>
          </w:p>
        </w:tc>
        <w:tc>
          <w:tcPr>
            <w:tcW w:w="1659" w:type="dxa"/>
            <w:shd w:val="clear" w:color="auto" w:fill="92D050"/>
            <w:vAlign w:val="center"/>
          </w:tcPr>
          <w:p w14:paraId="2C1EF90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7E1B539F">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D7D7D7" w:themeFill="background1" w:themeFillShade="D8"/>
            <w:vAlign w:val="center"/>
          </w:tcPr>
          <w:p w14:paraId="6DCE05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ascii="Times New Roman" w:hAnsi="Times New Roman" w:eastAsia="宋体" w:cs="Times New Roman"/>
                <w:i w:val="0"/>
                <w:iCs w:val="0"/>
                <w:color w:val="000000"/>
                <w:kern w:val="0"/>
                <w:sz w:val="18"/>
                <w:szCs w:val="18"/>
                <w:u w:val="none"/>
                <w:lang w:val="en-US" w:eastAsia="zh-CN" w:bidi="ar"/>
              </w:rPr>
              <w:t xml:space="preserve"> risk</w:t>
            </w:r>
          </w:p>
        </w:tc>
        <w:tc>
          <w:tcPr>
            <w:tcW w:w="1552" w:type="dxa"/>
            <w:shd w:val="clear" w:color="auto" w:fill="D7D7D7" w:themeFill="background1" w:themeFillShade="D8"/>
            <w:vAlign w:val="center"/>
          </w:tcPr>
          <w:p w14:paraId="7AECE9EB">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7" w:type="dxa"/>
            <w:shd w:val="clear" w:color="auto" w:fill="92D050"/>
            <w:vAlign w:val="center"/>
          </w:tcPr>
          <w:p w14:paraId="5F5310B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77973ECE">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388F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38D1CE48">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Al Attar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(2023)</w:t>
            </w:r>
          </w:p>
        </w:tc>
        <w:tc>
          <w:tcPr>
            <w:tcW w:w="1659" w:type="dxa"/>
            <w:shd w:val="clear" w:color="auto" w:fill="D7D7D7" w:themeFill="background1" w:themeFillShade="D8"/>
            <w:vAlign w:val="center"/>
          </w:tcPr>
          <w:p w14:paraId="44618F71">
            <w:pPr>
              <w:keepNext w:val="0"/>
              <w:keepLines w:val="0"/>
              <w:widowControl/>
              <w:suppressLineNumbers w:val="0"/>
              <w:jc w:val="center"/>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48" w:type="dxa"/>
            <w:shd w:val="clear" w:color="auto" w:fill="92D050"/>
            <w:vAlign w:val="center"/>
          </w:tcPr>
          <w:p w14:paraId="47A68D13">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D7D7D7" w:themeFill="background1" w:themeFillShade="D8"/>
            <w:vAlign w:val="center"/>
          </w:tcPr>
          <w:p w14:paraId="622570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ascii="Times New Roman" w:hAnsi="Times New Roman" w:eastAsia="宋体" w:cs="Times New Roman"/>
                <w:i w:val="0"/>
                <w:iCs w:val="0"/>
                <w:color w:val="000000"/>
                <w:kern w:val="0"/>
                <w:sz w:val="18"/>
                <w:szCs w:val="18"/>
                <w:u w:val="none"/>
                <w:lang w:val="en-US" w:eastAsia="zh-CN" w:bidi="ar"/>
              </w:rPr>
              <w:t xml:space="preserve"> risk</w:t>
            </w:r>
          </w:p>
        </w:tc>
        <w:tc>
          <w:tcPr>
            <w:tcW w:w="1552" w:type="dxa"/>
            <w:shd w:val="clear" w:color="auto" w:fill="92D050"/>
            <w:vAlign w:val="center"/>
          </w:tcPr>
          <w:p w14:paraId="0C284A7E">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D7D7D7" w:themeFill="background1" w:themeFillShade="D8"/>
            <w:vAlign w:val="center"/>
          </w:tcPr>
          <w:p w14:paraId="7292BFE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5" w:type="dxa"/>
            <w:shd w:val="clear" w:color="auto" w:fill="92D050"/>
            <w:vAlign w:val="center"/>
          </w:tcPr>
          <w:p w14:paraId="4914C819">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0575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0D70EE9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Soligard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(2008)</w:t>
            </w:r>
          </w:p>
        </w:tc>
        <w:tc>
          <w:tcPr>
            <w:tcW w:w="1659" w:type="dxa"/>
            <w:shd w:val="clear" w:color="auto" w:fill="92D050"/>
            <w:vAlign w:val="center"/>
          </w:tcPr>
          <w:p w14:paraId="08FF0AF6">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6E6EDC9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92D050"/>
            <w:vAlign w:val="center"/>
          </w:tcPr>
          <w:p w14:paraId="222F889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52" w:type="dxa"/>
            <w:shd w:val="clear" w:color="auto" w:fill="D7D7D7" w:themeFill="background1" w:themeFillShade="D8"/>
            <w:vAlign w:val="center"/>
          </w:tcPr>
          <w:p w14:paraId="20BE367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7" w:type="dxa"/>
            <w:shd w:val="clear" w:color="auto" w:fill="92D050"/>
            <w:vAlign w:val="center"/>
          </w:tcPr>
          <w:p w14:paraId="6EB02D79">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766D5FDB">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4B95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654EF3E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Steffen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(2008)</w:t>
            </w:r>
          </w:p>
        </w:tc>
        <w:tc>
          <w:tcPr>
            <w:tcW w:w="1659" w:type="dxa"/>
            <w:shd w:val="clear" w:color="auto" w:fill="92D050"/>
            <w:vAlign w:val="center"/>
          </w:tcPr>
          <w:p w14:paraId="5C4DB38C">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5FEA3F7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92D050"/>
            <w:vAlign w:val="center"/>
          </w:tcPr>
          <w:p w14:paraId="519A90F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52" w:type="dxa"/>
            <w:shd w:val="clear" w:color="auto" w:fill="D7D7D7" w:themeFill="background1" w:themeFillShade="D8"/>
            <w:vAlign w:val="center"/>
          </w:tcPr>
          <w:p w14:paraId="2C9D19C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7" w:type="dxa"/>
            <w:shd w:val="clear" w:color="auto" w:fill="92D050"/>
            <w:vAlign w:val="center"/>
          </w:tcPr>
          <w:p w14:paraId="211D00D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2B523B0E">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22AB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37A30FC6">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van de Hoef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(2019)</w:t>
            </w:r>
          </w:p>
        </w:tc>
        <w:tc>
          <w:tcPr>
            <w:tcW w:w="1659" w:type="dxa"/>
            <w:shd w:val="clear" w:color="auto" w:fill="92D050"/>
            <w:vAlign w:val="center"/>
          </w:tcPr>
          <w:p w14:paraId="44A7316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3294359C">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FF0000"/>
            <w:vAlign w:val="center"/>
          </w:tcPr>
          <w:p w14:paraId="249197D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c>
          <w:tcPr>
            <w:tcW w:w="1552" w:type="dxa"/>
            <w:shd w:val="clear" w:color="auto" w:fill="D7D7D7" w:themeFill="background1" w:themeFillShade="D8"/>
            <w:vAlign w:val="center"/>
          </w:tcPr>
          <w:p w14:paraId="540FFAB2">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7" w:type="dxa"/>
            <w:shd w:val="clear" w:color="auto" w:fill="D7D7D7" w:themeFill="background1" w:themeFillShade="D8"/>
            <w:vAlign w:val="center"/>
          </w:tcPr>
          <w:p w14:paraId="0F314138">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5" w:type="dxa"/>
            <w:shd w:val="clear" w:color="auto" w:fill="FF0000"/>
            <w:vAlign w:val="center"/>
          </w:tcPr>
          <w:p w14:paraId="4F50E32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r>
      <w:tr w14:paraId="2CA5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4BEEF018">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van der Horst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(2015)</w:t>
            </w:r>
          </w:p>
        </w:tc>
        <w:tc>
          <w:tcPr>
            <w:tcW w:w="1659" w:type="dxa"/>
            <w:shd w:val="clear" w:color="auto" w:fill="92D050"/>
            <w:vAlign w:val="center"/>
          </w:tcPr>
          <w:p w14:paraId="39265364">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6F8DEC1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FF0000"/>
            <w:vAlign w:val="center"/>
          </w:tcPr>
          <w:p w14:paraId="43A36449">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c>
          <w:tcPr>
            <w:tcW w:w="1552" w:type="dxa"/>
            <w:shd w:val="clear" w:color="auto" w:fill="92D050"/>
            <w:vAlign w:val="center"/>
          </w:tcPr>
          <w:p w14:paraId="15C12FA3">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D7D7D7" w:themeFill="background1" w:themeFillShade="D8"/>
            <w:vAlign w:val="center"/>
          </w:tcPr>
          <w:p w14:paraId="4861101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5" w:type="dxa"/>
            <w:shd w:val="clear" w:color="auto" w:fill="FF0000"/>
            <w:vAlign w:val="center"/>
          </w:tcPr>
          <w:p w14:paraId="41B8797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r>
      <w:tr w14:paraId="359F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756011C1">
            <w:pPr>
              <w:keepNext w:val="0"/>
              <w:keepLines w:val="0"/>
              <w:widowControl/>
              <w:suppressLineNumbers w:val="0"/>
              <w:jc w:val="center"/>
              <w:textAlignment w:val="center"/>
              <w:rPr>
                <w:rFonts w:hint="default" w:ascii="Times New Roman" w:hAnsi="Times New Roman" w:cs="Times New Roman"/>
                <w:sz w:val="18"/>
                <w:szCs w:val="18"/>
                <w:vertAlign w:val="baseline"/>
              </w:rPr>
            </w:pPr>
            <w:r>
              <w:rPr>
                <w:rStyle w:val="14"/>
                <w:rFonts w:hint="default" w:ascii="Times New Roman" w:hAnsi="Times New Roman" w:eastAsia="宋体" w:cs="Times New Roman"/>
                <w:sz w:val="18"/>
                <w:szCs w:val="18"/>
                <w:lang w:val="en-US" w:eastAsia="zh-CN" w:bidi="ar"/>
              </w:rPr>
              <w:t xml:space="preserve">Engebretsen </w:t>
            </w:r>
            <w:r>
              <w:rPr>
                <w:rStyle w:val="15"/>
                <w:rFonts w:hint="default" w:ascii="Times New Roman" w:hAnsi="Times New Roman" w:eastAsia="宋体" w:cs="Times New Roman"/>
                <w:sz w:val="18"/>
                <w:szCs w:val="18"/>
                <w:lang w:val="en-US" w:eastAsia="zh-CN" w:bidi="ar"/>
              </w:rPr>
              <w:t>et al.</w:t>
            </w:r>
            <w:r>
              <w:rPr>
                <w:rStyle w:val="15"/>
                <w:rFonts w:hint="default" w:ascii="Times New Roman" w:hAnsi="Times New Roman" w:eastAsia="宋体" w:cs="Times New Roman"/>
                <w:sz w:val="18"/>
                <w:szCs w:val="18"/>
                <w:lang w:val="en-US" w:eastAsia="zh-CN" w:bidi="ar"/>
              </w:rPr>
              <w:br w:type="textWrapping"/>
            </w:r>
            <w:r>
              <w:rPr>
                <w:rStyle w:val="15"/>
                <w:rFonts w:hint="default" w:ascii="Times New Roman" w:hAnsi="Times New Roman" w:eastAsia="宋体" w:cs="Times New Roman"/>
                <w:sz w:val="18"/>
                <w:szCs w:val="18"/>
                <w:lang w:val="en-US" w:eastAsia="zh-CN" w:bidi="ar"/>
              </w:rPr>
              <w:t>(2008)</w:t>
            </w:r>
          </w:p>
        </w:tc>
        <w:tc>
          <w:tcPr>
            <w:tcW w:w="1659" w:type="dxa"/>
            <w:shd w:val="clear" w:color="auto" w:fill="92D050"/>
            <w:vAlign w:val="center"/>
          </w:tcPr>
          <w:p w14:paraId="2A72CC3E">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595514AC">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92D050"/>
            <w:vAlign w:val="center"/>
          </w:tcPr>
          <w:p w14:paraId="5C0B5E4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52" w:type="dxa"/>
            <w:shd w:val="clear" w:color="auto" w:fill="D7D7D7" w:themeFill="background1" w:themeFillShade="D8"/>
            <w:vAlign w:val="center"/>
          </w:tcPr>
          <w:p w14:paraId="09EBF304">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27" w:type="dxa"/>
            <w:shd w:val="clear" w:color="auto" w:fill="92D050"/>
            <w:vAlign w:val="center"/>
          </w:tcPr>
          <w:p w14:paraId="06A037D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4872FD02">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5E08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5409F0E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Silvers-Granelli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(2015)</w:t>
            </w:r>
          </w:p>
        </w:tc>
        <w:tc>
          <w:tcPr>
            <w:tcW w:w="1659" w:type="dxa"/>
            <w:shd w:val="clear" w:color="auto" w:fill="D7D7D7" w:themeFill="background1" w:themeFillShade="D8"/>
            <w:vAlign w:val="center"/>
          </w:tcPr>
          <w:p w14:paraId="78BE12C2">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48" w:type="dxa"/>
            <w:shd w:val="clear" w:color="auto" w:fill="92D050"/>
            <w:vAlign w:val="center"/>
          </w:tcPr>
          <w:p w14:paraId="5A76182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92D050"/>
            <w:vAlign w:val="center"/>
          </w:tcPr>
          <w:p w14:paraId="24E3C37B">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52" w:type="dxa"/>
            <w:shd w:val="clear" w:color="auto" w:fill="92D050"/>
            <w:vAlign w:val="center"/>
          </w:tcPr>
          <w:p w14:paraId="3205764F">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92D050"/>
            <w:vAlign w:val="center"/>
          </w:tcPr>
          <w:p w14:paraId="00C158B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1A76169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1A36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28FDD85C">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Van Beijsterveldt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(2012)</w:t>
            </w:r>
          </w:p>
        </w:tc>
        <w:tc>
          <w:tcPr>
            <w:tcW w:w="1659" w:type="dxa"/>
            <w:shd w:val="clear" w:color="auto" w:fill="FF0000"/>
            <w:vAlign w:val="center"/>
          </w:tcPr>
          <w:p w14:paraId="7F112B10">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c>
          <w:tcPr>
            <w:tcW w:w="1548" w:type="dxa"/>
            <w:shd w:val="clear" w:color="auto" w:fill="92D050"/>
            <w:vAlign w:val="center"/>
          </w:tcPr>
          <w:p w14:paraId="660EF73D">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D7D7D7" w:themeFill="background1" w:themeFillShade="D8"/>
            <w:vAlign w:val="center"/>
          </w:tcPr>
          <w:p w14:paraId="16EE1AC7">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52" w:type="dxa"/>
            <w:shd w:val="clear" w:color="auto" w:fill="92D050"/>
            <w:vAlign w:val="center"/>
          </w:tcPr>
          <w:p w14:paraId="66006EC3">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92D050"/>
            <w:vAlign w:val="center"/>
          </w:tcPr>
          <w:p w14:paraId="4183C32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FF0000"/>
            <w:vAlign w:val="center"/>
          </w:tcPr>
          <w:p w14:paraId="08B0513B">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High</w:t>
            </w:r>
            <w:r>
              <w:rPr>
                <w:rFonts w:hint="eastAsia" w:eastAsia="宋体" w:cs="Times New Roman"/>
                <w:i w:val="0"/>
                <w:iCs w:val="0"/>
                <w:color w:val="000000"/>
                <w:kern w:val="0"/>
                <w:sz w:val="18"/>
                <w:szCs w:val="18"/>
                <w:u w:val="none"/>
                <w:lang w:val="en-US" w:eastAsia="zh-CN" w:bidi="ar"/>
              </w:rPr>
              <w:t xml:space="preserve"> risk</w:t>
            </w:r>
          </w:p>
        </w:tc>
      </w:tr>
      <w:tr w14:paraId="2AC8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0E54D2B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Owoeye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(2014)</w:t>
            </w:r>
          </w:p>
        </w:tc>
        <w:tc>
          <w:tcPr>
            <w:tcW w:w="1659" w:type="dxa"/>
            <w:shd w:val="clear" w:color="auto" w:fill="92D050"/>
            <w:vAlign w:val="center"/>
          </w:tcPr>
          <w:p w14:paraId="5B708A72">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539A3711">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D7D7D7" w:themeFill="background1" w:themeFillShade="D8"/>
            <w:vAlign w:val="center"/>
          </w:tcPr>
          <w:p w14:paraId="5B8CABC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52" w:type="dxa"/>
            <w:shd w:val="clear" w:color="auto" w:fill="92D050"/>
            <w:vAlign w:val="center"/>
          </w:tcPr>
          <w:p w14:paraId="0A36157E">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92D050"/>
            <w:vAlign w:val="center"/>
          </w:tcPr>
          <w:p w14:paraId="4EC55A7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0362D88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r w14:paraId="4010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0396F936">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Hammes et al.</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(2015)</w:t>
            </w:r>
          </w:p>
        </w:tc>
        <w:tc>
          <w:tcPr>
            <w:tcW w:w="1659" w:type="dxa"/>
            <w:shd w:val="clear" w:color="auto" w:fill="92D050"/>
            <w:vAlign w:val="center"/>
          </w:tcPr>
          <w:p w14:paraId="3F7115C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48" w:type="dxa"/>
            <w:shd w:val="clear" w:color="auto" w:fill="92D050"/>
            <w:vAlign w:val="center"/>
          </w:tcPr>
          <w:p w14:paraId="6A084826">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4" w:type="dxa"/>
            <w:shd w:val="clear" w:color="auto" w:fill="D7D7D7" w:themeFill="background1" w:themeFillShade="D8"/>
            <w:vAlign w:val="center"/>
          </w:tcPr>
          <w:p w14:paraId="7B193DA5">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Low</w:t>
            </w:r>
            <w:r>
              <w:rPr>
                <w:rFonts w:hint="eastAsia" w:eastAsia="宋体" w:cs="Times New Roman"/>
                <w:i w:val="0"/>
                <w:iCs w:val="0"/>
                <w:color w:val="000000"/>
                <w:kern w:val="0"/>
                <w:sz w:val="18"/>
                <w:szCs w:val="18"/>
                <w:u w:val="none"/>
                <w:lang w:val="en-US" w:eastAsia="zh-CN" w:bidi="ar"/>
              </w:rPr>
              <w:t xml:space="preserve"> risk</w:t>
            </w:r>
          </w:p>
        </w:tc>
        <w:tc>
          <w:tcPr>
            <w:tcW w:w="1552" w:type="dxa"/>
            <w:shd w:val="clear" w:color="auto" w:fill="92D050"/>
            <w:vAlign w:val="center"/>
          </w:tcPr>
          <w:p w14:paraId="5F9DEE28">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7" w:type="dxa"/>
            <w:shd w:val="clear" w:color="auto" w:fill="92D050"/>
            <w:vAlign w:val="center"/>
          </w:tcPr>
          <w:p w14:paraId="66E08B9A">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c>
          <w:tcPr>
            <w:tcW w:w="1525" w:type="dxa"/>
            <w:shd w:val="clear" w:color="auto" w:fill="92D050"/>
            <w:vAlign w:val="center"/>
          </w:tcPr>
          <w:p w14:paraId="7B4361B4">
            <w:pPr>
              <w:keepNext w:val="0"/>
              <w:keepLines w:val="0"/>
              <w:widowControl/>
              <w:suppressLineNumbers w:val="0"/>
              <w:jc w:val="center"/>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Some concerns</w:t>
            </w:r>
          </w:p>
        </w:tc>
      </w:tr>
    </w:tbl>
    <w:p w14:paraId="412D8F38">
      <w:pPr>
        <w:rPr>
          <w:rFonts w:hint="default" w:eastAsia="宋体"/>
          <w:b w:val="0"/>
          <w:bCs w:val="0"/>
          <w:spacing w:val="-2"/>
          <w:sz w:val="18"/>
          <w:szCs w:val="18"/>
          <w:lang w:val="en-US" w:eastAsia="zh-CN"/>
        </w:rPr>
        <w:sectPr>
          <w:pgSz w:w="11920" w:h="16850"/>
          <w:pgMar w:top="1220" w:right="560" w:bottom="280" w:left="700" w:header="720" w:footer="720" w:gutter="0"/>
          <w:cols w:space="720" w:num="1"/>
        </w:sectPr>
      </w:pPr>
      <w:r>
        <w:rPr>
          <w:rFonts w:hint="default" w:ascii="Times New Roman" w:hAnsi="Times New Roman" w:eastAsia="宋体" w:cs="Times New Roman"/>
          <w:b/>
          <w:bCs/>
          <w:i w:val="0"/>
          <w:iCs w:val="0"/>
          <w:color w:val="000000"/>
          <w:kern w:val="0"/>
          <w:sz w:val="18"/>
          <w:szCs w:val="18"/>
          <w:u w:val="none"/>
          <w:lang w:val="en-US" w:eastAsia="zh-CN" w:bidi="ar"/>
        </w:rPr>
        <w:t>Randomization process</w:t>
      </w:r>
      <w:r>
        <w:rPr>
          <w:rFonts w:hint="eastAsia"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val="0"/>
          <w:bCs w:val="0"/>
          <w:i w:val="0"/>
          <w:iCs w:val="0"/>
          <w:color w:val="000000"/>
          <w:kern w:val="0"/>
          <w:sz w:val="18"/>
          <w:szCs w:val="18"/>
          <w:u w:val="none"/>
          <w:lang w:val="en-US" w:eastAsia="zh-CN" w:bidi="ar"/>
        </w:rPr>
        <w:t>Bias arising from the randomization process</w:t>
      </w:r>
      <w:r>
        <w:rPr>
          <w:rFonts w:hint="eastAsia" w:eastAsia="宋体" w:cs="Times New Roman"/>
          <w:b w:val="0"/>
          <w:bCs w:val="0"/>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Deviations from intended interventions</w:t>
      </w:r>
      <w:r>
        <w:rPr>
          <w:rFonts w:hint="eastAsia" w:eastAsia="宋体" w:cs="Times New Roman"/>
          <w:b/>
          <w:bCs/>
          <w:i w:val="0"/>
          <w:iCs w:val="0"/>
          <w:color w:val="000000"/>
          <w:kern w:val="0"/>
          <w:sz w:val="18"/>
          <w:szCs w:val="18"/>
          <w:u w:val="none"/>
          <w:lang w:val="en-US" w:eastAsia="zh-CN" w:bidi="ar"/>
        </w:rPr>
        <w:t xml:space="preserve">: </w:t>
      </w:r>
      <w:r>
        <w:rPr>
          <w:sz w:val="18"/>
          <w:szCs w:val="18"/>
        </w:rPr>
        <w:t>Bias due to deviations from intended interventions</w:t>
      </w:r>
      <w:r>
        <w:rPr>
          <w:rFonts w:hint="eastAsia" w:eastAsia="宋体"/>
          <w:sz w:val="18"/>
          <w:szCs w:val="18"/>
          <w:lang w:val="en-US" w:eastAsia="zh-CN"/>
        </w:rPr>
        <w:t xml:space="preserve">; </w:t>
      </w:r>
      <w:r>
        <w:rPr>
          <w:rFonts w:hint="default" w:ascii="Times New Roman" w:hAnsi="Times New Roman" w:eastAsia="宋体" w:cs="Times New Roman"/>
          <w:b/>
          <w:bCs/>
          <w:i w:val="0"/>
          <w:iCs w:val="0"/>
          <w:color w:val="000000"/>
          <w:kern w:val="0"/>
          <w:sz w:val="18"/>
          <w:szCs w:val="18"/>
          <w:u w:val="none"/>
          <w:lang w:val="en-US" w:eastAsia="zh-CN" w:bidi="ar"/>
        </w:rPr>
        <w:t>Missing outcome data</w:t>
      </w:r>
      <w:r>
        <w:rPr>
          <w:rFonts w:hint="eastAsia" w:eastAsia="宋体" w:cs="Times New Roman"/>
          <w:b/>
          <w:bCs/>
          <w:i w:val="0"/>
          <w:iCs w:val="0"/>
          <w:color w:val="000000"/>
          <w:kern w:val="0"/>
          <w:sz w:val="18"/>
          <w:szCs w:val="18"/>
          <w:u w:val="none"/>
          <w:lang w:val="en-US" w:eastAsia="zh-CN" w:bidi="ar"/>
        </w:rPr>
        <w:t xml:space="preserve">: </w:t>
      </w:r>
      <w:r>
        <w:rPr>
          <w:sz w:val="18"/>
          <w:szCs w:val="18"/>
        </w:rPr>
        <w:t>Bias due to missing outcome data</w:t>
      </w:r>
      <w:r>
        <w:rPr>
          <w:rFonts w:hint="eastAsia" w:eastAsia="宋体"/>
          <w:sz w:val="18"/>
          <w:szCs w:val="18"/>
          <w:lang w:val="en-US" w:eastAsia="zh-CN"/>
        </w:rPr>
        <w:t xml:space="preserve">; </w:t>
      </w:r>
      <w:r>
        <w:rPr>
          <w:rFonts w:hint="default" w:ascii="Times New Roman" w:hAnsi="Times New Roman" w:eastAsia="宋体" w:cs="Times New Roman"/>
          <w:b/>
          <w:bCs/>
          <w:i w:val="0"/>
          <w:iCs w:val="0"/>
          <w:color w:val="000000"/>
          <w:kern w:val="0"/>
          <w:sz w:val="18"/>
          <w:szCs w:val="18"/>
          <w:u w:val="none"/>
          <w:lang w:val="en-US" w:eastAsia="zh-CN" w:bidi="ar"/>
        </w:rPr>
        <w:t>Measurement of the outcome</w:t>
      </w:r>
      <w:r>
        <w:rPr>
          <w:rFonts w:hint="eastAsia" w:eastAsia="宋体" w:cs="Times New Roman"/>
          <w:b/>
          <w:bCs/>
          <w:i w:val="0"/>
          <w:iCs w:val="0"/>
          <w:color w:val="000000"/>
          <w:kern w:val="0"/>
          <w:sz w:val="18"/>
          <w:szCs w:val="18"/>
          <w:u w:val="none"/>
          <w:lang w:val="en-US" w:eastAsia="zh-CN" w:bidi="ar"/>
        </w:rPr>
        <w:t xml:space="preserve">: </w:t>
      </w:r>
      <w:r>
        <w:rPr>
          <w:sz w:val="18"/>
          <w:szCs w:val="18"/>
        </w:rPr>
        <w:t>Bias in measurement of the outcome</w:t>
      </w:r>
      <w:r>
        <w:rPr>
          <w:rFonts w:hint="eastAsia" w:eastAsia="宋体"/>
          <w:sz w:val="18"/>
          <w:szCs w:val="18"/>
          <w:lang w:val="en-US" w:eastAsia="zh-CN"/>
        </w:rPr>
        <w:t xml:space="preserve">; </w:t>
      </w:r>
      <w:r>
        <w:rPr>
          <w:rFonts w:hint="default" w:ascii="Times New Roman" w:hAnsi="Times New Roman" w:eastAsia="宋体" w:cs="Times New Roman"/>
          <w:b/>
          <w:bCs/>
          <w:i w:val="0"/>
          <w:iCs w:val="0"/>
          <w:color w:val="000000"/>
          <w:kern w:val="0"/>
          <w:sz w:val="18"/>
          <w:szCs w:val="18"/>
          <w:u w:val="none"/>
          <w:lang w:val="en-US" w:eastAsia="zh-CN" w:bidi="ar"/>
        </w:rPr>
        <w:t>Selection of the reported result</w:t>
      </w:r>
      <w:r>
        <w:rPr>
          <w:rFonts w:hint="eastAsia" w:eastAsia="宋体" w:cs="Times New Roman"/>
          <w:b/>
          <w:bCs/>
          <w:i w:val="0"/>
          <w:iCs w:val="0"/>
          <w:color w:val="000000"/>
          <w:kern w:val="0"/>
          <w:sz w:val="18"/>
          <w:szCs w:val="18"/>
          <w:u w:val="none"/>
          <w:lang w:val="en-US" w:eastAsia="zh-CN" w:bidi="ar"/>
        </w:rPr>
        <w:t xml:space="preserve">: </w:t>
      </w:r>
      <w:r>
        <w:rPr>
          <w:sz w:val="18"/>
          <w:szCs w:val="18"/>
        </w:rPr>
        <w:t>Bias in selection of the reported result</w:t>
      </w:r>
      <w:r>
        <w:rPr>
          <w:rFonts w:hint="eastAsia" w:eastAsia="宋体"/>
          <w:sz w:val="18"/>
          <w:szCs w:val="18"/>
          <w:lang w:val="en-US" w:eastAsia="zh-CN"/>
        </w:rPr>
        <w:t xml:space="preserve">; </w:t>
      </w:r>
      <w:r>
        <w:rPr>
          <w:b/>
          <w:bCs/>
          <w:sz w:val="18"/>
          <w:szCs w:val="18"/>
        </w:rPr>
        <w:t>Overall risk of bias</w:t>
      </w:r>
      <w:r>
        <w:rPr>
          <w:rFonts w:hint="eastAsia" w:eastAsia="宋体"/>
          <w:b/>
          <w:bCs/>
          <w:sz w:val="18"/>
          <w:szCs w:val="18"/>
          <w:lang w:val="en-US" w:eastAsia="zh-CN"/>
        </w:rPr>
        <w:t>:</w:t>
      </w:r>
      <w:r>
        <w:rPr>
          <w:rFonts w:hint="eastAsia" w:eastAsia="宋体"/>
          <w:sz w:val="18"/>
          <w:szCs w:val="18"/>
          <w:lang w:val="en-US" w:eastAsia="zh-CN"/>
        </w:rPr>
        <w:t xml:space="preserve"> </w:t>
      </w:r>
      <w:r>
        <w:rPr>
          <w:rFonts w:hint="eastAsia" w:eastAsia="宋体"/>
          <w:b w:val="0"/>
          <w:bCs w:val="0"/>
          <w:sz w:val="18"/>
          <w:szCs w:val="18"/>
          <w:lang w:val="en-US" w:eastAsia="zh-CN"/>
        </w:rPr>
        <w:t xml:space="preserve">Low risk = 5 Low risk; Some </w:t>
      </w:r>
      <w:r>
        <w:rPr>
          <w:rFonts w:hint="default" w:eastAsia="宋体"/>
          <w:b w:val="0"/>
          <w:bCs w:val="0"/>
          <w:sz w:val="18"/>
          <w:szCs w:val="18"/>
          <w:lang w:val="en-US" w:eastAsia="zh-CN"/>
        </w:rPr>
        <w:t>concerns</w:t>
      </w:r>
      <w:r>
        <w:rPr>
          <w:rFonts w:hint="eastAsia" w:eastAsia="宋体"/>
          <w:b w:val="0"/>
          <w:bCs w:val="0"/>
          <w:sz w:val="18"/>
          <w:szCs w:val="18"/>
          <w:lang w:val="en-US" w:eastAsia="zh-CN"/>
        </w:rPr>
        <w:t xml:space="preserve"> </w:t>
      </w:r>
      <w:r>
        <w:rPr>
          <w:b w:val="0"/>
          <w:bCs w:val="0"/>
          <w:sz w:val="18"/>
          <w:szCs w:val="18"/>
        </w:rPr>
        <w:t>≥</w:t>
      </w:r>
      <w:r>
        <w:rPr>
          <w:b w:val="0"/>
          <w:bCs w:val="0"/>
          <w:spacing w:val="-2"/>
          <w:sz w:val="18"/>
          <w:szCs w:val="18"/>
        </w:rPr>
        <w:t xml:space="preserve"> </w:t>
      </w:r>
      <w:r>
        <w:rPr>
          <w:rFonts w:hint="eastAsia" w:eastAsia="宋体"/>
          <w:b w:val="0"/>
          <w:bCs w:val="0"/>
          <w:spacing w:val="-2"/>
          <w:sz w:val="18"/>
          <w:szCs w:val="18"/>
          <w:lang w:val="en-US" w:eastAsia="zh-CN"/>
        </w:rPr>
        <w:t xml:space="preserve">1 Some concerns; High risk </w:t>
      </w:r>
      <w:r>
        <w:rPr>
          <w:b w:val="0"/>
          <w:bCs w:val="0"/>
          <w:sz w:val="18"/>
          <w:szCs w:val="18"/>
        </w:rPr>
        <w:t>≥</w:t>
      </w:r>
      <w:r>
        <w:rPr>
          <w:b w:val="0"/>
          <w:bCs w:val="0"/>
          <w:spacing w:val="-2"/>
          <w:sz w:val="18"/>
          <w:szCs w:val="18"/>
        </w:rPr>
        <w:t xml:space="preserve"> </w:t>
      </w:r>
      <w:r>
        <w:rPr>
          <w:rFonts w:hint="eastAsia" w:eastAsia="宋体"/>
          <w:b w:val="0"/>
          <w:bCs w:val="0"/>
          <w:spacing w:val="-2"/>
          <w:sz w:val="18"/>
          <w:szCs w:val="18"/>
          <w:lang w:val="en-US" w:eastAsia="zh-CN"/>
        </w:rPr>
        <w:t>1 High risk.</w:t>
      </w:r>
    </w:p>
    <w:p w14:paraId="2FC39CF9">
      <w:pPr>
        <w:tabs>
          <w:tab w:val="left" w:pos="3915"/>
        </w:tabs>
        <w:bidi w:val="0"/>
        <w:jc w:val="center"/>
        <w:rPr>
          <w:b w:val="0"/>
          <w:bCs/>
          <w:sz w:val="24"/>
        </w:rPr>
      </w:pPr>
      <w:r>
        <w:rPr>
          <w:b/>
          <w:sz w:val="24"/>
        </w:rPr>
        <w:t xml:space="preserve">Supplementary Table </w:t>
      </w:r>
      <w:r>
        <w:rPr>
          <w:rFonts w:hint="eastAsia" w:eastAsia="宋体"/>
          <w:b/>
          <w:sz w:val="24"/>
          <w:lang w:val="en-US" w:eastAsia="zh-CN"/>
        </w:rPr>
        <w:t xml:space="preserve">5. </w:t>
      </w:r>
      <w:r>
        <w:rPr>
          <w:b w:val="0"/>
          <w:bCs/>
          <w:sz w:val="24"/>
        </w:rPr>
        <w:t>Certainty-of-evidence assessment for the primary network estimates</w:t>
      </w:r>
    </w:p>
    <w:p w14:paraId="59605B7C">
      <w:pPr>
        <w:tabs>
          <w:tab w:val="left" w:pos="3915"/>
        </w:tabs>
        <w:bidi w:val="0"/>
        <w:jc w:val="both"/>
        <w:rPr>
          <w:rFonts w:hint="eastAsia" w:eastAsia="宋体" w:cs="Times New Roman"/>
          <w:sz w:val="20"/>
          <w:szCs w:val="20"/>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840"/>
        <w:gridCol w:w="1575"/>
        <w:gridCol w:w="1118"/>
        <w:gridCol w:w="1117"/>
        <w:gridCol w:w="1305"/>
        <w:gridCol w:w="1268"/>
        <w:gridCol w:w="1425"/>
        <w:gridCol w:w="1267"/>
        <w:gridCol w:w="1073"/>
        <w:gridCol w:w="3308"/>
      </w:tblGrid>
      <w:tr w14:paraId="7AD3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Borders>
              <w:top w:val="single" w:color="000000" w:sz="12" w:space="0"/>
              <w:left w:val="nil"/>
              <w:bottom w:val="single" w:color="000000" w:sz="4" w:space="0"/>
              <w:right w:val="nil"/>
              <w:tl2br w:val="nil"/>
            </w:tcBorders>
            <w:shd w:val="clear" w:color="auto" w:fill="FFFFFF"/>
            <w:vAlign w:val="center"/>
          </w:tcPr>
          <w:p w14:paraId="725E81C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Comparison</w:t>
            </w:r>
          </w:p>
        </w:tc>
        <w:tc>
          <w:tcPr>
            <w:tcW w:w="840" w:type="dxa"/>
            <w:tcBorders>
              <w:top w:val="single" w:color="000000" w:sz="12" w:space="0"/>
              <w:left w:val="nil"/>
              <w:bottom w:val="single" w:color="000000" w:sz="4" w:space="0"/>
              <w:right w:val="nil"/>
            </w:tcBorders>
            <w:shd w:val="clear" w:color="auto" w:fill="FFFFFF"/>
            <w:vAlign w:val="center"/>
          </w:tcPr>
          <w:p w14:paraId="7EA792F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Studies</w:t>
            </w:r>
            <w:r>
              <w:rPr>
                <w:rFonts w:hint="eastAsia" w:eastAsia="宋体" w:cs="Times New Roman"/>
                <w:b w:val="0"/>
                <w:bCs/>
                <w:color w:val="000000"/>
                <w:kern w:val="0"/>
                <w:sz w:val="20"/>
                <w:szCs w:val="20"/>
                <w:lang w:val="en-US" w:eastAsia="zh-CN" w:bidi="ar"/>
              </w:rPr>
              <w:t>(</w:t>
            </w:r>
            <w:r>
              <w:rPr>
                <w:rFonts w:hint="default" w:ascii="Times New Roman" w:hAnsi="Times New Roman" w:eastAsia="宋体" w:cs="Times New Roman"/>
                <w:b w:val="0"/>
                <w:bCs/>
                <w:color w:val="000000"/>
                <w:kern w:val="0"/>
                <w:sz w:val="20"/>
                <w:szCs w:val="20"/>
                <w:lang w:val="en-US" w:eastAsia="zh-CN" w:bidi="ar"/>
              </w:rPr>
              <w:t>n</w:t>
            </w:r>
            <w:r>
              <w:rPr>
                <w:rFonts w:hint="eastAsia" w:eastAsia="宋体" w:cs="Times New Roman"/>
                <w:b w:val="0"/>
                <w:bCs/>
                <w:color w:val="000000"/>
                <w:kern w:val="0"/>
                <w:sz w:val="20"/>
                <w:szCs w:val="20"/>
                <w:lang w:val="en-US" w:eastAsia="zh-CN" w:bidi="ar"/>
              </w:rPr>
              <w:t>)</w:t>
            </w:r>
          </w:p>
        </w:tc>
        <w:tc>
          <w:tcPr>
            <w:tcW w:w="1575" w:type="dxa"/>
            <w:tcBorders>
              <w:top w:val="single" w:color="000000" w:sz="12" w:space="0"/>
              <w:left w:val="nil"/>
              <w:bottom w:val="single" w:color="000000" w:sz="4" w:space="0"/>
              <w:right w:val="nil"/>
            </w:tcBorders>
            <w:shd w:val="clear" w:color="auto" w:fill="FFFFFF"/>
            <w:vAlign w:val="center"/>
          </w:tcPr>
          <w:p w14:paraId="4DA85C18">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IRR (95% CI)</w:t>
            </w:r>
          </w:p>
        </w:tc>
        <w:tc>
          <w:tcPr>
            <w:tcW w:w="1118" w:type="dxa"/>
            <w:tcBorders>
              <w:top w:val="single" w:color="000000" w:sz="12" w:space="0"/>
              <w:left w:val="nil"/>
              <w:bottom w:val="single" w:color="000000" w:sz="4" w:space="0"/>
              <w:right w:val="nil"/>
            </w:tcBorders>
            <w:shd w:val="clear" w:color="auto" w:fill="FFFFFF"/>
            <w:vAlign w:val="center"/>
          </w:tcPr>
          <w:p w14:paraId="703C63B5">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Within-study bias</w:t>
            </w:r>
          </w:p>
        </w:tc>
        <w:tc>
          <w:tcPr>
            <w:tcW w:w="1117" w:type="dxa"/>
            <w:tcBorders>
              <w:top w:val="single" w:color="000000" w:sz="12" w:space="0"/>
              <w:left w:val="nil"/>
              <w:bottom w:val="single" w:color="000000" w:sz="4" w:space="0"/>
              <w:right w:val="nil"/>
            </w:tcBorders>
            <w:shd w:val="clear" w:color="auto" w:fill="FFFFFF"/>
            <w:vAlign w:val="center"/>
          </w:tcPr>
          <w:p w14:paraId="12EB7332">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Reporting bias</w:t>
            </w:r>
          </w:p>
        </w:tc>
        <w:tc>
          <w:tcPr>
            <w:tcW w:w="1305" w:type="dxa"/>
            <w:tcBorders>
              <w:top w:val="single" w:color="000000" w:sz="12" w:space="0"/>
              <w:left w:val="nil"/>
              <w:bottom w:val="single" w:color="000000" w:sz="4" w:space="0"/>
              <w:right w:val="nil"/>
            </w:tcBorders>
            <w:shd w:val="clear" w:color="auto" w:fill="FFFFFF"/>
            <w:vAlign w:val="center"/>
          </w:tcPr>
          <w:p w14:paraId="15A4094A">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Indirectness</w:t>
            </w:r>
          </w:p>
        </w:tc>
        <w:tc>
          <w:tcPr>
            <w:tcW w:w="1268" w:type="dxa"/>
            <w:tcBorders>
              <w:top w:val="single" w:color="000000" w:sz="12" w:space="0"/>
              <w:left w:val="nil"/>
              <w:bottom w:val="single" w:color="000000" w:sz="4" w:space="0"/>
              <w:right w:val="nil"/>
            </w:tcBorders>
            <w:shd w:val="clear" w:color="auto" w:fill="FFFFFF"/>
            <w:vAlign w:val="center"/>
          </w:tcPr>
          <w:p w14:paraId="680EF280">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Imprecision</w:t>
            </w:r>
          </w:p>
        </w:tc>
        <w:tc>
          <w:tcPr>
            <w:tcW w:w="1425" w:type="dxa"/>
            <w:tcBorders>
              <w:top w:val="single" w:color="000000" w:sz="12" w:space="0"/>
              <w:left w:val="nil"/>
              <w:bottom w:val="single" w:color="000000" w:sz="4" w:space="0"/>
              <w:right w:val="nil"/>
            </w:tcBorders>
            <w:shd w:val="clear" w:color="auto" w:fill="FFFFFF"/>
            <w:vAlign w:val="center"/>
          </w:tcPr>
          <w:p w14:paraId="07F6E9B5">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Heterogeneity</w:t>
            </w:r>
          </w:p>
        </w:tc>
        <w:tc>
          <w:tcPr>
            <w:tcW w:w="1267" w:type="dxa"/>
            <w:tcBorders>
              <w:top w:val="single" w:color="000000" w:sz="12" w:space="0"/>
              <w:left w:val="nil"/>
              <w:bottom w:val="single" w:color="000000" w:sz="4" w:space="0"/>
              <w:right w:val="nil"/>
            </w:tcBorders>
            <w:shd w:val="clear" w:color="auto" w:fill="FFFFFF"/>
            <w:vAlign w:val="center"/>
          </w:tcPr>
          <w:p w14:paraId="42B3BEC4">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Incoherence</w:t>
            </w:r>
          </w:p>
        </w:tc>
        <w:tc>
          <w:tcPr>
            <w:tcW w:w="1073" w:type="dxa"/>
            <w:tcBorders>
              <w:top w:val="single" w:color="000000" w:sz="12" w:space="0"/>
              <w:left w:val="nil"/>
              <w:bottom w:val="single" w:color="000000" w:sz="4" w:space="0"/>
              <w:right w:val="nil"/>
            </w:tcBorders>
            <w:shd w:val="clear" w:color="auto" w:fill="FFFFFF"/>
            <w:vAlign w:val="center"/>
          </w:tcPr>
          <w:p w14:paraId="6A441058">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Overall certainty</w:t>
            </w:r>
          </w:p>
        </w:tc>
        <w:tc>
          <w:tcPr>
            <w:tcW w:w="3308" w:type="dxa"/>
            <w:tcBorders>
              <w:top w:val="single" w:color="000000" w:sz="12" w:space="0"/>
              <w:left w:val="nil"/>
              <w:bottom w:val="single" w:color="000000" w:sz="4" w:space="0"/>
              <w:right w:val="nil"/>
            </w:tcBorders>
            <w:shd w:val="clear" w:color="auto" w:fill="FFFFFF"/>
            <w:vAlign w:val="center"/>
          </w:tcPr>
          <w:p w14:paraId="64A6A87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bCs/>
                <w:color w:val="000000"/>
                <w:kern w:val="0"/>
                <w:sz w:val="20"/>
                <w:szCs w:val="20"/>
                <w:lang w:val="en-US" w:eastAsia="zh-CN" w:bidi="ar"/>
              </w:rPr>
              <w:t>Main reasons for reduced certainty</w:t>
            </w:r>
          </w:p>
        </w:tc>
      </w:tr>
      <w:tr w14:paraId="66A7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0" w:type="dxa"/>
            <w:tcBorders>
              <w:top w:val="single" w:color="000000" w:sz="4" w:space="0"/>
              <w:left w:val="nil"/>
              <w:bottom w:val="nil"/>
              <w:right w:val="nil"/>
            </w:tcBorders>
            <w:shd w:val="clear" w:color="auto" w:fill="FFFFFF"/>
            <w:vAlign w:val="center"/>
          </w:tcPr>
          <w:p w14:paraId="75CBC841">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p w14:paraId="50C8FE81">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 vs </w:t>
            </w:r>
          </w:p>
          <w:p w14:paraId="5498A838">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usual training</w:t>
            </w:r>
          </w:p>
        </w:tc>
        <w:tc>
          <w:tcPr>
            <w:tcW w:w="840" w:type="dxa"/>
            <w:tcBorders>
              <w:top w:val="single" w:color="000000" w:sz="4" w:space="0"/>
              <w:left w:val="nil"/>
              <w:bottom w:val="nil"/>
              <w:right w:val="nil"/>
            </w:tcBorders>
            <w:shd w:val="clear" w:color="auto" w:fill="FFFFFF"/>
            <w:vAlign w:val="center"/>
          </w:tcPr>
          <w:p w14:paraId="7AD9A1D0">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4</w:t>
            </w:r>
          </w:p>
        </w:tc>
        <w:tc>
          <w:tcPr>
            <w:tcW w:w="1575" w:type="dxa"/>
            <w:tcBorders>
              <w:top w:val="single" w:color="000000" w:sz="4" w:space="0"/>
              <w:left w:val="nil"/>
              <w:bottom w:val="nil"/>
              <w:right w:val="nil"/>
            </w:tcBorders>
            <w:shd w:val="clear" w:color="auto" w:fill="FFFFFF"/>
            <w:vAlign w:val="center"/>
          </w:tcPr>
          <w:p w14:paraId="23A9B21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0.55 (0.31–0.98)</w:t>
            </w:r>
          </w:p>
        </w:tc>
        <w:tc>
          <w:tcPr>
            <w:tcW w:w="1118" w:type="dxa"/>
            <w:tcBorders>
              <w:top w:val="single" w:color="000000" w:sz="4" w:space="0"/>
              <w:left w:val="nil"/>
              <w:bottom w:val="nil"/>
              <w:right w:val="nil"/>
            </w:tcBorders>
            <w:shd w:val="clear" w:color="auto" w:fill="FFFFFF"/>
            <w:vAlign w:val="center"/>
          </w:tcPr>
          <w:p w14:paraId="0C91C770">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117" w:type="dxa"/>
            <w:tcBorders>
              <w:top w:val="single" w:color="000000" w:sz="4" w:space="0"/>
              <w:left w:val="nil"/>
              <w:bottom w:val="nil"/>
              <w:right w:val="nil"/>
            </w:tcBorders>
            <w:shd w:val="clear" w:color="auto" w:fill="FFFFFF"/>
            <w:vAlign w:val="center"/>
          </w:tcPr>
          <w:p w14:paraId="67E08E83">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305" w:type="dxa"/>
            <w:tcBorders>
              <w:top w:val="single" w:color="000000" w:sz="4" w:space="0"/>
              <w:left w:val="nil"/>
              <w:bottom w:val="nil"/>
              <w:right w:val="nil"/>
            </w:tcBorders>
            <w:shd w:val="clear" w:color="auto" w:fill="FFFFFF"/>
            <w:vAlign w:val="center"/>
          </w:tcPr>
          <w:p w14:paraId="5509B45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8" w:type="dxa"/>
            <w:tcBorders>
              <w:top w:val="single" w:color="000000" w:sz="4" w:space="0"/>
              <w:left w:val="nil"/>
              <w:bottom w:val="nil"/>
              <w:right w:val="nil"/>
            </w:tcBorders>
            <w:shd w:val="clear" w:color="auto" w:fill="FFFFFF"/>
            <w:vAlign w:val="center"/>
          </w:tcPr>
          <w:p w14:paraId="6707B16B">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425" w:type="dxa"/>
            <w:tcBorders>
              <w:top w:val="single" w:color="000000" w:sz="4" w:space="0"/>
              <w:left w:val="nil"/>
              <w:bottom w:val="nil"/>
              <w:right w:val="nil"/>
            </w:tcBorders>
            <w:shd w:val="clear" w:color="auto" w:fill="FFFFFF"/>
            <w:vAlign w:val="center"/>
          </w:tcPr>
          <w:p w14:paraId="0A3B2C7D">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267" w:type="dxa"/>
            <w:tcBorders>
              <w:top w:val="single" w:color="000000" w:sz="4" w:space="0"/>
              <w:left w:val="nil"/>
              <w:bottom w:val="nil"/>
              <w:right w:val="nil"/>
            </w:tcBorders>
            <w:shd w:val="clear" w:color="auto" w:fill="FFFFFF"/>
            <w:vAlign w:val="center"/>
          </w:tcPr>
          <w:p w14:paraId="540138A1">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Not estimable</w:t>
            </w:r>
          </w:p>
        </w:tc>
        <w:tc>
          <w:tcPr>
            <w:tcW w:w="1073" w:type="dxa"/>
            <w:tcBorders>
              <w:top w:val="single" w:color="000000" w:sz="4" w:space="0"/>
              <w:left w:val="nil"/>
              <w:bottom w:val="nil"/>
              <w:right w:val="nil"/>
            </w:tcBorders>
            <w:shd w:val="clear" w:color="auto" w:fill="FFFFFF"/>
            <w:vAlign w:val="center"/>
          </w:tcPr>
          <w:p w14:paraId="3EF872F5">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Low</w:t>
            </w:r>
          </w:p>
        </w:tc>
        <w:tc>
          <w:tcPr>
            <w:tcW w:w="3308" w:type="dxa"/>
            <w:tcBorders>
              <w:top w:val="single" w:color="000000" w:sz="4" w:space="0"/>
              <w:left w:val="nil"/>
              <w:bottom w:val="nil"/>
              <w:right w:val="nil"/>
            </w:tcBorders>
            <w:shd w:val="clear" w:color="auto" w:fill="FFFFFF"/>
            <w:vAlign w:val="center"/>
          </w:tcPr>
          <w:p w14:paraId="1A5481BA">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Moderate-to-high risk of bias across the contributing studies, uncertainty regarding reporting bias, clinical diversity, and substantial between-study heterogeneity</w:t>
            </w:r>
          </w:p>
        </w:tc>
      </w:tr>
      <w:tr w14:paraId="798B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Borders>
              <w:top w:val="nil"/>
              <w:left w:val="nil"/>
              <w:bottom w:val="nil"/>
              <w:right w:val="nil"/>
            </w:tcBorders>
            <w:shd w:val="clear" w:color="auto" w:fill="FFFFFF"/>
            <w:vAlign w:val="center"/>
          </w:tcPr>
          <w:p w14:paraId="479D24DB">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FIFA 11+ Kids </w:t>
            </w:r>
          </w:p>
          <w:p w14:paraId="5EE98989">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vs </w:t>
            </w:r>
          </w:p>
          <w:p w14:paraId="3E2BF00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usual training</w:t>
            </w:r>
          </w:p>
        </w:tc>
        <w:tc>
          <w:tcPr>
            <w:tcW w:w="840" w:type="dxa"/>
            <w:tcBorders>
              <w:top w:val="nil"/>
              <w:left w:val="nil"/>
              <w:bottom w:val="nil"/>
              <w:right w:val="nil"/>
            </w:tcBorders>
            <w:shd w:val="clear" w:color="auto" w:fill="FFFFFF"/>
            <w:vAlign w:val="center"/>
          </w:tcPr>
          <w:p w14:paraId="7A5C616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w:t>
            </w:r>
          </w:p>
        </w:tc>
        <w:tc>
          <w:tcPr>
            <w:tcW w:w="1575" w:type="dxa"/>
            <w:tcBorders>
              <w:top w:val="nil"/>
              <w:left w:val="nil"/>
              <w:bottom w:val="nil"/>
              <w:right w:val="nil"/>
            </w:tcBorders>
            <w:shd w:val="clear" w:color="auto" w:fill="FFFFFF"/>
            <w:vAlign w:val="center"/>
          </w:tcPr>
          <w:p w14:paraId="6529325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0.43 (0.08–2.32)</w:t>
            </w:r>
          </w:p>
        </w:tc>
        <w:tc>
          <w:tcPr>
            <w:tcW w:w="1118" w:type="dxa"/>
            <w:tcBorders>
              <w:top w:val="nil"/>
              <w:left w:val="nil"/>
              <w:bottom w:val="nil"/>
              <w:right w:val="nil"/>
            </w:tcBorders>
            <w:shd w:val="clear" w:color="auto" w:fill="FFFFFF"/>
            <w:vAlign w:val="center"/>
          </w:tcPr>
          <w:p w14:paraId="27DAD817">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117" w:type="dxa"/>
            <w:tcBorders>
              <w:top w:val="nil"/>
              <w:left w:val="nil"/>
              <w:bottom w:val="nil"/>
              <w:right w:val="nil"/>
            </w:tcBorders>
            <w:shd w:val="clear" w:color="auto" w:fill="FFFFFF"/>
            <w:vAlign w:val="center"/>
          </w:tcPr>
          <w:p w14:paraId="0A9CA366">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305" w:type="dxa"/>
            <w:tcBorders>
              <w:top w:val="nil"/>
              <w:left w:val="nil"/>
              <w:bottom w:val="nil"/>
              <w:right w:val="nil"/>
            </w:tcBorders>
            <w:shd w:val="clear" w:color="auto" w:fill="FFFFFF"/>
            <w:vAlign w:val="center"/>
          </w:tcPr>
          <w:p w14:paraId="04AC367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268" w:type="dxa"/>
            <w:tcBorders>
              <w:top w:val="nil"/>
              <w:left w:val="nil"/>
              <w:bottom w:val="nil"/>
              <w:right w:val="nil"/>
            </w:tcBorders>
            <w:shd w:val="clear" w:color="auto" w:fill="FFFFFF"/>
            <w:vAlign w:val="center"/>
          </w:tcPr>
          <w:p w14:paraId="040B371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425" w:type="dxa"/>
            <w:tcBorders>
              <w:top w:val="nil"/>
              <w:left w:val="nil"/>
              <w:bottom w:val="nil"/>
              <w:right w:val="nil"/>
            </w:tcBorders>
            <w:shd w:val="clear" w:color="auto" w:fill="FFFFFF"/>
            <w:vAlign w:val="center"/>
          </w:tcPr>
          <w:p w14:paraId="2D2E9E8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7" w:type="dxa"/>
            <w:tcBorders>
              <w:top w:val="nil"/>
              <w:left w:val="nil"/>
              <w:bottom w:val="nil"/>
              <w:right w:val="nil"/>
            </w:tcBorders>
            <w:shd w:val="clear" w:color="auto" w:fill="FFFFFF"/>
            <w:vAlign w:val="center"/>
          </w:tcPr>
          <w:p w14:paraId="4C950C0A">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Not estimable</w:t>
            </w:r>
          </w:p>
        </w:tc>
        <w:tc>
          <w:tcPr>
            <w:tcW w:w="1073" w:type="dxa"/>
            <w:tcBorders>
              <w:top w:val="nil"/>
              <w:left w:val="nil"/>
              <w:bottom w:val="nil"/>
              <w:right w:val="nil"/>
            </w:tcBorders>
            <w:shd w:val="clear" w:color="auto" w:fill="FFFFFF"/>
            <w:vAlign w:val="center"/>
          </w:tcPr>
          <w:p w14:paraId="023DD12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Very low</w:t>
            </w:r>
          </w:p>
        </w:tc>
        <w:tc>
          <w:tcPr>
            <w:tcW w:w="3308" w:type="dxa"/>
            <w:tcBorders>
              <w:top w:val="nil"/>
              <w:left w:val="nil"/>
              <w:bottom w:val="nil"/>
              <w:right w:val="nil"/>
            </w:tcBorders>
            <w:shd w:val="clear" w:color="auto" w:fill="FFFFFF"/>
            <w:vAlign w:val="center"/>
          </w:tcPr>
          <w:p w14:paraId="2962EA31">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Evidence from a single trial in a very young population, very wide confidence interval, limited applicability to broader football populations, and inability to assess between-study heterogeneity reliably</w:t>
            </w:r>
          </w:p>
        </w:tc>
      </w:tr>
      <w:tr w14:paraId="61F0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Borders>
              <w:top w:val="nil"/>
              <w:left w:val="nil"/>
              <w:bottom w:val="nil"/>
              <w:right w:val="nil"/>
            </w:tcBorders>
            <w:shd w:val="clear" w:color="auto" w:fill="FFFFFF"/>
            <w:vAlign w:val="center"/>
          </w:tcPr>
          <w:p w14:paraId="0382C866">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NHE</w:t>
            </w:r>
          </w:p>
          <w:p w14:paraId="20A30839">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 vs </w:t>
            </w:r>
          </w:p>
          <w:p w14:paraId="070642B6">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usual training</w:t>
            </w:r>
          </w:p>
        </w:tc>
        <w:tc>
          <w:tcPr>
            <w:tcW w:w="840" w:type="dxa"/>
            <w:tcBorders>
              <w:top w:val="nil"/>
              <w:left w:val="nil"/>
              <w:bottom w:val="nil"/>
              <w:right w:val="nil"/>
            </w:tcBorders>
            <w:shd w:val="clear" w:color="auto" w:fill="FFFFFF"/>
            <w:vAlign w:val="center"/>
          </w:tcPr>
          <w:p w14:paraId="6BD98A4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3</w:t>
            </w:r>
          </w:p>
        </w:tc>
        <w:tc>
          <w:tcPr>
            <w:tcW w:w="1575" w:type="dxa"/>
            <w:tcBorders>
              <w:top w:val="nil"/>
              <w:left w:val="nil"/>
              <w:bottom w:val="nil"/>
              <w:right w:val="nil"/>
            </w:tcBorders>
            <w:shd w:val="clear" w:color="auto" w:fill="FFFFFF"/>
            <w:vAlign w:val="center"/>
          </w:tcPr>
          <w:p w14:paraId="5B9D3B43">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0.78 (0.34–1.78)</w:t>
            </w:r>
          </w:p>
        </w:tc>
        <w:tc>
          <w:tcPr>
            <w:tcW w:w="1118" w:type="dxa"/>
            <w:tcBorders>
              <w:top w:val="nil"/>
              <w:left w:val="nil"/>
              <w:bottom w:val="nil"/>
              <w:right w:val="nil"/>
            </w:tcBorders>
            <w:shd w:val="clear" w:color="auto" w:fill="FFFFFF"/>
            <w:vAlign w:val="center"/>
          </w:tcPr>
          <w:p w14:paraId="795716F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117" w:type="dxa"/>
            <w:tcBorders>
              <w:top w:val="nil"/>
              <w:left w:val="nil"/>
              <w:bottom w:val="nil"/>
              <w:right w:val="nil"/>
            </w:tcBorders>
            <w:shd w:val="clear" w:color="auto" w:fill="FFFFFF"/>
            <w:vAlign w:val="center"/>
          </w:tcPr>
          <w:p w14:paraId="4F6E73C2">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305" w:type="dxa"/>
            <w:tcBorders>
              <w:top w:val="nil"/>
              <w:left w:val="nil"/>
              <w:bottom w:val="nil"/>
              <w:right w:val="nil"/>
            </w:tcBorders>
            <w:shd w:val="clear" w:color="auto" w:fill="FFFFFF"/>
            <w:vAlign w:val="center"/>
          </w:tcPr>
          <w:p w14:paraId="47B8EE9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8" w:type="dxa"/>
            <w:tcBorders>
              <w:top w:val="nil"/>
              <w:left w:val="nil"/>
              <w:bottom w:val="nil"/>
              <w:right w:val="nil"/>
            </w:tcBorders>
            <w:shd w:val="clear" w:color="auto" w:fill="FFFFFF"/>
            <w:vAlign w:val="center"/>
          </w:tcPr>
          <w:p w14:paraId="01C80093">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425" w:type="dxa"/>
            <w:tcBorders>
              <w:top w:val="nil"/>
              <w:left w:val="nil"/>
              <w:bottom w:val="nil"/>
              <w:right w:val="nil"/>
            </w:tcBorders>
            <w:shd w:val="clear" w:color="auto" w:fill="FFFFFF"/>
            <w:vAlign w:val="center"/>
          </w:tcPr>
          <w:p w14:paraId="4F038ABD">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267" w:type="dxa"/>
            <w:tcBorders>
              <w:top w:val="nil"/>
              <w:left w:val="nil"/>
              <w:bottom w:val="nil"/>
              <w:right w:val="nil"/>
            </w:tcBorders>
            <w:shd w:val="clear" w:color="auto" w:fill="FFFFFF"/>
            <w:vAlign w:val="center"/>
          </w:tcPr>
          <w:p w14:paraId="68698C96">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Not estimable</w:t>
            </w:r>
          </w:p>
        </w:tc>
        <w:tc>
          <w:tcPr>
            <w:tcW w:w="1073" w:type="dxa"/>
            <w:tcBorders>
              <w:top w:val="nil"/>
              <w:left w:val="nil"/>
              <w:bottom w:val="nil"/>
              <w:right w:val="nil"/>
            </w:tcBorders>
            <w:shd w:val="clear" w:color="auto" w:fill="FFFFFF"/>
            <w:vAlign w:val="center"/>
          </w:tcPr>
          <w:p w14:paraId="02D82D54">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Very low</w:t>
            </w:r>
          </w:p>
        </w:tc>
        <w:tc>
          <w:tcPr>
            <w:tcW w:w="3308" w:type="dxa"/>
            <w:tcBorders>
              <w:top w:val="nil"/>
              <w:left w:val="nil"/>
              <w:bottom w:val="nil"/>
              <w:right w:val="nil"/>
            </w:tcBorders>
            <w:shd w:val="clear" w:color="auto" w:fill="FFFFFF"/>
            <w:vAlign w:val="center"/>
          </w:tcPr>
          <w:p w14:paraId="373CAD4D">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Contribution from a study at high risk of bias, wide confidence interval spanning substantial benefit and harm, clinical diversity, and substantial heterogeneity</w:t>
            </w:r>
          </w:p>
        </w:tc>
      </w:tr>
      <w:tr w14:paraId="2191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Borders>
              <w:top w:val="nil"/>
              <w:left w:val="nil"/>
              <w:bottom w:val="nil"/>
              <w:right w:val="nil"/>
            </w:tcBorders>
            <w:shd w:val="clear" w:color="auto" w:fill="FFFFFF"/>
            <w:vAlign w:val="center"/>
          </w:tcPr>
          <w:p w14:paraId="62465A26">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FIFA 11 </w:t>
            </w:r>
          </w:p>
          <w:p w14:paraId="4B517A74">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vs </w:t>
            </w:r>
          </w:p>
          <w:p w14:paraId="4006173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usual training</w:t>
            </w:r>
          </w:p>
        </w:tc>
        <w:tc>
          <w:tcPr>
            <w:tcW w:w="840" w:type="dxa"/>
            <w:tcBorders>
              <w:top w:val="nil"/>
              <w:left w:val="nil"/>
              <w:bottom w:val="nil"/>
              <w:right w:val="nil"/>
            </w:tcBorders>
            <w:shd w:val="clear" w:color="auto" w:fill="FFFFFF"/>
            <w:vAlign w:val="center"/>
          </w:tcPr>
          <w:p w14:paraId="5F34630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2</w:t>
            </w:r>
          </w:p>
        </w:tc>
        <w:tc>
          <w:tcPr>
            <w:tcW w:w="1575" w:type="dxa"/>
            <w:tcBorders>
              <w:top w:val="nil"/>
              <w:left w:val="nil"/>
              <w:bottom w:val="nil"/>
              <w:right w:val="nil"/>
            </w:tcBorders>
            <w:shd w:val="clear" w:color="auto" w:fill="FFFFFF"/>
            <w:vAlign w:val="center"/>
          </w:tcPr>
          <w:p w14:paraId="2E4D6D1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0.99 (0.82–1.19)</w:t>
            </w:r>
          </w:p>
        </w:tc>
        <w:tc>
          <w:tcPr>
            <w:tcW w:w="1118" w:type="dxa"/>
            <w:tcBorders>
              <w:top w:val="nil"/>
              <w:left w:val="nil"/>
              <w:bottom w:val="nil"/>
              <w:right w:val="nil"/>
            </w:tcBorders>
            <w:shd w:val="clear" w:color="auto" w:fill="FFFFFF"/>
            <w:vAlign w:val="center"/>
          </w:tcPr>
          <w:p w14:paraId="5CF6472B">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117" w:type="dxa"/>
            <w:tcBorders>
              <w:top w:val="nil"/>
              <w:left w:val="nil"/>
              <w:bottom w:val="nil"/>
              <w:right w:val="nil"/>
            </w:tcBorders>
            <w:shd w:val="clear" w:color="auto" w:fill="FFFFFF"/>
            <w:vAlign w:val="center"/>
          </w:tcPr>
          <w:p w14:paraId="67074B5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305" w:type="dxa"/>
            <w:tcBorders>
              <w:top w:val="nil"/>
              <w:left w:val="nil"/>
              <w:bottom w:val="nil"/>
              <w:right w:val="nil"/>
            </w:tcBorders>
            <w:shd w:val="clear" w:color="auto" w:fill="FFFFFF"/>
            <w:vAlign w:val="center"/>
          </w:tcPr>
          <w:p w14:paraId="1AE3A53B">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8" w:type="dxa"/>
            <w:tcBorders>
              <w:top w:val="nil"/>
              <w:left w:val="nil"/>
              <w:bottom w:val="nil"/>
              <w:right w:val="nil"/>
            </w:tcBorders>
            <w:shd w:val="clear" w:color="auto" w:fill="FFFFFF"/>
            <w:vAlign w:val="center"/>
          </w:tcPr>
          <w:p w14:paraId="192DC4E4">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 concerns</w:t>
            </w:r>
          </w:p>
        </w:tc>
        <w:tc>
          <w:tcPr>
            <w:tcW w:w="1425" w:type="dxa"/>
            <w:tcBorders>
              <w:top w:val="nil"/>
              <w:left w:val="nil"/>
              <w:bottom w:val="nil"/>
              <w:right w:val="nil"/>
            </w:tcBorders>
            <w:shd w:val="clear" w:color="auto" w:fill="FFFFFF"/>
            <w:vAlign w:val="center"/>
          </w:tcPr>
          <w:p w14:paraId="795D6653">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7" w:type="dxa"/>
            <w:tcBorders>
              <w:top w:val="nil"/>
              <w:left w:val="nil"/>
              <w:bottom w:val="nil"/>
              <w:right w:val="nil"/>
            </w:tcBorders>
            <w:shd w:val="clear" w:color="auto" w:fill="FFFFFF"/>
            <w:vAlign w:val="center"/>
          </w:tcPr>
          <w:p w14:paraId="247AB2A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Not estimable</w:t>
            </w:r>
          </w:p>
        </w:tc>
        <w:tc>
          <w:tcPr>
            <w:tcW w:w="1073" w:type="dxa"/>
            <w:tcBorders>
              <w:top w:val="nil"/>
              <w:left w:val="nil"/>
              <w:bottom w:val="nil"/>
              <w:right w:val="nil"/>
            </w:tcBorders>
            <w:shd w:val="clear" w:color="auto" w:fill="FFFFFF"/>
            <w:vAlign w:val="center"/>
          </w:tcPr>
          <w:p w14:paraId="2E28154D">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Low</w:t>
            </w:r>
          </w:p>
        </w:tc>
        <w:tc>
          <w:tcPr>
            <w:tcW w:w="3308" w:type="dxa"/>
            <w:tcBorders>
              <w:top w:val="nil"/>
              <w:left w:val="nil"/>
              <w:bottom w:val="nil"/>
              <w:right w:val="nil"/>
            </w:tcBorders>
            <w:shd w:val="clear" w:color="auto" w:fill="FFFFFF"/>
            <w:vAlign w:val="center"/>
          </w:tcPr>
          <w:p w14:paraId="41ED1771">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Sparse direct evidence, contribution from a study at high risk of bias, uncertainty regarding reporting bias, and clinical and methodological heterogeneity</w:t>
            </w:r>
          </w:p>
        </w:tc>
      </w:tr>
      <w:tr w14:paraId="326B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Borders>
              <w:top w:val="nil"/>
              <w:left w:val="nil"/>
              <w:bottom w:val="single" w:color="000000" w:sz="12" w:space="0"/>
              <w:right w:val="nil"/>
            </w:tcBorders>
            <w:shd w:val="clear" w:color="auto" w:fill="FFFFFF"/>
            <w:vAlign w:val="center"/>
          </w:tcPr>
          <w:p w14:paraId="4600D886">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BEP </w:t>
            </w:r>
          </w:p>
          <w:p w14:paraId="455669E8">
            <w:pPr>
              <w:keepNext w:val="0"/>
              <w:keepLines w:val="0"/>
              <w:widowControl/>
              <w:suppressLineNumbers w:val="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vs </w:t>
            </w:r>
          </w:p>
          <w:p w14:paraId="7219BDE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usual training</w:t>
            </w:r>
          </w:p>
        </w:tc>
        <w:tc>
          <w:tcPr>
            <w:tcW w:w="840" w:type="dxa"/>
            <w:tcBorders>
              <w:top w:val="nil"/>
              <w:left w:val="nil"/>
              <w:bottom w:val="single" w:color="000000" w:sz="12" w:space="0"/>
              <w:right w:val="nil"/>
            </w:tcBorders>
            <w:shd w:val="clear" w:color="auto" w:fill="FFFFFF"/>
            <w:vAlign w:val="center"/>
          </w:tcPr>
          <w:p w14:paraId="29E86517">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w:t>
            </w:r>
          </w:p>
        </w:tc>
        <w:tc>
          <w:tcPr>
            <w:tcW w:w="1575" w:type="dxa"/>
            <w:tcBorders>
              <w:top w:val="nil"/>
              <w:left w:val="nil"/>
              <w:bottom w:val="single" w:color="000000" w:sz="12" w:space="0"/>
              <w:right w:val="nil"/>
            </w:tcBorders>
            <w:shd w:val="clear" w:color="auto" w:fill="FFFFFF"/>
            <w:vAlign w:val="center"/>
          </w:tcPr>
          <w:p w14:paraId="38D90F12">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1.18 (0.70–1.99)</w:t>
            </w:r>
          </w:p>
        </w:tc>
        <w:tc>
          <w:tcPr>
            <w:tcW w:w="1118" w:type="dxa"/>
            <w:tcBorders>
              <w:top w:val="nil"/>
              <w:left w:val="nil"/>
              <w:bottom w:val="single" w:color="000000" w:sz="12" w:space="0"/>
              <w:right w:val="nil"/>
            </w:tcBorders>
            <w:shd w:val="clear" w:color="auto" w:fill="FFFFFF"/>
            <w:vAlign w:val="center"/>
          </w:tcPr>
          <w:p w14:paraId="272B5E60">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117" w:type="dxa"/>
            <w:tcBorders>
              <w:top w:val="nil"/>
              <w:left w:val="nil"/>
              <w:bottom w:val="single" w:color="000000" w:sz="12" w:space="0"/>
              <w:right w:val="nil"/>
            </w:tcBorders>
            <w:shd w:val="clear" w:color="auto" w:fill="FFFFFF"/>
            <w:vAlign w:val="center"/>
          </w:tcPr>
          <w:p w14:paraId="1F367699">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305" w:type="dxa"/>
            <w:tcBorders>
              <w:top w:val="nil"/>
              <w:left w:val="nil"/>
              <w:bottom w:val="single" w:color="000000" w:sz="12" w:space="0"/>
              <w:right w:val="nil"/>
            </w:tcBorders>
            <w:shd w:val="clear" w:color="auto" w:fill="FFFFFF"/>
            <w:vAlign w:val="center"/>
          </w:tcPr>
          <w:p w14:paraId="430521C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8" w:type="dxa"/>
            <w:tcBorders>
              <w:top w:val="nil"/>
              <w:left w:val="nil"/>
              <w:bottom w:val="single" w:color="000000" w:sz="12" w:space="0"/>
              <w:right w:val="nil"/>
            </w:tcBorders>
            <w:shd w:val="clear" w:color="auto" w:fill="FFFFFF"/>
            <w:vAlign w:val="center"/>
          </w:tcPr>
          <w:p w14:paraId="74BD2C7D">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Major concerns</w:t>
            </w:r>
          </w:p>
        </w:tc>
        <w:tc>
          <w:tcPr>
            <w:tcW w:w="1425" w:type="dxa"/>
            <w:tcBorders>
              <w:top w:val="nil"/>
              <w:left w:val="nil"/>
              <w:bottom w:val="single" w:color="000000" w:sz="12" w:space="0"/>
              <w:right w:val="nil"/>
            </w:tcBorders>
            <w:shd w:val="clear" w:color="auto" w:fill="FFFFFF"/>
            <w:vAlign w:val="center"/>
          </w:tcPr>
          <w:p w14:paraId="46BA49BF">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Some concerns</w:t>
            </w:r>
          </w:p>
        </w:tc>
        <w:tc>
          <w:tcPr>
            <w:tcW w:w="1267" w:type="dxa"/>
            <w:tcBorders>
              <w:top w:val="nil"/>
              <w:left w:val="nil"/>
              <w:bottom w:val="single" w:color="000000" w:sz="12" w:space="0"/>
              <w:right w:val="nil"/>
            </w:tcBorders>
            <w:shd w:val="clear" w:color="auto" w:fill="FFFFFF"/>
            <w:vAlign w:val="center"/>
          </w:tcPr>
          <w:p w14:paraId="7A50C76C">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Not estimable</w:t>
            </w:r>
          </w:p>
        </w:tc>
        <w:tc>
          <w:tcPr>
            <w:tcW w:w="1073" w:type="dxa"/>
            <w:tcBorders>
              <w:top w:val="nil"/>
              <w:left w:val="nil"/>
              <w:bottom w:val="single" w:color="000000" w:sz="12" w:space="0"/>
              <w:right w:val="nil"/>
            </w:tcBorders>
            <w:shd w:val="clear" w:color="auto" w:fill="FFFFFF"/>
            <w:vAlign w:val="center"/>
          </w:tcPr>
          <w:p w14:paraId="54272F9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Very low</w:t>
            </w:r>
          </w:p>
        </w:tc>
        <w:tc>
          <w:tcPr>
            <w:tcW w:w="3308" w:type="dxa"/>
            <w:tcBorders>
              <w:top w:val="nil"/>
              <w:left w:val="nil"/>
              <w:bottom w:val="single" w:color="000000" w:sz="12" w:space="0"/>
              <w:right w:val="nil"/>
            </w:tcBorders>
            <w:shd w:val="clear" w:color="auto" w:fill="FFFFFF"/>
            <w:vAlign w:val="center"/>
          </w:tcPr>
          <w:p w14:paraId="04DCC0CE">
            <w:pPr>
              <w:keepNext w:val="0"/>
              <w:keepLines w:val="0"/>
              <w:widowControl/>
              <w:suppressLineNumbers w:val="0"/>
              <w:jc w:val="center"/>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宋体" w:cs="Times New Roman"/>
                <w:b w:val="0"/>
                <w:color w:val="000000"/>
                <w:kern w:val="0"/>
                <w:sz w:val="20"/>
                <w:szCs w:val="20"/>
                <w:lang w:val="en-US" w:eastAsia="zh-CN" w:bidi="ar"/>
              </w:rPr>
              <w:t>Evidence from a single study at high risk of bias, wide confidence interval spanning possible benefit and harm, and inability to assess comparison-specific heterogeneity reliably</w:t>
            </w:r>
          </w:p>
        </w:tc>
      </w:tr>
    </w:tbl>
    <w:p w14:paraId="6B0E7848">
      <w:pPr>
        <w:tabs>
          <w:tab w:val="left" w:pos="3915"/>
        </w:tabs>
        <w:bidi w:val="0"/>
        <w:jc w:val="both"/>
        <w:rPr>
          <w:rFonts w:hint="default" w:ascii="Times New Roman" w:hAnsi="Times New Roman" w:eastAsia="宋体" w:cs="Times New Roman"/>
          <w:sz w:val="20"/>
          <w:szCs w:val="20"/>
        </w:rPr>
      </w:pPr>
      <w:r>
        <w:rPr>
          <w:rFonts w:hint="default" w:ascii="Times New Roman" w:hAnsi="Times New Roman" w:eastAsia="宋体" w:cs="Times New Roman"/>
          <w:b/>
          <w:bCs/>
          <w:sz w:val="20"/>
          <w:szCs w:val="20"/>
        </w:rPr>
        <w:t>Notes:</w:t>
      </w:r>
      <w:r>
        <w:rPr>
          <w:rFonts w:hint="default" w:ascii="Times New Roman" w:hAnsi="Times New Roman" w:eastAsia="宋体" w:cs="Times New Roman"/>
          <w:sz w:val="20"/>
          <w:szCs w:val="20"/>
        </w:rPr>
        <w:t xml:space="preserve"> Certainty was assessed using a GRADE/CINeMA-informed approach across six domains: within-study bias, reporting bias, indirectness, imprecision, heterogeneity, and incoherence. Domain-level judgments were classified as no concerns, some concerns, or major concerns. Overall certainty was classified as high, moderate, low, or very low. Within-study bias judgments were informed by the Cochrane RoB 2 assessment. Reporting bias was judged as having some concerns because the network included only 11 trials and several intervention nodes were supported by one or two studies, although neither visual inspection of the comparison-adjusted funnel plot nor Egger’s regression indicated clear asymmetry. Incoherence could not be estimated because the network contained no closed loops and no direct active–active comparisons. Overall certainty judgments were based on consideration of all domains rather than a purely mechanical downgrading rule.</w:t>
      </w:r>
    </w:p>
    <w:p w14:paraId="6D063C43">
      <w:pPr>
        <w:tabs>
          <w:tab w:val="left" w:pos="3915"/>
        </w:tabs>
        <w:bidi w:val="0"/>
        <w:jc w:val="both"/>
        <w:rPr>
          <w:rFonts w:hint="default" w:ascii="Times New Roman" w:hAnsi="Times New Roman" w:eastAsia="宋体" w:cs="Times New Roman"/>
          <w:sz w:val="20"/>
          <w:szCs w:val="20"/>
          <w:lang w:val="en-US" w:eastAsia="zh-CN"/>
        </w:rPr>
        <w:sectPr>
          <w:pgSz w:w="11920" w:h="16850"/>
          <w:pgMar w:top="1220" w:right="560" w:bottom="280" w:left="700" w:header="720" w:footer="720" w:gutter="0"/>
          <w:cols w:space="720" w:num="1"/>
        </w:sectPr>
      </w:pPr>
      <w:r>
        <w:rPr>
          <w:rFonts w:hint="default" w:ascii="Times New Roman" w:hAnsi="Times New Roman" w:eastAsia="宋体" w:cs="Times New Roman"/>
          <w:b/>
          <w:bCs/>
          <w:sz w:val="20"/>
          <w:szCs w:val="20"/>
        </w:rPr>
        <w:t>Abbreviations:</w:t>
      </w:r>
      <w:r>
        <w:rPr>
          <w:rFonts w:hint="default" w:ascii="Times New Roman" w:hAnsi="Times New Roman" w:eastAsia="宋体" w:cs="Times New Roman"/>
          <w:sz w:val="20"/>
          <w:szCs w:val="20"/>
        </w:rPr>
        <w:t xml:space="preserve"> BEP, bounding exercise programme; CI, confidence interval; CINeMA, Confidence in Network Meta-Analysis; FIFA, Fédération Internationale de Football Association; IRR, incidence rate ratio; NHE, Nordic hamstring exercise; RoB 2, revised Cochrane risk-of-bias tool for randomized trial</w:t>
      </w:r>
    </w:p>
    <w:tbl>
      <w:tblPr>
        <w:tblStyle w:val="8"/>
        <w:tblpPr w:leftFromText="180" w:rightFromText="180" w:vertAnchor="text" w:horzAnchor="page" w:tblpX="816" w:tblpY="502"/>
        <w:tblOverlap w:val="never"/>
        <w:tblW w:w="10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1382"/>
        <w:gridCol w:w="2534"/>
        <w:gridCol w:w="3216"/>
        <w:gridCol w:w="2090"/>
      </w:tblGrid>
      <w:tr w14:paraId="641C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single" w:color="000000" w:sz="12" w:space="0"/>
              <w:left w:val="nil"/>
              <w:bottom w:val="single" w:color="000000" w:sz="4" w:space="0"/>
              <w:right w:val="nil"/>
              <w:tl2br w:val="nil"/>
            </w:tcBorders>
            <w:shd w:val="clear" w:color="auto" w:fill="FFFFFF"/>
            <w:vAlign w:val="top"/>
          </w:tcPr>
          <w:p w14:paraId="48C6898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Study</w:t>
            </w:r>
          </w:p>
        </w:tc>
        <w:tc>
          <w:tcPr>
            <w:tcW w:w="1382" w:type="dxa"/>
            <w:tcBorders>
              <w:top w:val="single" w:color="000000" w:sz="12" w:space="0"/>
              <w:left w:val="nil"/>
              <w:bottom w:val="single" w:color="000000" w:sz="4" w:space="0"/>
              <w:right w:val="nil"/>
            </w:tcBorders>
            <w:shd w:val="clear" w:color="auto" w:fill="FFFFFF"/>
            <w:vAlign w:val="top"/>
          </w:tcPr>
          <w:p w14:paraId="4B97DA9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Control condition as reported</w:t>
            </w:r>
          </w:p>
        </w:tc>
        <w:tc>
          <w:tcPr>
            <w:tcW w:w="2534" w:type="dxa"/>
            <w:tcBorders>
              <w:top w:val="single" w:color="000000" w:sz="12" w:space="0"/>
              <w:left w:val="nil"/>
              <w:bottom w:val="single" w:color="000000" w:sz="4" w:space="0"/>
              <w:right w:val="nil"/>
            </w:tcBorders>
            <w:shd w:val="clear" w:color="auto" w:fill="FFFFFF"/>
            <w:vAlign w:val="top"/>
          </w:tcPr>
          <w:p w14:paraId="0598FA52">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Description of usual training / warm-up in control group</w:t>
            </w:r>
          </w:p>
        </w:tc>
        <w:tc>
          <w:tcPr>
            <w:tcW w:w="3216" w:type="dxa"/>
            <w:tcBorders>
              <w:top w:val="single" w:color="000000" w:sz="12" w:space="0"/>
              <w:left w:val="nil"/>
              <w:bottom w:val="single" w:color="000000" w:sz="4" w:space="0"/>
              <w:right w:val="nil"/>
            </w:tcBorders>
            <w:shd w:val="clear" w:color="auto" w:fill="FFFFFF"/>
            <w:vAlign w:val="top"/>
          </w:tcPr>
          <w:p w14:paraId="5E281C50">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Contamination monitoring or comments</w:t>
            </w:r>
          </w:p>
        </w:tc>
        <w:tc>
          <w:tcPr>
            <w:tcW w:w="2090" w:type="dxa"/>
            <w:tcBorders>
              <w:top w:val="single" w:color="000000" w:sz="12" w:space="0"/>
              <w:left w:val="nil"/>
              <w:bottom w:val="single" w:color="000000" w:sz="4" w:space="0"/>
              <w:right w:val="nil"/>
            </w:tcBorders>
            <w:shd w:val="clear" w:color="auto" w:fill="FFFFFF"/>
            <w:vAlign w:val="top"/>
          </w:tcPr>
          <w:p w14:paraId="6474DAD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Comparator classification</w:t>
            </w:r>
          </w:p>
        </w:tc>
      </w:tr>
      <w:tr w14:paraId="6F7F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single" w:color="000000" w:sz="4" w:space="0"/>
              <w:left w:val="nil"/>
              <w:bottom w:val="nil"/>
              <w:right w:val="nil"/>
            </w:tcBorders>
            <w:shd w:val="clear" w:color="auto" w:fill="FFFFFF"/>
            <w:vAlign w:val="top"/>
          </w:tcPr>
          <w:p w14:paraId="4433247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 xml:space="preserve">Al Attar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2023</w:t>
            </w:r>
            <w:r>
              <w:rPr>
                <w:rFonts w:hint="eastAsia" w:ascii="Times New Roman" w:eastAsia="宋体" w:cs="Times New Roman"/>
                <w:b w:val="0"/>
                <w:color w:val="000000"/>
                <w:kern w:val="0"/>
                <w:sz w:val="20"/>
                <w:szCs w:val="20"/>
                <w:lang w:val="en-US" w:eastAsia="zh-CN" w:bidi="ar"/>
              </w:rPr>
              <w:t>)</w:t>
            </w:r>
          </w:p>
        </w:tc>
        <w:tc>
          <w:tcPr>
            <w:tcW w:w="1382" w:type="dxa"/>
            <w:tcBorders>
              <w:top w:val="single" w:color="000000" w:sz="4" w:space="0"/>
              <w:left w:val="nil"/>
              <w:bottom w:val="nil"/>
              <w:right w:val="nil"/>
            </w:tcBorders>
            <w:shd w:val="clear" w:color="auto" w:fill="FFFFFF"/>
            <w:vAlign w:val="top"/>
          </w:tcPr>
          <w:p w14:paraId="57D8271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or standard warm-up</w:t>
            </w:r>
          </w:p>
        </w:tc>
        <w:tc>
          <w:tcPr>
            <w:tcW w:w="2534" w:type="dxa"/>
            <w:tcBorders>
              <w:top w:val="single" w:color="000000" w:sz="4" w:space="0"/>
              <w:left w:val="nil"/>
              <w:bottom w:val="nil"/>
              <w:right w:val="nil"/>
            </w:tcBorders>
            <w:shd w:val="clear" w:color="auto" w:fill="FFFFFF"/>
            <w:vAlign w:val="top"/>
          </w:tcPr>
          <w:p w14:paraId="60D70360">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Control teams continued their usual or standard warm-up. The authors defined usual warm-up as “a set of any basic exercises performed before a performance or practice to prepare the athlete for vigorous physical activity.”</w:t>
            </w:r>
          </w:p>
        </w:tc>
        <w:tc>
          <w:tcPr>
            <w:tcW w:w="3216" w:type="dxa"/>
            <w:tcBorders>
              <w:top w:val="single" w:color="000000" w:sz="4" w:space="0"/>
              <w:left w:val="nil"/>
              <w:bottom w:val="nil"/>
              <w:right w:val="nil"/>
            </w:tcBorders>
            <w:shd w:val="clear" w:color="auto" w:fill="FFFFFF"/>
            <w:vAlign w:val="top"/>
          </w:tcPr>
          <w:p w14:paraId="5B9B24A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Weekly visits were scheduled for randomly selected teams to motivate teams and check consistency; however, detailed control warm-up content was not itemized.</w:t>
            </w:r>
          </w:p>
        </w:tc>
        <w:tc>
          <w:tcPr>
            <w:tcW w:w="2090" w:type="dxa"/>
            <w:tcBorders>
              <w:top w:val="single" w:color="000000" w:sz="4" w:space="0"/>
              <w:left w:val="nil"/>
              <w:bottom w:val="nil"/>
              <w:right w:val="nil"/>
            </w:tcBorders>
            <w:shd w:val="clear" w:color="auto" w:fill="FFFFFF"/>
            <w:vAlign w:val="top"/>
          </w:tcPr>
          <w:p w14:paraId="1E132B21">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 standard warm-up</w:t>
            </w:r>
          </w:p>
        </w:tc>
      </w:tr>
      <w:tr w14:paraId="125F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nil"/>
              <w:right w:val="nil"/>
            </w:tcBorders>
            <w:shd w:val="clear" w:color="auto" w:fill="FFFFFF"/>
            <w:vAlign w:val="top"/>
          </w:tcPr>
          <w:p w14:paraId="42BBF26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 xml:space="preserve">Soligard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2008</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top"/>
          </w:tcPr>
          <w:p w14:paraId="7D7391EB">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warm-up</w:t>
            </w:r>
          </w:p>
        </w:tc>
        <w:tc>
          <w:tcPr>
            <w:tcW w:w="2534" w:type="dxa"/>
            <w:tcBorders>
              <w:top w:val="nil"/>
              <w:left w:val="nil"/>
              <w:bottom w:val="nil"/>
              <w:right w:val="nil"/>
            </w:tcBorders>
            <w:shd w:val="clear" w:color="auto" w:fill="FFFFFF"/>
            <w:vAlign w:val="top"/>
          </w:tcPr>
          <w:p w14:paraId="4F6342A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Control clubs were asked to warm up as usual during the season and were told they would receive the programme in the subsequent season if effective.</w:t>
            </w:r>
          </w:p>
        </w:tc>
        <w:tc>
          <w:tcPr>
            <w:tcW w:w="3216" w:type="dxa"/>
            <w:tcBorders>
              <w:top w:val="nil"/>
              <w:left w:val="nil"/>
              <w:bottom w:val="nil"/>
              <w:right w:val="nil"/>
            </w:tcBorders>
            <w:shd w:val="clear" w:color="auto" w:fill="FFFFFF"/>
            <w:vAlign w:val="top"/>
          </w:tcPr>
          <w:p w14:paraId="38AB8170">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Cluster randomization by club was used to reduce contamination; control teams were offered the programme later.</w:t>
            </w:r>
          </w:p>
        </w:tc>
        <w:tc>
          <w:tcPr>
            <w:tcW w:w="2090" w:type="dxa"/>
            <w:tcBorders>
              <w:top w:val="nil"/>
              <w:left w:val="nil"/>
              <w:bottom w:val="nil"/>
              <w:right w:val="nil"/>
            </w:tcBorders>
            <w:shd w:val="clear" w:color="auto" w:fill="FFFFFF"/>
            <w:vAlign w:val="top"/>
          </w:tcPr>
          <w:p w14:paraId="65F39DD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warm-up</w:t>
            </w:r>
          </w:p>
        </w:tc>
      </w:tr>
      <w:tr w14:paraId="12BB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nil"/>
              <w:right w:val="nil"/>
            </w:tcBorders>
            <w:shd w:val="clear" w:color="auto" w:fill="FFFFFF"/>
            <w:vAlign w:val="top"/>
          </w:tcPr>
          <w:p w14:paraId="650003B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 xml:space="preserve">Steffen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2008</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top"/>
          </w:tcPr>
          <w:p w14:paraId="0C4CB53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warm-up and training</w:t>
            </w:r>
          </w:p>
        </w:tc>
        <w:tc>
          <w:tcPr>
            <w:tcW w:w="2534" w:type="dxa"/>
            <w:tcBorders>
              <w:top w:val="nil"/>
              <w:left w:val="nil"/>
              <w:bottom w:val="nil"/>
              <w:right w:val="nil"/>
            </w:tcBorders>
            <w:shd w:val="clear" w:color="auto" w:fill="FFFFFF"/>
            <w:vAlign w:val="top"/>
          </w:tcPr>
          <w:p w14:paraId="7F22025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Control teams continued their normal football warm-up and training during the season; the intervention replaced the teams’ usual warm-up routine in the intervention group.</w:t>
            </w:r>
          </w:p>
        </w:tc>
        <w:tc>
          <w:tcPr>
            <w:tcW w:w="3216" w:type="dxa"/>
            <w:tcBorders>
              <w:top w:val="nil"/>
              <w:left w:val="nil"/>
              <w:bottom w:val="nil"/>
              <w:right w:val="nil"/>
            </w:tcBorders>
            <w:shd w:val="clear" w:color="auto" w:fill="FFFFFF"/>
            <w:vAlign w:val="top"/>
          </w:tcPr>
          <w:p w14:paraId="0121F1CA">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The article focused mainly on low compliance in the intervention group; detailed contamination assessment in controls was limited.</w:t>
            </w:r>
          </w:p>
        </w:tc>
        <w:tc>
          <w:tcPr>
            <w:tcW w:w="2090" w:type="dxa"/>
            <w:tcBorders>
              <w:top w:val="nil"/>
              <w:left w:val="nil"/>
              <w:bottom w:val="nil"/>
              <w:right w:val="nil"/>
            </w:tcBorders>
            <w:shd w:val="clear" w:color="auto" w:fill="FFFFFF"/>
            <w:vAlign w:val="top"/>
          </w:tcPr>
          <w:p w14:paraId="50B8DB1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football warm-up / training</w:t>
            </w:r>
          </w:p>
        </w:tc>
      </w:tr>
      <w:tr w14:paraId="0B75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nil"/>
              <w:right w:val="nil"/>
            </w:tcBorders>
            <w:shd w:val="clear" w:color="auto" w:fill="FFFFFF"/>
            <w:vAlign w:val="top"/>
          </w:tcPr>
          <w:p w14:paraId="6FEC597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 xml:space="preserve">van de Hoef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2019</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top"/>
          </w:tcPr>
          <w:p w14:paraId="7DA1F8B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soccer training / regular training programme</w:t>
            </w:r>
          </w:p>
        </w:tc>
        <w:tc>
          <w:tcPr>
            <w:tcW w:w="2534" w:type="dxa"/>
            <w:tcBorders>
              <w:top w:val="nil"/>
              <w:left w:val="nil"/>
              <w:bottom w:val="nil"/>
              <w:right w:val="nil"/>
            </w:tcBorders>
            <w:shd w:val="clear" w:color="auto" w:fill="FFFFFF"/>
            <w:vAlign w:val="top"/>
          </w:tcPr>
          <w:p w14:paraId="554D04C0">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Both groups were instructed to perform their regular training programme, while the intervention group additionally performed the bounding exercise programme; the control group performed usual soccer training.</w:t>
            </w:r>
          </w:p>
        </w:tc>
        <w:tc>
          <w:tcPr>
            <w:tcW w:w="3216" w:type="dxa"/>
            <w:tcBorders>
              <w:top w:val="nil"/>
              <w:left w:val="nil"/>
              <w:bottom w:val="nil"/>
              <w:right w:val="nil"/>
            </w:tcBorders>
            <w:shd w:val="clear" w:color="auto" w:fill="FFFFFF"/>
            <w:vAlign w:val="top"/>
          </w:tcPr>
          <w:p w14:paraId="135F72A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No detailed description of control training content; BEP monitoring focused on the intervention group.</w:t>
            </w:r>
          </w:p>
        </w:tc>
        <w:tc>
          <w:tcPr>
            <w:tcW w:w="2090" w:type="dxa"/>
            <w:tcBorders>
              <w:top w:val="nil"/>
              <w:left w:val="nil"/>
              <w:bottom w:val="nil"/>
              <w:right w:val="nil"/>
            </w:tcBorders>
            <w:shd w:val="clear" w:color="auto" w:fill="FFFFFF"/>
            <w:vAlign w:val="top"/>
          </w:tcPr>
          <w:p w14:paraId="59A6629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Regular soccer training</w:t>
            </w:r>
          </w:p>
        </w:tc>
      </w:tr>
      <w:tr w14:paraId="6238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nil"/>
              <w:right w:val="nil"/>
            </w:tcBorders>
            <w:shd w:val="clear" w:color="auto" w:fill="FFFFFF"/>
            <w:vAlign w:val="top"/>
          </w:tcPr>
          <w:p w14:paraId="4026F09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 xml:space="preserve">van der Horst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2015</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top"/>
          </w:tcPr>
          <w:p w14:paraId="3625F8D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NHE</w:t>
            </w:r>
          </w:p>
        </w:tc>
        <w:tc>
          <w:tcPr>
            <w:tcW w:w="2534" w:type="dxa"/>
            <w:tcBorders>
              <w:top w:val="nil"/>
              <w:left w:val="nil"/>
              <w:bottom w:val="nil"/>
              <w:right w:val="nil"/>
            </w:tcBorders>
            <w:shd w:val="clear" w:color="auto" w:fill="FFFFFF"/>
            <w:vAlign w:val="top"/>
          </w:tcPr>
          <w:p w14:paraId="6569D4A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Regular soccer training</w:t>
            </w:r>
          </w:p>
        </w:tc>
        <w:tc>
          <w:tcPr>
            <w:tcW w:w="3216" w:type="dxa"/>
            <w:tcBorders>
              <w:top w:val="nil"/>
              <w:left w:val="nil"/>
              <w:bottom w:val="nil"/>
              <w:right w:val="nil"/>
            </w:tcBorders>
            <w:shd w:val="clear" w:color="auto" w:fill="FFFFFF"/>
            <w:vAlign w:val="top"/>
          </w:tcPr>
          <w:p w14:paraId="3C86B248">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Both intervention and control groups performed regular soccer training; intervention teams additionally performed NHE.</w:t>
            </w:r>
          </w:p>
        </w:tc>
        <w:tc>
          <w:tcPr>
            <w:tcW w:w="2090" w:type="dxa"/>
            <w:tcBorders>
              <w:top w:val="nil"/>
              <w:left w:val="nil"/>
              <w:bottom w:val="nil"/>
              <w:right w:val="nil"/>
            </w:tcBorders>
            <w:shd w:val="clear" w:color="auto" w:fill="FFFFFF"/>
            <w:vAlign w:val="top"/>
          </w:tcPr>
          <w:p w14:paraId="092F3EA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Control teams did not receive the NHE protocol.</w:t>
            </w:r>
          </w:p>
        </w:tc>
      </w:tr>
      <w:tr w14:paraId="50BD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nil"/>
              <w:right w:val="nil"/>
            </w:tcBorders>
            <w:shd w:val="clear" w:color="auto" w:fill="FFFFFF"/>
            <w:vAlign w:val="top"/>
          </w:tcPr>
          <w:p w14:paraId="17DE708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Engebretsen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2008</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top"/>
          </w:tcPr>
          <w:p w14:paraId="6E40F7F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Targeted exercise / NHE-related programme</w:t>
            </w:r>
          </w:p>
        </w:tc>
        <w:tc>
          <w:tcPr>
            <w:tcW w:w="2534" w:type="dxa"/>
            <w:tcBorders>
              <w:top w:val="nil"/>
              <w:left w:val="nil"/>
              <w:bottom w:val="nil"/>
              <w:right w:val="nil"/>
            </w:tcBorders>
            <w:shd w:val="clear" w:color="auto" w:fill="FFFFFF"/>
            <w:vAlign w:val="top"/>
          </w:tcPr>
          <w:p w14:paraId="1ABAD36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High-risk control / low-risk control; regular team training</w:t>
            </w:r>
          </w:p>
        </w:tc>
        <w:tc>
          <w:tcPr>
            <w:tcW w:w="3216" w:type="dxa"/>
            <w:tcBorders>
              <w:top w:val="nil"/>
              <w:left w:val="nil"/>
              <w:bottom w:val="nil"/>
              <w:right w:val="nil"/>
            </w:tcBorders>
            <w:shd w:val="clear" w:color="auto" w:fill="FFFFFF"/>
            <w:vAlign w:val="top"/>
          </w:tcPr>
          <w:p w14:paraId="7746D08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The high-risk control group did not receive the prescribed targeted exercises. Intervention exercises were intended to be performed outside regular team training to avoid contamination.</w:t>
            </w:r>
          </w:p>
        </w:tc>
        <w:tc>
          <w:tcPr>
            <w:tcW w:w="2090" w:type="dxa"/>
            <w:tcBorders>
              <w:top w:val="nil"/>
              <w:left w:val="nil"/>
              <w:bottom w:val="nil"/>
              <w:right w:val="nil"/>
            </w:tcBorders>
            <w:shd w:val="clear" w:color="auto" w:fill="FFFFFF"/>
            <w:vAlign w:val="top"/>
          </w:tcPr>
          <w:p w14:paraId="03ED518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Not purely absent: many teams performed team-based preventive exercises similar to the intervention during the preseason.</w:t>
            </w:r>
          </w:p>
        </w:tc>
      </w:tr>
      <w:tr w14:paraId="4B08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41" w:type="dxa"/>
            <w:tcBorders>
              <w:top w:val="nil"/>
              <w:left w:val="nil"/>
              <w:bottom w:val="single" w:color="000000" w:sz="12" w:space="0"/>
              <w:right w:val="nil"/>
            </w:tcBorders>
            <w:shd w:val="clear" w:color="auto" w:fill="FFFFFF"/>
            <w:vAlign w:val="top"/>
          </w:tcPr>
          <w:p w14:paraId="72B881F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Silvers-Granelli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2015</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single" w:color="000000" w:sz="12" w:space="0"/>
              <w:right w:val="nil"/>
            </w:tcBorders>
            <w:shd w:val="clear" w:color="auto" w:fill="FFFFFF"/>
            <w:vAlign w:val="top"/>
          </w:tcPr>
          <w:p w14:paraId="51B74EA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534" w:type="dxa"/>
            <w:tcBorders>
              <w:top w:val="nil"/>
              <w:left w:val="nil"/>
              <w:bottom w:val="single" w:color="000000" w:sz="12" w:space="0"/>
              <w:right w:val="nil"/>
            </w:tcBorders>
            <w:shd w:val="clear" w:color="auto" w:fill="FFFFFF"/>
            <w:vAlign w:val="top"/>
          </w:tcPr>
          <w:p w14:paraId="6BB77BD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Typical soccer warm-up</w:t>
            </w:r>
          </w:p>
        </w:tc>
        <w:tc>
          <w:tcPr>
            <w:tcW w:w="3216" w:type="dxa"/>
            <w:tcBorders>
              <w:top w:val="nil"/>
              <w:left w:val="nil"/>
              <w:bottom w:val="single" w:color="000000" w:sz="12" w:space="0"/>
              <w:right w:val="nil"/>
            </w:tcBorders>
            <w:shd w:val="clear" w:color="auto" w:fill="FFFFFF"/>
            <w:vAlign w:val="top"/>
          </w:tcPr>
          <w:p w14:paraId="77A6A4C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Control teams did not receive FIFA 11+ materials until the end of data collection. Typical soccer warm-ups were described as heterogeneous, usually including running exercises, static and/or dynamic stretching, change-of-direction movements, and short passing, lasting 5–45 minutes; they did not typically emphasize qualitative movement.</w:t>
            </w:r>
          </w:p>
        </w:tc>
        <w:tc>
          <w:tcPr>
            <w:tcW w:w="2090" w:type="dxa"/>
            <w:tcBorders>
              <w:top w:val="nil"/>
              <w:left w:val="nil"/>
              <w:bottom w:val="single" w:color="000000" w:sz="12" w:space="0"/>
              <w:right w:val="nil"/>
            </w:tcBorders>
            <w:shd w:val="clear" w:color="auto" w:fill="FFFFFF"/>
            <w:vAlign w:val="top"/>
          </w:tcPr>
          <w:p w14:paraId="23964E1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No FIFA 11+ in control group during data collection.</w:t>
            </w:r>
          </w:p>
        </w:tc>
      </w:tr>
    </w:tbl>
    <w:p w14:paraId="6DA35797">
      <w:pPr>
        <w:pStyle w:val="2"/>
        <w:ind w:left="0" w:leftChars="0" w:firstLine="0" w:firstLineChars="0"/>
        <w:jc w:val="center"/>
        <w:rPr>
          <w:rFonts w:hint="default" w:ascii="Times New Roman" w:hAnsi="Times New Roman" w:eastAsia="Times New Roman" w:cs="Times New Roman"/>
          <w:b w:val="0"/>
          <w:bCs w:val="0"/>
          <w:sz w:val="24"/>
          <w:szCs w:val="22"/>
          <w:lang w:val="en-US" w:eastAsia="zh-CN"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 xml:space="preserve">6. </w:t>
      </w:r>
      <w:r>
        <w:rPr>
          <w:rFonts w:ascii="Times New Roman" w:hAnsi="Times New Roman" w:eastAsia="Times New Roman" w:cs="Times New Roman"/>
          <w:b w:val="0"/>
          <w:bCs w:val="0"/>
          <w:sz w:val="24"/>
          <w:szCs w:val="22"/>
          <w:lang w:val="en-US" w:eastAsia="en-US" w:bidi="ar-SA"/>
        </w:rPr>
        <w:t>Characteristics of usual-training control conditions across included trials</w:t>
      </w:r>
    </w:p>
    <w:p w14:paraId="45D27916">
      <w:pPr>
        <w:pStyle w:val="2"/>
        <w:ind w:left="0" w:leftChars="0" w:firstLine="0" w:firstLineChars="0"/>
        <w:jc w:val="both"/>
        <w:rPr>
          <w:rFonts w:hint="default" w:ascii="Times New Roman" w:hAnsi="Times New Roman" w:eastAsia="宋体" w:cs="Times New Roman"/>
          <w:b w:val="0"/>
          <w:bCs w:val="0"/>
          <w:i w:val="0"/>
          <w:iCs w:val="0"/>
          <w:color w:val="000000"/>
          <w:kern w:val="0"/>
          <w:sz w:val="18"/>
          <w:szCs w:val="18"/>
          <w:u w:val="none"/>
          <w:lang w:val="en-US" w:eastAsia="zh-CN" w:bidi="ar"/>
        </w:rPr>
        <w:sectPr>
          <w:pgSz w:w="11920" w:h="16850"/>
          <w:pgMar w:top="1200" w:right="560" w:bottom="280" w:left="700" w:header="720" w:footer="720" w:gutter="0"/>
          <w:cols w:space="720" w:num="1"/>
        </w:sectPr>
      </w:pPr>
      <w:r>
        <w:rPr>
          <w:rFonts w:hint="default" w:ascii="Times New Roman" w:hAnsi="Times New Roman" w:eastAsia="宋体" w:cs="Times New Roman"/>
          <w:b/>
          <w:bCs/>
          <w:i w:val="0"/>
          <w:iCs w:val="0"/>
          <w:color w:val="000000"/>
          <w:kern w:val="0"/>
          <w:sz w:val="18"/>
          <w:szCs w:val="18"/>
          <w:u w:val="none"/>
          <w:lang w:val="en-US" w:eastAsia="zh-CN" w:bidi="ar"/>
        </w:rPr>
        <w:t>Note:</w:t>
      </w:r>
      <w:r>
        <w:rPr>
          <w:rFonts w:hint="default" w:ascii="Times New Roman" w:hAnsi="Times New Roman" w:eastAsia="宋体" w:cs="Times New Roman"/>
          <w:b w:val="0"/>
          <w:bCs w:val="0"/>
          <w:i w:val="0"/>
          <w:iCs w:val="0"/>
          <w:color w:val="000000"/>
          <w:kern w:val="0"/>
          <w:sz w:val="18"/>
          <w:szCs w:val="18"/>
          <w:u w:val="none"/>
          <w:lang w:val="en-US" w:eastAsia="zh-CN" w:bidi="ar"/>
        </w:rPr>
        <w:t xml:space="preserve"> Comparator descriptions were extracted as reported in the original trial publications. “Not reported in detail” indicates that the original study did not provide an exercise-by-exercise description of the control warm-up or usual-training condition. “Structured prevention programme” refers to a formal injury-prevention programme comparable to the assigned intervention, not to general football conditioning, stretching, warm-up, or ad hoc exercise. This table was used to assess whether heterogeneity in the usual-training node could threaten transitivity and indirect comparisons</w:t>
      </w:r>
      <w:r>
        <w:rPr>
          <w:rFonts w:hint="eastAsia" w:eastAsia="宋体" w:cs="Times New Roman"/>
          <w:b w:val="0"/>
          <w:bCs w:val="0"/>
          <w:i w:val="0"/>
          <w:iCs w:val="0"/>
          <w:color w:val="000000"/>
          <w:kern w:val="0"/>
          <w:sz w:val="18"/>
          <w:szCs w:val="18"/>
          <w:u w:val="none"/>
          <w:lang w:val="en-US" w:eastAsia="zh-CN" w:bidi="ar"/>
        </w:rPr>
        <w:t>.</w:t>
      </w:r>
    </w:p>
    <w:p w14:paraId="762E51A3">
      <w:pPr>
        <w:pStyle w:val="2"/>
        <w:ind w:left="0" w:leftChars="0" w:firstLine="0" w:firstLineChars="0"/>
        <w:jc w:val="center"/>
        <w:rPr>
          <w:rFonts w:hint="eastAsia" w:eastAsia="宋体"/>
          <w:b/>
          <w:spacing w:val="-4"/>
          <w:sz w:val="24"/>
          <w:lang w:val="en-US" w:eastAsia="zh-CN"/>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6. (continued)</w:t>
      </w:r>
    </w:p>
    <w:p w14:paraId="0A2F76AE">
      <w:pPr>
        <w:pStyle w:val="2"/>
        <w:ind w:left="0" w:leftChars="0" w:firstLine="0" w:firstLineChars="0"/>
        <w:jc w:val="center"/>
        <w:rPr>
          <w:rFonts w:hint="default" w:eastAsia="宋体"/>
          <w:b/>
          <w:spacing w:val="-4"/>
          <w:sz w:val="24"/>
          <w:lang w:val="en-US" w:eastAsia="en-US"/>
        </w:rPr>
      </w:pPr>
    </w:p>
    <w:tbl>
      <w:tblPr>
        <w:tblStyle w:val="8"/>
        <w:tblpPr w:leftFromText="180" w:rightFromText="180" w:vertAnchor="text" w:horzAnchor="page" w:tblpX="904" w:tblpY="179"/>
        <w:tblOverlap w:val="never"/>
        <w:tblW w:w="10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1382"/>
        <w:gridCol w:w="2534"/>
        <w:gridCol w:w="3216"/>
        <w:gridCol w:w="2090"/>
      </w:tblGrid>
      <w:tr w14:paraId="02B2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single" w:color="000000" w:sz="12" w:space="0"/>
              <w:left w:val="nil"/>
              <w:bottom w:val="single" w:color="000000" w:sz="4" w:space="0"/>
              <w:right w:val="nil"/>
              <w:tl2br w:val="nil"/>
            </w:tcBorders>
            <w:shd w:val="clear" w:color="auto" w:fill="FFFFFF"/>
            <w:vAlign w:val="center"/>
          </w:tcPr>
          <w:p w14:paraId="2B369B3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Study</w:t>
            </w:r>
          </w:p>
        </w:tc>
        <w:tc>
          <w:tcPr>
            <w:tcW w:w="1382" w:type="dxa"/>
            <w:tcBorders>
              <w:top w:val="single" w:color="000000" w:sz="12" w:space="0"/>
              <w:left w:val="nil"/>
              <w:bottom w:val="single" w:color="000000" w:sz="4" w:space="0"/>
              <w:right w:val="nil"/>
            </w:tcBorders>
            <w:shd w:val="clear" w:color="auto" w:fill="FFFFFF"/>
            <w:vAlign w:val="center"/>
          </w:tcPr>
          <w:p w14:paraId="37A764FA">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Control condition as reported</w:t>
            </w:r>
          </w:p>
        </w:tc>
        <w:tc>
          <w:tcPr>
            <w:tcW w:w="2534" w:type="dxa"/>
            <w:tcBorders>
              <w:top w:val="single" w:color="000000" w:sz="12" w:space="0"/>
              <w:left w:val="nil"/>
              <w:bottom w:val="single" w:color="000000" w:sz="4" w:space="0"/>
              <w:right w:val="nil"/>
            </w:tcBorders>
            <w:shd w:val="clear" w:color="auto" w:fill="FFFFFF"/>
            <w:vAlign w:val="center"/>
          </w:tcPr>
          <w:p w14:paraId="5E81A768">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Description of usual training / warm-up in control group</w:t>
            </w:r>
          </w:p>
        </w:tc>
        <w:tc>
          <w:tcPr>
            <w:tcW w:w="3216" w:type="dxa"/>
            <w:tcBorders>
              <w:top w:val="single" w:color="000000" w:sz="12" w:space="0"/>
              <w:left w:val="nil"/>
              <w:bottom w:val="single" w:color="000000" w:sz="4" w:space="0"/>
              <w:right w:val="nil"/>
            </w:tcBorders>
            <w:shd w:val="clear" w:color="auto" w:fill="FFFFFF"/>
            <w:vAlign w:val="center"/>
          </w:tcPr>
          <w:p w14:paraId="79EDF8F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Contamination monitoring or comments</w:t>
            </w:r>
          </w:p>
        </w:tc>
        <w:tc>
          <w:tcPr>
            <w:tcW w:w="2090" w:type="dxa"/>
            <w:tcBorders>
              <w:top w:val="single" w:color="000000" w:sz="12" w:space="0"/>
              <w:left w:val="nil"/>
              <w:bottom w:val="single" w:color="000000" w:sz="4" w:space="0"/>
              <w:right w:val="nil"/>
            </w:tcBorders>
            <w:shd w:val="clear" w:color="auto" w:fill="FFFFFF"/>
            <w:vAlign w:val="center"/>
          </w:tcPr>
          <w:p w14:paraId="7120227E">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sz w:val="20"/>
                <w:szCs w:val="22"/>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Comparator classification</w:t>
            </w:r>
          </w:p>
        </w:tc>
      </w:tr>
      <w:tr w14:paraId="2ACE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single" w:color="000000" w:sz="4" w:space="0"/>
              <w:left w:val="nil"/>
              <w:bottom w:val="nil"/>
              <w:right w:val="nil"/>
              <w:tl2br w:val="nil"/>
            </w:tcBorders>
            <w:shd w:val="clear" w:color="auto" w:fill="FFFFFF"/>
            <w:vAlign w:val="center"/>
          </w:tcPr>
          <w:p w14:paraId="1FE41CB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van Beijsterveldt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2012</w:t>
            </w:r>
            <w:r>
              <w:rPr>
                <w:rFonts w:hint="eastAsia" w:ascii="Times New Roman" w:eastAsia="宋体" w:cs="Times New Roman"/>
                <w:b w:val="0"/>
                <w:color w:val="000000"/>
                <w:kern w:val="0"/>
                <w:sz w:val="20"/>
                <w:szCs w:val="20"/>
                <w:lang w:val="en-US" w:eastAsia="zh-CN" w:bidi="ar"/>
              </w:rPr>
              <w:t>)</w:t>
            </w:r>
          </w:p>
        </w:tc>
        <w:tc>
          <w:tcPr>
            <w:tcW w:w="1382" w:type="dxa"/>
            <w:tcBorders>
              <w:top w:val="single" w:color="000000" w:sz="4" w:space="0"/>
              <w:left w:val="nil"/>
              <w:bottom w:val="nil"/>
              <w:right w:val="nil"/>
            </w:tcBorders>
            <w:shd w:val="clear" w:color="auto" w:fill="FFFFFF"/>
            <w:vAlign w:val="center"/>
          </w:tcPr>
          <w:p w14:paraId="779496D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 / The11</w:t>
            </w:r>
          </w:p>
        </w:tc>
        <w:tc>
          <w:tcPr>
            <w:tcW w:w="2534" w:type="dxa"/>
            <w:tcBorders>
              <w:top w:val="single" w:color="000000" w:sz="4" w:space="0"/>
              <w:left w:val="nil"/>
              <w:bottom w:val="nil"/>
              <w:right w:val="nil"/>
            </w:tcBorders>
            <w:shd w:val="clear" w:color="auto" w:fill="FFFFFF"/>
            <w:vAlign w:val="center"/>
          </w:tcPr>
          <w:p w14:paraId="1440F34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Practice sessions as usual</w:t>
            </w:r>
          </w:p>
        </w:tc>
        <w:tc>
          <w:tcPr>
            <w:tcW w:w="3216" w:type="dxa"/>
            <w:tcBorders>
              <w:top w:val="single" w:color="000000" w:sz="4" w:space="0"/>
              <w:left w:val="nil"/>
              <w:bottom w:val="nil"/>
              <w:right w:val="nil"/>
            </w:tcBorders>
            <w:shd w:val="clear" w:color="auto" w:fill="FFFFFF"/>
            <w:vAlign w:val="center"/>
          </w:tcPr>
          <w:p w14:paraId="0FF3D72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All control participants continued their practice sessions as usual.</w:t>
            </w:r>
          </w:p>
        </w:tc>
        <w:tc>
          <w:tcPr>
            <w:tcW w:w="2090" w:type="dxa"/>
            <w:tcBorders>
              <w:top w:val="single" w:color="000000" w:sz="4" w:space="0"/>
              <w:left w:val="nil"/>
              <w:bottom w:val="nil"/>
              <w:right w:val="nil"/>
            </w:tcBorders>
            <w:shd w:val="clear" w:color="auto" w:fill="FFFFFF"/>
            <w:vAlign w:val="center"/>
          </w:tcPr>
          <w:p w14:paraId="653AA70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The article reported that none of the control teams regularly performed a structured prevention programme comparable to the intervention.</w:t>
            </w:r>
          </w:p>
          <w:p w14:paraId="571C9AC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p>
        </w:tc>
      </w:tr>
      <w:tr w14:paraId="22FD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single" w:color="000000" w:sz="4" w:space="0"/>
              <w:left w:val="nil"/>
              <w:bottom w:val="nil"/>
              <w:right w:val="nil"/>
              <w:tl2br w:val="nil"/>
            </w:tcBorders>
            <w:shd w:val="clear" w:color="auto" w:fill="FFFFFF"/>
            <w:vAlign w:val="center"/>
          </w:tcPr>
          <w:p w14:paraId="2B03B2E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Owoeye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2014</w:t>
            </w:r>
            <w:r>
              <w:rPr>
                <w:rFonts w:hint="eastAsia" w:ascii="Times New Roman" w:eastAsia="宋体" w:cs="Times New Roman"/>
                <w:b w:val="0"/>
                <w:color w:val="000000"/>
                <w:kern w:val="0"/>
                <w:sz w:val="20"/>
                <w:szCs w:val="20"/>
                <w:lang w:val="en-US" w:eastAsia="zh-CN" w:bidi="ar"/>
              </w:rPr>
              <w:t>)</w:t>
            </w:r>
          </w:p>
        </w:tc>
        <w:tc>
          <w:tcPr>
            <w:tcW w:w="1382" w:type="dxa"/>
            <w:tcBorders>
              <w:top w:val="single" w:color="000000" w:sz="4" w:space="0"/>
              <w:left w:val="nil"/>
              <w:bottom w:val="nil"/>
              <w:right w:val="nil"/>
            </w:tcBorders>
            <w:shd w:val="clear" w:color="auto" w:fill="FFFFFF"/>
            <w:vAlign w:val="center"/>
          </w:tcPr>
          <w:p w14:paraId="5074335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534" w:type="dxa"/>
            <w:tcBorders>
              <w:top w:val="single" w:color="000000" w:sz="4" w:space="0"/>
              <w:left w:val="nil"/>
              <w:bottom w:val="nil"/>
              <w:right w:val="nil"/>
            </w:tcBorders>
            <w:shd w:val="clear" w:color="auto" w:fill="FFFFFF"/>
            <w:vAlign w:val="center"/>
          </w:tcPr>
          <w:p w14:paraId="2190677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Usual non-structured warm-up</w:t>
            </w:r>
          </w:p>
        </w:tc>
        <w:tc>
          <w:tcPr>
            <w:tcW w:w="3216" w:type="dxa"/>
            <w:tcBorders>
              <w:top w:val="single" w:color="000000" w:sz="4" w:space="0"/>
              <w:left w:val="nil"/>
              <w:bottom w:val="nil"/>
              <w:right w:val="nil"/>
            </w:tcBorders>
            <w:shd w:val="clear" w:color="auto" w:fill="FFFFFF"/>
            <w:vAlign w:val="center"/>
          </w:tcPr>
          <w:p w14:paraId="774C87A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Control players were instructed to continue their usual non-structured warm-up during training periods with no additional training programme.</w:t>
            </w:r>
          </w:p>
        </w:tc>
        <w:tc>
          <w:tcPr>
            <w:tcW w:w="2090" w:type="dxa"/>
            <w:tcBorders>
              <w:top w:val="single" w:color="000000" w:sz="4" w:space="0"/>
              <w:left w:val="nil"/>
              <w:bottom w:val="nil"/>
              <w:right w:val="nil"/>
            </w:tcBorders>
            <w:shd w:val="clear" w:color="auto" w:fill="FFFFFF"/>
            <w:vAlign w:val="center"/>
          </w:tcPr>
          <w:p w14:paraId="143B9DD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No additional structured prevention programme in control group.</w:t>
            </w:r>
          </w:p>
        </w:tc>
      </w:tr>
      <w:tr w14:paraId="6F11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nil"/>
              <w:left w:val="nil"/>
              <w:bottom w:val="nil"/>
              <w:right w:val="nil"/>
              <w:tl2br w:val="nil"/>
            </w:tcBorders>
            <w:shd w:val="clear" w:color="auto" w:fill="FFFFFF"/>
            <w:vAlign w:val="center"/>
          </w:tcPr>
          <w:p w14:paraId="00826C9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Hammes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2015</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nil"/>
              <w:right w:val="nil"/>
            </w:tcBorders>
            <w:shd w:val="clear" w:color="auto" w:fill="FFFFFF"/>
            <w:vAlign w:val="center"/>
          </w:tcPr>
          <w:p w14:paraId="53F0B6A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534" w:type="dxa"/>
            <w:tcBorders>
              <w:top w:val="nil"/>
              <w:left w:val="nil"/>
              <w:bottom w:val="nil"/>
              <w:right w:val="nil"/>
            </w:tcBorders>
            <w:shd w:val="clear" w:color="auto" w:fill="FFFFFF"/>
            <w:vAlign w:val="center"/>
          </w:tcPr>
          <w:p w14:paraId="5A3CF70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Regular training routine</w:t>
            </w:r>
          </w:p>
        </w:tc>
        <w:tc>
          <w:tcPr>
            <w:tcW w:w="3216" w:type="dxa"/>
            <w:tcBorders>
              <w:top w:val="nil"/>
              <w:left w:val="nil"/>
              <w:bottom w:val="nil"/>
              <w:right w:val="nil"/>
            </w:tcBorders>
            <w:shd w:val="clear" w:color="auto" w:fill="FFFFFF"/>
            <w:vAlign w:val="center"/>
          </w:tcPr>
          <w:p w14:paraId="75D8DDA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Control teams followed their regular training routine, usually without a structured warm-up programme. The study did not implement FIFA 11+ before matches because of practical match-day constraints.</w:t>
            </w:r>
          </w:p>
        </w:tc>
        <w:tc>
          <w:tcPr>
            <w:tcW w:w="2090" w:type="dxa"/>
            <w:tcBorders>
              <w:top w:val="nil"/>
              <w:left w:val="nil"/>
              <w:bottom w:val="nil"/>
              <w:right w:val="nil"/>
            </w:tcBorders>
            <w:shd w:val="clear" w:color="auto" w:fill="FFFFFF"/>
            <w:vAlign w:val="center"/>
          </w:tcPr>
          <w:p w14:paraId="1680D7A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Usually no structured warm-up programme in control group.</w:t>
            </w:r>
          </w:p>
        </w:tc>
      </w:tr>
      <w:tr w14:paraId="4F33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341" w:type="dxa"/>
            <w:tcBorders>
              <w:top w:val="nil"/>
              <w:left w:val="nil"/>
              <w:bottom w:val="single" w:color="000000" w:sz="12" w:space="0"/>
              <w:right w:val="nil"/>
              <w:tl2br w:val="nil"/>
            </w:tcBorders>
            <w:shd w:val="clear" w:color="auto" w:fill="FFFFFF"/>
            <w:vAlign w:val="center"/>
          </w:tcPr>
          <w:p w14:paraId="07FB30B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 xml:space="preserve">Hasebe et al. </w:t>
            </w:r>
            <w:r>
              <w:rPr>
                <w:rFonts w:hint="eastAsia" w:ascii="Times New Roman" w:eastAsia="宋体" w:cs="Times New Roman"/>
                <w:b w:val="0"/>
                <w:color w:val="000000"/>
                <w:kern w:val="0"/>
                <w:sz w:val="20"/>
                <w:szCs w:val="20"/>
                <w:lang w:val="en-US" w:eastAsia="zh-CN" w:bidi="ar"/>
              </w:rPr>
              <w:t>(</w:t>
            </w:r>
            <w:r>
              <w:rPr>
                <w:rFonts w:hint="default" w:ascii="Times New Roman" w:hAnsi="Times New Roman" w:eastAsia="宋体" w:cs="Times New Roman"/>
                <w:b w:val="0"/>
                <w:color w:val="000000"/>
                <w:kern w:val="0"/>
                <w:sz w:val="20"/>
                <w:szCs w:val="20"/>
                <w:lang w:val="en-US" w:eastAsia="zh-CN" w:bidi="ar"/>
              </w:rPr>
              <w:t>2020</w:t>
            </w:r>
            <w:r>
              <w:rPr>
                <w:rFonts w:hint="eastAsia" w:ascii="Times New Roman" w:eastAsia="宋体" w:cs="Times New Roman"/>
                <w:b w:val="0"/>
                <w:color w:val="000000"/>
                <w:kern w:val="0"/>
                <w:sz w:val="20"/>
                <w:szCs w:val="20"/>
                <w:lang w:val="en-US" w:eastAsia="zh-CN" w:bidi="ar"/>
              </w:rPr>
              <w:t>)</w:t>
            </w:r>
          </w:p>
        </w:tc>
        <w:tc>
          <w:tcPr>
            <w:tcW w:w="1382" w:type="dxa"/>
            <w:tcBorders>
              <w:top w:val="nil"/>
              <w:left w:val="nil"/>
              <w:bottom w:val="single" w:color="000000" w:sz="12" w:space="0"/>
              <w:right w:val="nil"/>
            </w:tcBorders>
            <w:shd w:val="clear" w:color="auto" w:fill="FFFFFF"/>
            <w:vAlign w:val="center"/>
          </w:tcPr>
          <w:p w14:paraId="55C1EF6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NHE</w:t>
            </w:r>
          </w:p>
        </w:tc>
        <w:tc>
          <w:tcPr>
            <w:tcW w:w="2534" w:type="dxa"/>
            <w:tcBorders>
              <w:top w:val="nil"/>
              <w:left w:val="nil"/>
              <w:bottom w:val="single" w:color="000000" w:sz="12" w:space="0"/>
              <w:right w:val="nil"/>
            </w:tcBorders>
            <w:shd w:val="clear" w:color="auto" w:fill="FFFFFF"/>
            <w:vAlign w:val="center"/>
          </w:tcPr>
          <w:p w14:paraId="3166CCA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Control intervention / normal training without NHE</w:t>
            </w:r>
          </w:p>
        </w:tc>
        <w:tc>
          <w:tcPr>
            <w:tcW w:w="3216" w:type="dxa"/>
            <w:tcBorders>
              <w:top w:val="nil"/>
              <w:left w:val="nil"/>
              <w:bottom w:val="single" w:color="000000" w:sz="12" w:space="0"/>
              <w:right w:val="nil"/>
            </w:tcBorders>
            <w:shd w:val="clear" w:color="auto" w:fill="FFFFFF"/>
            <w:vAlign w:val="center"/>
          </w:tcPr>
          <w:p w14:paraId="1925E06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Control teams did not receive NHE; the intervention group performed NHE after normal training and before cool-down. The detailed content of the control group’s usual training was not reported.</w:t>
            </w:r>
          </w:p>
        </w:tc>
        <w:tc>
          <w:tcPr>
            <w:tcW w:w="2090" w:type="dxa"/>
            <w:tcBorders>
              <w:top w:val="nil"/>
              <w:left w:val="nil"/>
              <w:bottom w:val="single" w:color="000000" w:sz="12" w:space="0"/>
              <w:right w:val="nil"/>
            </w:tcBorders>
            <w:shd w:val="clear" w:color="auto" w:fill="FFFFFF"/>
            <w:vAlign w:val="center"/>
          </w:tcPr>
          <w:p w14:paraId="0F68C8B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No hamstring-injury prevention training had been received before the study, and control teams did not undertake the NHE programme.</w:t>
            </w:r>
          </w:p>
        </w:tc>
      </w:tr>
    </w:tbl>
    <w:p w14:paraId="79D8968B">
      <w:pPr>
        <w:pStyle w:val="2"/>
        <w:ind w:left="0" w:leftChars="0" w:firstLine="0" w:firstLineChars="0"/>
        <w:jc w:val="both"/>
        <w:rPr>
          <w:rFonts w:hint="default" w:ascii="Times New Roman" w:hAnsi="Times New Roman" w:eastAsia="宋体" w:cs="Times New Roman"/>
          <w:b w:val="0"/>
          <w:bCs w:val="0"/>
          <w:i w:val="0"/>
          <w:iCs w:val="0"/>
          <w:color w:val="000000"/>
          <w:kern w:val="0"/>
          <w:sz w:val="18"/>
          <w:szCs w:val="18"/>
          <w:u w:val="none"/>
          <w:lang w:val="en-US" w:eastAsia="zh-CN" w:bidi="ar"/>
        </w:rPr>
        <w:sectPr>
          <w:pgSz w:w="11920" w:h="16850"/>
          <w:pgMar w:top="1200" w:right="560" w:bottom="280" w:left="700" w:header="720" w:footer="720" w:gutter="0"/>
          <w:cols w:space="720" w:num="1"/>
        </w:sectPr>
      </w:pPr>
      <w:r>
        <w:rPr>
          <w:rFonts w:hint="default" w:ascii="Times New Roman" w:hAnsi="Times New Roman" w:eastAsia="宋体" w:cs="Times New Roman"/>
          <w:b/>
          <w:bCs/>
          <w:i w:val="0"/>
          <w:iCs w:val="0"/>
          <w:color w:val="000000"/>
          <w:kern w:val="0"/>
          <w:sz w:val="18"/>
          <w:szCs w:val="18"/>
          <w:u w:val="none"/>
          <w:lang w:val="en-US" w:eastAsia="zh-CN" w:bidi="ar"/>
        </w:rPr>
        <w:t>Note:</w:t>
      </w:r>
      <w:r>
        <w:rPr>
          <w:rFonts w:hint="default" w:ascii="Times New Roman" w:hAnsi="Times New Roman" w:eastAsia="宋体" w:cs="Times New Roman"/>
          <w:b w:val="0"/>
          <w:bCs w:val="0"/>
          <w:i w:val="0"/>
          <w:iCs w:val="0"/>
          <w:color w:val="000000"/>
          <w:kern w:val="0"/>
          <w:sz w:val="18"/>
          <w:szCs w:val="18"/>
          <w:u w:val="none"/>
          <w:lang w:val="en-US" w:eastAsia="zh-CN" w:bidi="ar"/>
        </w:rPr>
        <w:t xml:space="preserve"> Comparator descriptions were extracted as reported in the original trial publications. “Not reported in detail” indicates that the original study did not provide an exercise-by-exercise description of the control warm-up or usual-training condition. “Structured prevention programme” refers to a formal injury-prevention programme comparable to the assigned intervention, not to general football conditioning, stretching, warm-up, or ad hoc exercise. This table was used to assess whether heterogeneity in the usual-training node could threaten transitivity and indirect comparisons</w:t>
      </w:r>
    </w:p>
    <w:p w14:paraId="54880269">
      <w:pPr>
        <w:pStyle w:val="6"/>
        <w:keepNext w:val="0"/>
        <w:keepLines w:val="0"/>
        <w:widowControl/>
        <w:suppressLineNumbers w:val="0"/>
        <w:spacing w:after="0" w:afterAutospacing="0"/>
        <w:jc w:val="center"/>
        <w:rPr>
          <w:rFonts w:ascii="Times New Roman" w:hAnsi="Times New Roman" w:eastAsia="Times New Roman" w:cs="Times New Roman"/>
          <w:b w:val="0"/>
          <w:bCs w:val="0"/>
          <w:kern w:val="0"/>
          <w:sz w:val="24"/>
          <w:szCs w:val="22"/>
          <w:lang w:val="en-US" w:eastAsia="en-US"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 xml:space="preserve">7. </w:t>
      </w:r>
      <w:r>
        <w:rPr>
          <w:rFonts w:ascii="Times New Roman" w:hAnsi="Times New Roman" w:eastAsia="Times New Roman" w:cs="Times New Roman"/>
          <w:b w:val="0"/>
          <w:bCs w:val="0"/>
          <w:kern w:val="0"/>
          <w:sz w:val="24"/>
          <w:szCs w:val="22"/>
          <w:lang w:val="en-US" w:eastAsia="en-US" w:bidi="ar-SA"/>
        </w:rPr>
        <w:t>Adherence and implementation fidelity across included trials</w:t>
      </w:r>
    </w:p>
    <w:tbl>
      <w:tblPr>
        <w:tblStyle w:val="8"/>
        <w:tblpPr w:leftFromText="180" w:rightFromText="180" w:vertAnchor="text" w:horzAnchor="page" w:tblpX="694" w:tblpY="261"/>
        <w:tblOverlap w:val="never"/>
        <w:tblW w:w="10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246"/>
        <w:gridCol w:w="2202"/>
        <w:gridCol w:w="2846"/>
        <w:gridCol w:w="1136"/>
        <w:gridCol w:w="2152"/>
      </w:tblGrid>
      <w:tr w14:paraId="329F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290" w:type="dxa"/>
            <w:tcBorders>
              <w:top w:val="single" w:color="000000" w:sz="12" w:space="0"/>
              <w:left w:val="nil"/>
              <w:bottom w:val="single" w:color="000000" w:sz="4" w:space="0"/>
              <w:right w:val="nil"/>
              <w:tl2br w:val="nil"/>
            </w:tcBorders>
            <w:shd w:val="clear" w:color="auto" w:fill="FFFFFF"/>
            <w:vAlign w:val="center"/>
          </w:tcPr>
          <w:p w14:paraId="1671CFE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bCs w:val="0"/>
                <w:color w:val="000000"/>
                <w:kern w:val="0"/>
                <w:sz w:val="20"/>
                <w:szCs w:val="22"/>
                <w:vertAlign w:val="baseline"/>
                <w:lang w:val="en-US" w:eastAsia="en-US" w:bidi="ar-SA"/>
              </w:rPr>
            </w:pPr>
            <w:r>
              <w:rPr>
                <w:rFonts w:hint="default" w:ascii="Times New Roman" w:hAnsi="Times New Roman" w:eastAsia="宋体" w:cs="Times New Roman"/>
                <w:b/>
                <w:bCs/>
                <w:color w:val="000000"/>
                <w:kern w:val="0"/>
                <w:sz w:val="20"/>
                <w:szCs w:val="20"/>
                <w:lang w:val="en-US" w:eastAsia="zh-CN" w:bidi="ar"/>
              </w:rPr>
              <w:t>Study</w:t>
            </w:r>
          </w:p>
        </w:tc>
        <w:tc>
          <w:tcPr>
            <w:tcW w:w="1246" w:type="dxa"/>
            <w:tcBorders>
              <w:top w:val="single" w:color="000000" w:sz="12" w:space="0"/>
              <w:left w:val="nil"/>
              <w:bottom w:val="single" w:color="000000" w:sz="4" w:space="0"/>
              <w:right w:val="nil"/>
            </w:tcBorders>
            <w:shd w:val="clear" w:color="auto" w:fill="FFFFFF"/>
            <w:vAlign w:val="center"/>
          </w:tcPr>
          <w:p w14:paraId="7B38B9DF">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bCs w:val="0"/>
                <w:color w:val="000000"/>
                <w:kern w:val="0"/>
                <w:sz w:val="20"/>
                <w:szCs w:val="22"/>
                <w:vertAlign w:val="baseline"/>
                <w:lang w:val="en-US" w:eastAsia="en-US" w:bidi="ar-SA"/>
              </w:rPr>
            </w:pPr>
            <w:r>
              <w:rPr>
                <w:rFonts w:hint="default" w:ascii="Times New Roman" w:hAnsi="Times New Roman" w:eastAsia="宋体" w:cs="Times New Roman"/>
                <w:b/>
                <w:bCs/>
                <w:color w:val="000000"/>
                <w:kern w:val="0"/>
                <w:sz w:val="20"/>
                <w:szCs w:val="20"/>
                <w:lang w:val="en-US" w:eastAsia="zh-CN" w:bidi="ar"/>
              </w:rPr>
              <w:t>Intervention</w:t>
            </w:r>
          </w:p>
        </w:tc>
        <w:tc>
          <w:tcPr>
            <w:tcW w:w="2202" w:type="dxa"/>
            <w:tcBorders>
              <w:top w:val="single" w:color="000000" w:sz="12" w:space="0"/>
              <w:left w:val="nil"/>
              <w:bottom w:val="single" w:color="000000" w:sz="4" w:space="0"/>
              <w:right w:val="nil"/>
            </w:tcBorders>
            <w:shd w:val="clear" w:color="auto" w:fill="FFFFFF"/>
            <w:vAlign w:val="center"/>
          </w:tcPr>
          <w:p w14:paraId="57543DDB">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bCs w:val="0"/>
                <w:color w:val="000000"/>
                <w:kern w:val="0"/>
                <w:sz w:val="20"/>
                <w:szCs w:val="22"/>
                <w:vertAlign w:val="baseline"/>
                <w:lang w:val="en-US" w:eastAsia="en-US" w:bidi="ar-SA"/>
              </w:rPr>
            </w:pPr>
            <w:r>
              <w:rPr>
                <w:rFonts w:hint="default" w:ascii="Times New Roman" w:hAnsi="Times New Roman" w:eastAsia="宋体" w:cs="Times New Roman"/>
                <w:b/>
                <w:bCs/>
                <w:color w:val="000000"/>
                <w:kern w:val="0"/>
                <w:sz w:val="20"/>
                <w:szCs w:val="20"/>
                <w:lang w:val="en-US" w:eastAsia="zh-CN" w:bidi="ar"/>
              </w:rPr>
              <w:t>Planned dose / frequency</w:t>
            </w:r>
          </w:p>
        </w:tc>
        <w:tc>
          <w:tcPr>
            <w:tcW w:w="2846" w:type="dxa"/>
            <w:tcBorders>
              <w:top w:val="single" w:color="000000" w:sz="12" w:space="0"/>
              <w:left w:val="nil"/>
              <w:bottom w:val="single" w:color="000000" w:sz="4" w:space="0"/>
              <w:right w:val="nil"/>
            </w:tcBorders>
            <w:shd w:val="clear" w:color="auto" w:fill="FFFFFF"/>
            <w:vAlign w:val="center"/>
          </w:tcPr>
          <w:p w14:paraId="21E7183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bCs w:val="0"/>
                <w:color w:val="000000"/>
                <w:kern w:val="0"/>
                <w:sz w:val="20"/>
                <w:szCs w:val="22"/>
                <w:vertAlign w:val="baseline"/>
                <w:lang w:val="en-US" w:eastAsia="en-US" w:bidi="ar-SA"/>
              </w:rPr>
            </w:pPr>
            <w:r>
              <w:rPr>
                <w:rFonts w:hint="default" w:ascii="Times New Roman" w:hAnsi="Times New Roman" w:eastAsia="宋体" w:cs="Times New Roman"/>
                <w:b/>
                <w:bCs/>
                <w:color w:val="000000"/>
                <w:kern w:val="0"/>
                <w:sz w:val="20"/>
                <w:szCs w:val="20"/>
                <w:lang w:val="en-US" w:eastAsia="zh-CN" w:bidi="ar"/>
              </w:rPr>
              <w:t>Reported adherence or compliance</w:t>
            </w:r>
          </w:p>
        </w:tc>
        <w:tc>
          <w:tcPr>
            <w:tcW w:w="1136" w:type="dxa"/>
            <w:tcBorders>
              <w:top w:val="single" w:color="000000" w:sz="12" w:space="0"/>
              <w:left w:val="nil"/>
              <w:bottom w:val="single" w:color="000000" w:sz="4" w:space="0"/>
              <w:right w:val="nil"/>
            </w:tcBorders>
            <w:shd w:val="clear" w:color="auto" w:fill="FFFFFF"/>
            <w:vAlign w:val="center"/>
          </w:tcPr>
          <w:p w14:paraId="1726EAC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bCs w:val="0"/>
                <w:color w:val="000000"/>
                <w:kern w:val="0"/>
                <w:sz w:val="20"/>
                <w:szCs w:val="22"/>
                <w:vertAlign w:val="baseline"/>
                <w:lang w:val="en-US" w:eastAsia="en-US" w:bidi="ar-SA"/>
              </w:rPr>
            </w:pPr>
            <w:r>
              <w:rPr>
                <w:rFonts w:hint="default" w:ascii="Times New Roman" w:hAnsi="Times New Roman" w:eastAsia="宋体" w:cs="Times New Roman"/>
                <w:b/>
                <w:bCs/>
                <w:color w:val="000000"/>
                <w:kern w:val="0"/>
                <w:sz w:val="20"/>
                <w:szCs w:val="20"/>
                <w:lang w:val="en-US" w:eastAsia="zh-CN" w:bidi="ar"/>
              </w:rPr>
              <w:t>Adherence category</w:t>
            </w:r>
          </w:p>
        </w:tc>
        <w:tc>
          <w:tcPr>
            <w:tcW w:w="2152" w:type="dxa"/>
            <w:tcBorders>
              <w:top w:val="single" w:color="000000" w:sz="12" w:space="0"/>
              <w:left w:val="nil"/>
              <w:bottom w:val="single" w:color="000000" w:sz="4" w:space="0"/>
              <w:right w:val="nil"/>
            </w:tcBorders>
            <w:shd w:val="clear" w:color="auto" w:fill="FFFFFF"/>
            <w:vAlign w:val="center"/>
          </w:tcPr>
          <w:p w14:paraId="0210235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color w:val="000000"/>
                <w:kern w:val="0"/>
                <w:sz w:val="20"/>
                <w:szCs w:val="20"/>
                <w:lang w:val="en-US" w:eastAsia="zh-CN" w:bidi="ar"/>
              </w:rPr>
            </w:pPr>
            <w:r>
              <w:rPr>
                <w:rFonts w:hint="eastAsia" w:eastAsia="宋体" w:cs="Times New Roman"/>
                <w:b/>
                <w:bCs/>
                <w:color w:val="000000"/>
                <w:kern w:val="0"/>
                <w:sz w:val="20"/>
                <w:szCs w:val="20"/>
                <w:lang w:val="en-US" w:eastAsia="zh-CN" w:bidi="ar"/>
              </w:rPr>
              <w:t>Notes</w:t>
            </w:r>
          </w:p>
        </w:tc>
      </w:tr>
      <w:tr w14:paraId="0210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single" w:color="000000" w:sz="4" w:space="0"/>
              <w:left w:val="nil"/>
              <w:bottom w:val="nil"/>
              <w:right w:val="nil"/>
            </w:tcBorders>
            <w:shd w:val="clear" w:color="auto" w:fill="FFFFFF"/>
            <w:vAlign w:val="center"/>
          </w:tcPr>
          <w:p w14:paraId="4DA2658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Hasebe et al. (2020)</w:t>
            </w:r>
          </w:p>
        </w:tc>
        <w:tc>
          <w:tcPr>
            <w:tcW w:w="1246" w:type="dxa"/>
            <w:tcBorders>
              <w:top w:val="single" w:color="000000" w:sz="4" w:space="0"/>
              <w:left w:val="nil"/>
              <w:bottom w:val="nil"/>
              <w:right w:val="nil"/>
            </w:tcBorders>
            <w:shd w:val="clear" w:color="auto" w:fill="FFFFFF"/>
            <w:vAlign w:val="center"/>
          </w:tcPr>
          <w:p w14:paraId="0E437FB9">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NHE</w:t>
            </w:r>
          </w:p>
        </w:tc>
        <w:tc>
          <w:tcPr>
            <w:tcW w:w="2202" w:type="dxa"/>
            <w:tcBorders>
              <w:top w:val="single" w:color="000000" w:sz="4" w:space="0"/>
              <w:left w:val="nil"/>
              <w:bottom w:val="nil"/>
              <w:right w:val="nil"/>
            </w:tcBorders>
            <w:shd w:val="clear" w:color="auto" w:fill="FFFFFF"/>
            <w:vAlign w:val="center"/>
          </w:tcPr>
          <w:p w14:paraId="0BAF883C">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27-week progressive NHE protocol; mostly 2 sessions/week after week 1</w:t>
            </w:r>
          </w:p>
        </w:tc>
        <w:tc>
          <w:tcPr>
            <w:tcW w:w="2846" w:type="dxa"/>
            <w:tcBorders>
              <w:top w:val="single" w:color="000000" w:sz="4" w:space="0"/>
              <w:left w:val="nil"/>
              <w:bottom w:val="nil"/>
              <w:right w:val="nil"/>
            </w:tcBorders>
            <w:shd w:val="clear" w:color="auto" w:fill="FFFFFF"/>
            <w:vAlign w:val="center"/>
          </w:tcPr>
          <w:p w14:paraId="5CE1448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Recordkeeping compliance 100%; NHE protocol compliance 88%</w:t>
            </w:r>
          </w:p>
        </w:tc>
        <w:tc>
          <w:tcPr>
            <w:tcW w:w="1136" w:type="dxa"/>
            <w:tcBorders>
              <w:top w:val="single" w:color="000000" w:sz="4" w:space="0"/>
              <w:left w:val="nil"/>
              <w:bottom w:val="nil"/>
              <w:right w:val="nil"/>
            </w:tcBorders>
            <w:shd w:val="clear" w:color="auto" w:fill="FFFFFF"/>
            <w:vAlign w:val="center"/>
          </w:tcPr>
          <w:p w14:paraId="381CD7F8">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High</w:t>
            </w:r>
          </w:p>
        </w:tc>
        <w:tc>
          <w:tcPr>
            <w:tcW w:w="2152" w:type="dxa"/>
            <w:tcBorders>
              <w:top w:val="single" w:color="000000" w:sz="4" w:space="0"/>
              <w:left w:val="nil"/>
              <w:bottom w:val="nil"/>
              <w:right w:val="nil"/>
            </w:tcBorders>
            <w:shd w:val="clear" w:color="auto" w:fill="FFFFFF"/>
            <w:vAlign w:val="center"/>
          </w:tcPr>
          <w:p w14:paraId="2772C76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NHE protocol compliance was 88%.</w:t>
            </w:r>
          </w:p>
        </w:tc>
      </w:tr>
      <w:tr w14:paraId="7B55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2E2F033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Al Attar et al. (2023)</w:t>
            </w:r>
          </w:p>
        </w:tc>
        <w:tc>
          <w:tcPr>
            <w:tcW w:w="1246" w:type="dxa"/>
            <w:tcBorders>
              <w:top w:val="nil"/>
              <w:left w:val="nil"/>
              <w:bottom w:val="nil"/>
              <w:right w:val="nil"/>
            </w:tcBorders>
            <w:shd w:val="clear" w:color="auto" w:fill="FFFFFF"/>
            <w:vAlign w:val="center"/>
          </w:tcPr>
          <w:p w14:paraId="4FAE920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 Kids</w:t>
            </w:r>
          </w:p>
        </w:tc>
        <w:tc>
          <w:tcPr>
            <w:tcW w:w="2202" w:type="dxa"/>
            <w:tcBorders>
              <w:top w:val="nil"/>
              <w:left w:val="nil"/>
              <w:bottom w:val="nil"/>
              <w:right w:val="nil"/>
            </w:tcBorders>
            <w:shd w:val="clear" w:color="auto" w:fill="FFFFFF"/>
            <w:vAlign w:val="center"/>
          </w:tcPr>
          <w:p w14:paraId="1E64FA0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15–20 min; at least twice/week; used during training sessions and matches over 6 months</w:t>
            </w:r>
          </w:p>
        </w:tc>
        <w:tc>
          <w:tcPr>
            <w:tcW w:w="2846" w:type="dxa"/>
            <w:tcBorders>
              <w:top w:val="nil"/>
              <w:left w:val="nil"/>
              <w:bottom w:val="nil"/>
              <w:right w:val="nil"/>
            </w:tcBorders>
            <w:shd w:val="clear" w:color="auto" w:fill="FFFFFF"/>
            <w:vAlign w:val="center"/>
          </w:tcPr>
          <w:p w14:paraId="617110BD">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Team compliance was 94% in the experimental group, with 45/48 training sessions completed; control group compliance was 89%, with 43/48 sessions completed.</w:t>
            </w:r>
          </w:p>
        </w:tc>
        <w:tc>
          <w:tcPr>
            <w:tcW w:w="1136" w:type="dxa"/>
            <w:tcBorders>
              <w:top w:val="nil"/>
              <w:left w:val="nil"/>
              <w:bottom w:val="nil"/>
              <w:right w:val="nil"/>
            </w:tcBorders>
            <w:shd w:val="clear" w:color="auto" w:fill="FFFFFF"/>
            <w:vAlign w:val="center"/>
          </w:tcPr>
          <w:p w14:paraId="15EA5BAE">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High</w:t>
            </w:r>
          </w:p>
        </w:tc>
        <w:tc>
          <w:tcPr>
            <w:tcW w:w="2152" w:type="dxa"/>
            <w:tcBorders>
              <w:top w:val="nil"/>
              <w:left w:val="nil"/>
              <w:bottom w:val="nil"/>
              <w:right w:val="nil"/>
            </w:tcBorders>
            <w:shd w:val="clear" w:color="auto" w:fill="FFFFFF"/>
            <w:vAlign w:val="center"/>
          </w:tcPr>
          <w:p w14:paraId="2004BBF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High team-level adherence; no significant between-group difference in compliance.</w:t>
            </w:r>
          </w:p>
        </w:tc>
      </w:tr>
      <w:tr w14:paraId="5103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4A14D44E">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Soligard et al. (2008)</w:t>
            </w:r>
          </w:p>
        </w:tc>
        <w:tc>
          <w:tcPr>
            <w:tcW w:w="1246" w:type="dxa"/>
            <w:tcBorders>
              <w:top w:val="nil"/>
              <w:left w:val="nil"/>
              <w:bottom w:val="nil"/>
              <w:right w:val="nil"/>
            </w:tcBorders>
            <w:shd w:val="clear" w:color="auto" w:fill="FFFFFF"/>
            <w:vAlign w:val="center"/>
          </w:tcPr>
          <w:p w14:paraId="58F90D22">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nil"/>
              <w:right w:val="nil"/>
            </w:tcBorders>
            <w:shd w:val="clear" w:color="auto" w:fill="FFFFFF"/>
            <w:vAlign w:val="center"/>
          </w:tcPr>
          <w:p w14:paraId="35D7EDC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Complete programme before every training session; running exercises before matches; one season</w:t>
            </w:r>
          </w:p>
        </w:tc>
        <w:tc>
          <w:tcPr>
            <w:tcW w:w="2846" w:type="dxa"/>
            <w:tcBorders>
              <w:top w:val="nil"/>
              <w:left w:val="nil"/>
              <w:bottom w:val="nil"/>
              <w:right w:val="nil"/>
            </w:tcBorders>
            <w:shd w:val="clear" w:color="auto" w:fill="FFFFFF"/>
            <w:vAlign w:val="center"/>
          </w:tcPr>
          <w:p w14:paraId="7C256D1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Compliance described as good; compliance subgroups were reported, but no single directly comparable overall percentage was available</w:t>
            </w:r>
          </w:p>
        </w:tc>
        <w:tc>
          <w:tcPr>
            <w:tcW w:w="1136" w:type="dxa"/>
            <w:tcBorders>
              <w:top w:val="nil"/>
              <w:left w:val="nil"/>
              <w:bottom w:val="nil"/>
              <w:right w:val="nil"/>
            </w:tcBorders>
            <w:shd w:val="clear" w:color="auto" w:fill="FFFFFF"/>
            <w:vAlign w:val="center"/>
          </w:tcPr>
          <w:p w14:paraId="58116EB9">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Unclear</w:t>
            </w:r>
          </w:p>
        </w:tc>
        <w:tc>
          <w:tcPr>
            <w:tcW w:w="2152" w:type="dxa"/>
            <w:tcBorders>
              <w:top w:val="nil"/>
              <w:left w:val="nil"/>
              <w:bottom w:val="nil"/>
              <w:right w:val="nil"/>
            </w:tcBorders>
            <w:shd w:val="clear" w:color="auto" w:fill="FFFFFF"/>
            <w:vAlign w:val="center"/>
          </w:tcPr>
          <w:p w14:paraId="6100E22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Compliance was described and subgrouped, but no single directly comparable overall percentage was available.</w:t>
            </w:r>
          </w:p>
        </w:tc>
      </w:tr>
      <w:tr w14:paraId="6BF7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179B73CC">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Steffen et al. (2008)</w:t>
            </w:r>
          </w:p>
        </w:tc>
        <w:tc>
          <w:tcPr>
            <w:tcW w:w="1246" w:type="dxa"/>
            <w:tcBorders>
              <w:top w:val="nil"/>
              <w:left w:val="nil"/>
              <w:bottom w:val="nil"/>
              <w:right w:val="nil"/>
            </w:tcBorders>
            <w:shd w:val="clear" w:color="auto" w:fill="FFFFFF"/>
            <w:vAlign w:val="center"/>
          </w:tcPr>
          <w:p w14:paraId="2E9C027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nil"/>
              <w:right w:val="nil"/>
            </w:tcBorders>
            <w:shd w:val="clear" w:color="auto" w:fill="FFFFFF"/>
            <w:vAlign w:val="center"/>
          </w:tcPr>
          <w:p w14:paraId="533C916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Programme during football training across the season</w:t>
            </w:r>
          </w:p>
        </w:tc>
        <w:tc>
          <w:tcPr>
            <w:tcW w:w="2846" w:type="dxa"/>
            <w:tcBorders>
              <w:top w:val="nil"/>
              <w:left w:val="nil"/>
              <w:bottom w:val="nil"/>
              <w:right w:val="nil"/>
            </w:tcBorders>
            <w:shd w:val="clear" w:color="auto" w:fill="FFFFFF"/>
            <w:vAlign w:val="center"/>
          </w:tcPr>
          <w:p w14:paraId="2D076B8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Used during approximately 60% of training sessions in the first half of the season; only 14 of 58 teams completed &gt;20 prevention sessions</w:t>
            </w:r>
          </w:p>
        </w:tc>
        <w:tc>
          <w:tcPr>
            <w:tcW w:w="1136" w:type="dxa"/>
            <w:tcBorders>
              <w:top w:val="nil"/>
              <w:left w:val="nil"/>
              <w:bottom w:val="nil"/>
              <w:right w:val="nil"/>
            </w:tcBorders>
            <w:shd w:val="clear" w:color="auto" w:fill="FFFFFF"/>
            <w:vAlign w:val="center"/>
          </w:tcPr>
          <w:p w14:paraId="054F447A">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Moderate</w:t>
            </w:r>
          </w:p>
        </w:tc>
        <w:tc>
          <w:tcPr>
            <w:tcW w:w="2152" w:type="dxa"/>
            <w:tcBorders>
              <w:top w:val="nil"/>
              <w:left w:val="nil"/>
              <w:bottom w:val="nil"/>
              <w:right w:val="nil"/>
            </w:tcBorders>
            <w:shd w:val="clear" w:color="auto" w:fill="FFFFFF"/>
            <w:vAlign w:val="center"/>
          </w:tcPr>
          <w:p w14:paraId="325563D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Only 14 of 58 teams completed more than 20 prevention sessions; implementation was considered insufficient.</w:t>
            </w:r>
          </w:p>
        </w:tc>
      </w:tr>
      <w:tr w14:paraId="2A49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452836FB">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van de Hoef et al. (2019)</w:t>
            </w:r>
          </w:p>
        </w:tc>
        <w:tc>
          <w:tcPr>
            <w:tcW w:w="1246" w:type="dxa"/>
            <w:tcBorders>
              <w:top w:val="nil"/>
              <w:left w:val="nil"/>
              <w:bottom w:val="nil"/>
              <w:right w:val="nil"/>
            </w:tcBorders>
            <w:shd w:val="clear" w:color="auto" w:fill="FFFFFF"/>
            <w:vAlign w:val="center"/>
          </w:tcPr>
          <w:p w14:paraId="75BA659C">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BEP</w:t>
            </w:r>
          </w:p>
        </w:tc>
        <w:tc>
          <w:tcPr>
            <w:tcW w:w="2202" w:type="dxa"/>
            <w:tcBorders>
              <w:top w:val="nil"/>
              <w:left w:val="nil"/>
              <w:bottom w:val="nil"/>
              <w:right w:val="nil"/>
            </w:tcBorders>
            <w:shd w:val="clear" w:color="auto" w:fill="FFFFFF"/>
            <w:vAlign w:val="center"/>
          </w:tcPr>
          <w:p w14:paraId="37907487">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12-week build-up plus maintenance; 3–5 min/session</w:t>
            </w:r>
          </w:p>
        </w:tc>
        <w:tc>
          <w:tcPr>
            <w:tcW w:w="2846" w:type="dxa"/>
            <w:tcBorders>
              <w:top w:val="nil"/>
              <w:left w:val="nil"/>
              <w:bottom w:val="nil"/>
              <w:right w:val="nil"/>
            </w:tcBorders>
            <w:shd w:val="clear" w:color="auto" w:fill="FFFFFF"/>
            <w:vAlign w:val="center"/>
          </w:tcPr>
          <w:p w14:paraId="72B9966C">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Overall BEP compliance 71%</w:t>
            </w:r>
          </w:p>
        </w:tc>
        <w:tc>
          <w:tcPr>
            <w:tcW w:w="1136" w:type="dxa"/>
            <w:tcBorders>
              <w:top w:val="nil"/>
              <w:left w:val="nil"/>
              <w:bottom w:val="nil"/>
              <w:right w:val="nil"/>
            </w:tcBorders>
            <w:shd w:val="clear" w:color="auto" w:fill="FFFFFF"/>
            <w:vAlign w:val="center"/>
          </w:tcPr>
          <w:p w14:paraId="323EBBF5">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Moderate</w:t>
            </w:r>
          </w:p>
        </w:tc>
        <w:tc>
          <w:tcPr>
            <w:tcW w:w="2152" w:type="dxa"/>
            <w:tcBorders>
              <w:top w:val="nil"/>
              <w:left w:val="nil"/>
              <w:bottom w:val="nil"/>
              <w:right w:val="nil"/>
            </w:tcBorders>
            <w:shd w:val="clear" w:color="auto" w:fill="FFFFFF"/>
            <w:vAlign w:val="center"/>
          </w:tcPr>
          <w:p w14:paraId="3566893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Overall BEP compliance was 71%.</w:t>
            </w:r>
          </w:p>
        </w:tc>
      </w:tr>
      <w:tr w14:paraId="1CB7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1A2B99A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van der Horst et al. (2015)</w:t>
            </w:r>
          </w:p>
        </w:tc>
        <w:tc>
          <w:tcPr>
            <w:tcW w:w="1246" w:type="dxa"/>
            <w:tcBorders>
              <w:top w:val="nil"/>
              <w:left w:val="nil"/>
              <w:bottom w:val="nil"/>
              <w:right w:val="nil"/>
            </w:tcBorders>
            <w:shd w:val="clear" w:color="auto" w:fill="FFFFFF"/>
            <w:vAlign w:val="center"/>
          </w:tcPr>
          <w:p w14:paraId="56CEE6B6">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NHE</w:t>
            </w:r>
          </w:p>
        </w:tc>
        <w:tc>
          <w:tcPr>
            <w:tcW w:w="2202" w:type="dxa"/>
            <w:tcBorders>
              <w:top w:val="nil"/>
              <w:left w:val="nil"/>
              <w:bottom w:val="nil"/>
              <w:right w:val="nil"/>
            </w:tcBorders>
            <w:shd w:val="clear" w:color="auto" w:fill="FFFFFF"/>
            <w:vAlign w:val="center"/>
          </w:tcPr>
          <w:p w14:paraId="2B065553">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25 NHE sessions over 13 weeks</w:t>
            </w:r>
          </w:p>
        </w:tc>
        <w:tc>
          <w:tcPr>
            <w:tcW w:w="2846" w:type="dxa"/>
            <w:tcBorders>
              <w:top w:val="nil"/>
              <w:left w:val="nil"/>
              <w:bottom w:val="nil"/>
              <w:right w:val="nil"/>
            </w:tcBorders>
            <w:shd w:val="clear" w:color="auto" w:fill="FFFFFF"/>
            <w:vAlign w:val="center"/>
          </w:tcPr>
          <w:p w14:paraId="0A17CAA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Compliance 91%</w:t>
            </w:r>
          </w:p>
        </w:tc>
        <w:tc>
          <w:tcPr>
            <w:tcW w:w="1136" w:type="dxa"/>
            <w:tcBorders>
              <w:top w:val="nil"/>
              <w:left w:val="nil"/>
              <w:bottom w:val="nil"/>
              <w:right w:val="nil"/>
            </w:tcBorders>
            <w:shd w:val="clear" w:color="auto" w:fill="FFFFFF"/>
            <w:vAlign w:val="center"/>
          </w:tcPr>
          <w:p w14:paraId="22EEB7C1">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High</w:t>
            </w:r>
          </w:p>
        </w:tc>
        <w:tc>
          <w:tcPr>
            <w:tcW w:w="2152" w:type="dxa"/>
            <w:tcBorders>
              <w:top w:val="nil"/>
              <w:left w:val="nil"/>
              <w:bottom w:val="nil"/>
              <w:right w:val="nil"/>
            </w:tcBorders>
            <w:shd w:val="clear" w:color="auto" w:fill="FFFFFF"/>
            <w:vAlign w:val="center"/>
          </w:tcPr>
          <w:p w14:paraId="0988AC2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NHE compliance was 91%.</w:t>
            </w:r>
          </w:p>
        </w:tc>
      </w:tr>
      <w:tr w14:paraId="61D7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47AB7339">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Engebretsen et al. (2008)</w:t>
            </w:r>
          </w:p>
        </w:tc>
        <w:tc>
          <w:tcPr>
            <w:tcW w:w="1246" w:type="dxa"/>
            <w:tcBorders>
              <w:top w:val="nil"/>
              <w:left w:val="nil"/>
              <w:bottom w:val="nil"/>
              <w:right w:val="nil"/>
            </w:tcBorders>
            <w:shd w:val="clear" w:color="auto" w:fill="FFFFFF"/>
            <w:vAlign w:val="center"/>
          </w:tcPr>
          <w:p w14:paraId="0C1945D4">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NHE</w:t>
            </w:r>
          </w:p>
        </w:tc>
        <w:tc>
          <w:tcPr>
            <w:tcW w:w="2202" w:type="dxa"/>
            <w:tcBorders>
              <w:top w:val="nil"/>
              <w:left w:val="nil"/>
              <w:bottom w:val="nil"/>
              <w:right w:val="nil"/>
            </w:tcBorders>
            <w:shd w:val="clear" w:color="auto" w:fill="FFFFFF"/>
            <w:vAlign w:val="center"/>
          </w:tcPr>
          <w:p w14:paraId="5B87B281">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Approximately 10-week preseason programme; exercises outside regular team training</w:t>
            </w:r>
          </w:p>
        </w:tc>
        <w:tc>
          <w:tcPr>
            <w:tcW w:w="2846" w:type="dxa"/>
            <w:tcBorders>
              <w:top w:val="nil"/>
              <w:left w:val="nil"/>
              <w:bottom w:val="nil"/>
              <w:right w:val="nil"/>
            </w:tcBorders>
            <w:shd w:val="clear" w:color="auto" w:fill="FFFFFF"/>
            <w:vAlign w:val="center"/>
          </w:tcPr>
          <w:p w14:paraId="26D0E658">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Low compliance across programmes, approximately 20%–30% depending on body region</w:t>
            </w:r>
          </w:p>
        </w:tc>
        <w:tc>
          <w:tcPr>
            <w:tcW w:w="1136" w:type="dxa"/>
            <w:tcBorders>
              <w:top w:val="nil"/>
              <w:left w:val="nil"/>
              <w:bottom w:val="nil"/>
              <w:right w:val="nil"/>
            </w:tcBorders>
            <w:shd w:val="clear" w:color="auto" w:fill="FFFFFF"/>
            <w:vAlign w:val="center"/>
          </w:tcPr>
          <w:p w14:paraId="7BEB9C6E">
            <w:pPr>
              <w:keepNext w:val="0"/>
              <w:keepLines w:val="0"/>
              <w:widowControl/>
              <w:suppressLineNumbers w:val="0"/>
              <w:snapToGrid w:val="0"/>
              <w:ind w:left="0" w:leftChars="0" w:right="0" w:rightChars="0" w:firstLine="0" w:firstLineChars="0"/>
              <w:jc w:val="center"/>
              <w:rPr>
                <w:rFonts w:ascii="Times New Roman" w:hAnsi="Times New Roman" w:eastAsia="宋体" w:cs="Times New Roman"/>
                <w:b w:val="0"/>
                <w:bCs w:val="0"/>
                <w:color w:val="000000"/>
                <w:kern w:val="0"/>
                <w:sz w:val="20"/>
                <w:szCs w:val="22"/>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Low</w:t>
            </w:r>
          </w:p>
        </w:tc>
        <w:tc>
          <w:tcPr>
            <w:tcW w:w="2152" w:type="dxa"/>
            <w:tcBorders>
              <w:top w:val="nil"/>
              <w:left w:val="nil"/>
              <w:bottom w:val="nil"/>
              <w:right w:val="nil"/>
            </w:tcBorders>
            <w:shd w:val="clear" w:color="auto" w:fill="FFFFFF"/>
            <w:vAlign w:val="center"/>
          </w:tcPr>
          <w:p w14:paraId="35A9CFE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Compliance was approximately 20%–30% across targeted programmes.</w:t>
            </w:r>
          </w:p>
        </w:tc>
      </w:tr>
      <w:tr w14:paraId="6CF9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6FA5E45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Silvers-Granelli et al. (2015)</w:t>
            </w:r>
          </w:p>
        </w:tc>
        <w:tc>
          <w:tcPr>
            <w:tcW w:w="1246" w:type="dxa"/>
            <w:tcBorders>
              <w:top w:val="nil"/>
              <w:left w:val="nil"/>
              <w:bottom w:val="nil"/>
              <w:right w:val="nil"/>
            </w:tcBorders>
            <w:shd w:val="clear" w:color="auto" w:fill="FFFFFF"/>
            <w:vAlign w:val="center"/>
          </w:tcPr>
          <w:p w14:paraId="037FAFF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nil"/>
              <w:right w:val="nil"/>
            </w:tcBorders>
            <w:shd w:val="clear" w:color="auto" w:fill="FFFFFF"/>
            <w:vAlign w:val="center"/>
          </w:tcPr>
          <w:p w14:paraId="2C13361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20-min programme; suggested 3 times/week over the collegiate season</w:t>
            </w:r>
          </w:p>
        </w:tc>
        <w:tc>
          <w:tcPr>
            <w:tcW w:w="2846" w:type="dxa"/>
            <w:tcBorders>
              <w:top w:val="nil"/>
              <w:left w:val="nil"/>
              <w:bottom w:val="nil"/>
              <w:right w:val="nil"/>
            </w:tcBorders>
            <w:shd w:val="clear" w:color="auto" w:fill="FFFFFF"/>
            <w:vAlign w:val="center"/>
          </w:tcPr>
          <w:p w14:paraId="04CD6CA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Compliance was stratified as low (1–19 doses/season), moderate (20–39 doses/season), and high (&gt;40 doses/season). Mean utilization was 30.47±12.16 sessions/team.</w:t>
            </w:r>
          </w:p>
        </w:tc>
        <w:tc>
          <w:tcPr>
            <w:tcW w:w="1136" w:type="dxa"/>
            <w:tcBorders>
              <w:top w:val="nil"/>
              <w:left w:val="nil"/>
              <w:bottom w:val="nil"/>
              <w:right w:val="nil"/>
            </w:tcBorders>
            <w:shd w:val="clear" w:color="auto" w:fill="FFFFFF"/>
            <w:vAlign w:val="center"/>
          </w:tcPr>
          <w:p w14:paraId="7317B2B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Moderate</w:t>
            </w:r>
          </w:p>
        </w:tc>
        <w:tc>
          <w:tcPr>
            <w:tcW w:w="2152" w:type="dxa"/>
            <w:tcBorders>
              <w:top w:val="nil"/>
              <w:left w:val="nil"/>
              <w:bottom w:val="nil"/>
              <w:right w:val="nil"/>
            </w:tcBorders>
            <w:shd w:val="clear" w:color="auto" w:fill="FFFFFF"/>
            <w:vAlign w:val="center"/>
          </w:tcPr>
          <w:p w14:paraId="52CC25E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Dose-response evident: higher FIFA 11+ utilization was associated with lower injury rates.</w:t>
            </w:r>
          </w:p>
        </w:tc>
      </w:tr>
      <w:tr w14:paraId="4CDF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00E8A97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van Beijsterveldt et al. (2012)</w:t>
            </w:r>
          </w:p>
        </w:tc>
        <w:tc>
          <w:tcPr>
            <w:tcW w:w="1246" w:type="dxa"/>
            <w:tcBorders>
              <w:top w:val="nil"/>
              <w:left w:val="nil"/>
              <w:bottom w:val="nil"/>
              <w:right w:val="nil"/>
            </w:tcBorders>
            <w:shd w:val="clear" w:color="auto" w:fill="FFFFFF"/>
            <w:vAlign w:val="center"/>
          </w:tcPr>
          <w:p w14:paraId="057A723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nil"/>
              <w:right w:val="nil"/>
            </w:tcBorders>
            <w:shd w:val="clear" w:color="auto" w:fill="FFFFFF"/>
            <w:vAlign w:val="center"/>
          </w:tcPr>
          <w:p w14:paraId="6A4616A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10–15 min; intended at least twice/week during practice sessions</w:t>
            </w:r>
          </w:p>
        </w:tc>
        <w:tc>
          <w:tcPr>
            <w:tcW w:w="2846" w:type="dxa"/>
            <w:tcBorders>
              <w:top w:val="nil"/>
              <w:left w:val="nil"/>
              <w:bottom w:val="nil"/>
              <w:right w:val="nil"/>
            </w:tcBorders>
            <w:shd w:val="clear" w:color="auto" w:fill="FFFFFF"/>
            <w:vAlign w:val="center"/>
          </w:tcPr>
          <w:p w14:paraId="3D9F9C5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Team compliance 73%; player compliance 71%; average 31 sessions/season</w:t>
            </w:r>
          </w:p>
        </w:tc>
        <w:tc>
          <w:tcPr>
            <w:tcW w:w="1136" w:type="dxa"/>
            <w:tcBorders>
              <w:top w:val="nil"/>
              <w:left w:val="nil"/>
              <w:bottom w:val="nil"/>
              <w:right w:val="nil"/>
            </w:tcBorders>
            <w:shd w:val="clear" w:color="auto" w:fill="FFFFFF"/>
            <w:vAlign w:val="center"/>
          </w:tcPr>
          <w:p w14:paraId="573893D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Moderate</w:t>
            </w:r>
          </w:p>
        </w:tc>
        <w:tc>
          <w:tcPr>
            <w:tcW w:w="2152" w:type="dxa"/>
            <w:tcBorders>
              <w:top w:val="nil"/>
              <w:left w:val="nil"/>
              <w:bottom w:val="nil"/>
              <w:right w:val="nil"/>
            </w:tcBorders>
            <w:shd w:val="clear" w:color="auto" w:fill="FFFFFF"/>
            <w:vAlign w:val="center"/>
          </w:tcPr>
          <w:p w14:paraId="1DB1B50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Team compliance was 73%; player compliance was 71%.</w:t>
            </w:r>
          </w:p>
        </w:tc>
      </w:tr>
      <w:tr w14:paraId="424B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nil"/>
              <w:right w:val="nil"/>
            </w:tcBorders>
            <w:shd w:val="clear" w:color="auto" w:fill="FFFFFF"/>
            <w:vAlign w:val="center"/>
          </w:tcPr>
          <w:p w14:paraId="6CB4F7F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Owoeye et al. (2014)</w:t>
            </w:r>
          </w:p>
        </w:tc>
        <w:tc>
          <w:tcPr>
            <w:tcW w:w="1246" w:type="dxa"/>
            <w:tcBorders>
              <w:top w:val="nil"/>
              <w:left w:val="nil"/>
              <w:bottom w:val="nil"/>
              <w:right w:val="nil"/>
            </w:tcBorders>
            <w:shd w:val="clear" w:color="auto" w:fill="FFFFFF"/>
            <w:vAlign w:val="center"/>
          </w:tcPr>
          <w:p w14:paraId="4CD015B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nil"/>
              <w:right w:val="nil"/>
            </w:tcBorders>
            <w:shd w:val="clear" w:color="auto" w:fill="FFFFFF"/>
            <w:vAlign w:val="center"/>
          </w:tcPr>
          <w:p w14:paraId="3D50E9F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At least two training sessions/week throughout the league season</w:t>
            </w:r>
          </w:p>
        </w:tc>
        <w:tc>
          <w:tcPr>
            <w:tcW w:w="2846" w:type="dxa"/>
            <w:tcBorders>
              <w:top w:val="nil"/>
              <w:left w:val="nil"/>
              <w:bottom w:val="nil"/>
              <w:right w:val="nil"/>
            </w:tcBorders>
            <w:shd w:val="clear" w:color="auto" w:fill="FFFFFF"/>
            <w:vAlign w:val="center"/>
          </w:tcPr>
          <w:p w14:paraId="4F18316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Team compliance 60%; player compliance 74%</w:t>
            </w:r>
          </w:p>
        </w:tc>
        <w:tc>
          <w:tcPr>
            <w:tcW w:w="1136" w:type="dxa"/>
            <w:tcBorders>
              <w:top w:val="nil"/>
              <w:left w:val="nil"/>
              <w:bottom w:val="nil"/>
              <w:right w:val="nil"/>
            </w:tcBorders>
            <w:shd w:val="clear" w:color="auto" w:fill="FFFFFF"/>
            <w:vAlign w:val="center"/>
          </w:tcPr>
          <w:p w14:paraId="0DAAD87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Moderate</w:t>
            </w:r>
          </w:p>
        </w:tc>
        <w:tc>
          <w:tcPr>
            <w:tcW w:w="2152" w:type="dxa"/>
            <w:tcBorders>
              <w:top w:val="nil"/>
              <w:left w:val="nil"/>
              <w:bottom w:val="nil"/>
              <w:right w:val="nil"/>
            </w:tcBorders>
            <w:shd w:val="clear" w:color="auto" w:fill="FFFFFF"/>
            <w:vAlign w:val="center"/>
          </w:tcPr>
          <w:p w14:paraId="1C7A3B4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Team compliance was 60%; player compliance was 74%.</w:t>
            </w:r>
          </w:p>
        </w:tc>
      </w:tr>
      <w:tr w14:paraId="201E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90" w:type="dxa"/>
            <w:tcBorders>
              <w:top w:val="nil"/>
              <w:left w:val="nil"/>
              <w:bottom w:val="single" w:color="000000" w:sz="12" w:space="0"/>
              <w:right w:val="nil"/>
            </w:tcBorders>
            <w:shd w:val="clear" w:color="auto" w:fill="FFFFFF"/>
            <w:vAlign w:val="center"/>
          </w:tcPr>
          <w:p w14:paraId="35C4321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Hammes et al. (2015)</w:t>
            </w:r>
          </w:p>
        </w:tc>
        <w:tc>
          <w:tcPr>
            <w:tcW w:w="1246" w:type="dxa"/>
            <w:tcBorders>
              <w:top w:val="nil"/>
              <w:left w:val="nil"/>
              <w:bottom w:val="single" w:color="000000" w:sz="12" w:space="0"/>
              <w:right w:val="nil"/>
            </w:tcBorders>
            <w:shd w:val="clear" w:color="auto" w:fill="FFFFFF"/>
            <w:vAlign w:val="center"/>
          </w:tcPr>
          <w:p w14:paraId="54C46D3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w:t>
            </w:r>
          </w:p>
        </w:tc>
        <w:tc>
          <w:tcPr>
            <w:tcW w:w="2202" w:type="dxa"/>
            <w:tcBorders>
              <w:top w:val="nil"/>
              <w:left w:val="nil"/>
              <w:bottom w:val="single" w:color="000000" w:sz="12" w:space="0"/>
              <w:right w:val="nil"/>
            </w:tcBorders>
            <w:shd w:val="clear" w:color="auto" w:fill="FFFFFF"/>
            <w:vAlign w:val="center"/>
          </w:tcPr>
          <w:p w14:paraId="0CA2362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Before each team training session over 9 months</w:t>
            </w:r>
          </w:p>
        </w:tc>
        <w:tc>
          <w:tcPr>
            <w:tcW w:w="2846" w:type="dxa"/>
            <w:tcBorders>
              <w:top w:val="nil"/>
              <w:left w:val="nil"/>
              <w:bottom w:val="single" w:color="000000" w:sz="12" w:space="0"/>
              <w:right w:val="nil"/>
            </w:tcBorders>
            <w:shd w:val="clear" w:color="auto" w:fill="FFFFFF"/>
            <w:vAlign w:val="center"/>
          </w:tcPr>
          <w:p w14:paraId="5FFC573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FIFA 11+ performed in 98% of intervention training sessions, but players attended only 47% of team FIFA 11+ sessions; mean 14 ± 8 sessions/player</w:t>
            </w:r>
          </w:p>
        </w:tc>
        <w:tc>
          <w:tcPr>
            <w:tcW w:w="1136" w:type="dxa"/>
            <w:tcBorders>
              <w:top w:val="nil"/>
              <w:left w:val="nil"/>
              <w:bottom w:val="single" w:color="000000" w:sz="12" w:space="0"/>
              <w:right w:val="nil"/>
            </w:tcBorders>
            <w:shd w:val="clear" w:color="auto" w:fill="FFFFFF"/>
            <w:vAlign w:val="center"/>
          </w:tcPr>
          <w:p w14:paraId="35B6798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Low</w:t>
            </w:r>
          </w:p>
        </w:tc>
        <w:tc>
          <w:tcPr>
            <w:tcW w:w="2152" w:type="dxa"/>
            <w:tcBorders>
              <w:top w:val="nil"/>
              <w:left w:val="nil"/>
              <w:bottom w:val="single" w:color="000000" w:sz="12" w:space="0"/>
              <w:right w:val="nil"/>
            </w:tcBorders>
            <w:shd w:val="clear" w:color="auto" w:fill="FFFFFF"/>
            <w:vAlign w:val="center"/>
          </w:tcPr>
          <w:p w14:paraId="657817E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zh-CN" w:bidi="ar"/>
              </w:rPr>
            </w:pPr>
            <w:r>
              <w:rPr>
                <w:rFonts w:hint="default" w:ascii="Times New Roman" w:hAnsi="Times New Roman" w:eastAsia="宋体" w:cs="Times New Roman"/>
                <w:b w:val="0"/>
                <w:color w:val="000000"/>
                <w:kern w:val="0"/>
                <w:sz w:val="20"/>
                <w:szCs w:val="20"/>
                <w:lang w:val="en-US" w:eastAsia="zh-CN" w:bidi="ar"/>
              </w:rPr>
              <w:t>Team-level implementation was high, but player-level delivered dose was low.</w:t>
            </w:r>
          </w:p>
        </w:tc>
      </w:tr>
    </w:tbl>
    <w:p w14:paraId="3370B2EE">
      <w:pPr>
        <w:pStyle w:val="6"/>
        <w:keepNext w:val="0"/>
        <w:keepLines w:val="0"/>
        <w:widowControl/>
        <w:suppressLineNumbers w:val="0"/>
        <w:spacing w:before="0" w:beforeAutospacing="0" w:after="0" w:afterAutospacing="0"/>
        <w:jc w:val="both"/>
        <w:rPr>
          <w:rFonts w:hint="eastAsia" w:eastAsia="宋体" w:cs="Times New Roman"/>
          <w:b w:val="0"/>
          <w:bCs w:val="0"/>
          <w:kern w:val="0"/>
          <w:sz w:val="18"/>
          <w:szCs w:val="18"/>
          <w:lang w:val="en-US" w:eastAsia="zh-CN" w:bidi="ar-SA"/>
        </w:rPr>
      </w:pPr>
    </w:p>
    <w:p w14:paraId="4EF3EEF7">
      <w:pPr>
        <w:pStyle w:val="6"/>
        <w:keepNext w:val="0"/>
        <w:keepLines w:val="0"/>
        <w:widowControl/>
        <w:suppressLineNumbers w:val="0"/>
        <w:spacing w:before="0" w:beforeAutospacing="0" w:after="0" w:afterAutospacing="0"/>
        <w:jc w:val="both"/>
        <w:rPr>
          <w:rFonts w:hint="default" w:ascii="Times New Roman" w:hAnsi="Times New Roman" w:eastAsia="宋体" w:cs="Times New Roman"/>
          <w:b w:val="0"/>
          <w:bCs w:val="0"/>
          <w:i w:val="0"/>
          <w:iCs w:val="0"/>
          <w:color w:val="000000"/>
          <w:kern w:val="0"/>
          <w:sz w:val="18"/>
          <w:szCs w:val="18"/>
          <w:u w:val="none"/>
          <w:lang w:val="en-US" w:eastAsia="zh-CN" w:bidi="ar"/>
        </w:rPr>
        <w:sectPr>
          <w:pgSz w:w="11920" w:h="16850"/>
          <w:pgMar w:top="1200" w:right="560" w:bottom="280" w:left="700" w:header="720" w:footer="720" w:gutter="0"/>
          <w:cols w:space="720" w:num="1"/>
        </w:sectPr>
      </w:pPr>
      <w:r>
        <w:rPr>
          <w:rFonts w:hint="eastAsia" w:eastAsia="宋体" w:cs="Times New Roman"/>
          <w:b/>
          <w:bCs/>
          <w:kern w:val="0"/>
          <w:sz w:val="18"/>
          <w:szCs w:val="18"/>
          <w:lang w:val="en-US" w:eastAsia="zh-CN" w:bidi="ar-SA"/>
        </w:rPr>
        <w:t>Note:</w:t>
      </w:r>
      <w:r>
        <w:rPr>
          <w:rFonts w:hint="eastAsia" w:ascii="Times New Roman" w:hAnsi="Times New Roman" w:eastAsia="宋体" w:cs="Times New Roman"/>
          <w:b w:val="0"/>
          <w:bCs w:val="0"/>
          <w:i w:val="0"/>
          <w:iCs w:val="0"/>
          <w:color w:val="000000"/>
          <w:kern w:val="0"/>
          <w:sz w:val="18"/>
          <w:szCs w:val="18"/>
          <w:u w:val="none"/>
          <w:lang w:val="en-US" w:eastAsia="zh-CN" w:bidi="ar"/>
        </w:rPr>
        <w:t xml:space="preserve"> </w:t>
      </w:r>
      <w:r>
        <w:rPr>
          <w:rFonts w:hint="default" w:ascii="Times New Roman" w:hAnsi="Times New Roman" w:eastAsia="宋体" w:cs="Times New Roman"/>
          <w:b w:val="0"/>
          <w:bCs w:val="0"/>
          <w:i w:val="0"/>
          <w:iCs w:val="0"/>
          <w:color w:val="000000"/>
          <w:kern w:val="0"/>
          <w:sz w:val="18"/>
          <w:szCs w:val="18"/>
          <w:u w:val="none"/>
          <w:lang w:val="en-US" w:eastAsia="zh-CN" w:bidi="ar"/>
        </w:rPr>
        <w:t>Adherence category was assigned descriptively using reported trial-level information. High adherence was defined as ≥80% compliance or clearly high completion of the prescribed programme; moderate adherence as 50%–79% compliance or moderate programme utilization; low adherence as &lt;50% compliance or clear evidence of poor programme completion; unclear adherence as monitored or discussed without a directly extractable quantitative estimate. For studies reporting categorical utilization rather than a single percentage, the overall category was assigned according to the reported mean or predominant utilization pattern. These categories were used for descriptive interpretation only and were not entered into a formal network meta-regression because adherence metrics differed across trials.</w:t>
      </w:r>
    </w:p>
    <w:p w14:paraId="42C5E5C6">
      <w:pPr>
        <w:pStyle w:val="6"/>
        <w:keepNext w:val="0"/>
        <w:keepLines w:val="0"/>
        <w:widowControl/>
        <w:suppressLineNumbers w:val="0"/>
        <w:spacing w:after="0" w:afterAutospacing="0"/>
        <w:jc w:val="center"/>
        <w:rPr>
          <w:rFonts w:hint="default" w:ascii="Times New Roman" w:hAnsi="Times New Roman" w:eastAsia="Times New Roman" w:cs="Times New Roman"/>
          <w:b w:val="0"/>
          <w:bCs w:val="0"/>
          <w:kern w:val="0"/>
          <w:sz w:val="24"/>
          <w:szCs w:val="22"/>
          <w:lang w:val="en-US" w:eastAsia="zh-CN"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 xml:space="preserve">8. </w:t>
      </w:r>
      <w:r>
        <w:rPr>
          <w:rFonts w:ascii="Times New Roman" w:hAnsi="Times New Roman" w:eastAsia="Times New Roman" w:cs="Times New Roman"/>
          <w:b w:val="0"/>
          <w:bCs w:val="0"/>
          <w:kern w:val="0"/>
          <w:sz w:val="24"/>
          <w:szCs w:val="22"/>
          <w:lang w:val="en-US" w:eastAsia="en-US" w:bidi="ar-SA"/>
        </w:rPr>
        <w:t>Availability of closed loops and inconsistency assessment in the IRR network</w:t>
      </w:r>
    </w:p>
    <w:tbl>
      <w:tblPr>
        <w:tblStyle w:val="8"/>
        <w:tblpPr w:leftFromText="180" w:rightFromText="180" w:vertAnchor="text" w:horzAnchor="page" w:tblpX="1500" w:tblpY="262"/>
        <w:tblOverlap w:val="never"/>
        <w:tblW w:w="9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1422"/>
        <w:gridCol w:w="1422"/>
        <w:gridCol w:w="1533"/>
        <w:gridCol w:w="2754"/>
      </w:tblGrid>
      <w:tr w14:paraId="137B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2119" w:type="dxa"/>
            <w:tcBorders>
              <w:top w:val="single" w:color="000000" w:sz="12" w:space="0"/>
              <w:left w:val="nil"/>
              <w:bottom w:val="single" w:color="000000" w:sz="4" w:space="0"/>
              <w:right w:val="nil"/>
              <w:tl2br w:val="nil"/>
            </w:tcBorders>
            <w:shd w:val="clear" w:color="auto" w:fill="FFFFFF"/>
            <w:vAlign w:val="center"/>
          </w:tcPr>
          <w:p w14:paraId="760E69D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bCs/>
                <w:color w:val="000000"/>
                <w:kern w:val="0"/>
                <w:sz w:val="20"/>
                <w:szCs w:val="20"/>
                <w:lang w:val="en-US" w:eastAsia="zh-CN" w:bidi="ar"/>
              </w:rPr>
              <w:t>Comparison</w:t>
            </w:r>
          </w:p>
        </w:tc>
        <w:tc>
          <w:tcPr>
            <w:tcW w:w="1422" w:type="dxa"/>
            <w:tcBorders>
              <w:top w:val="single" w:color="000000" w:sz="12" w:space="0"/>
              <w:left w:val="nil"/>
              <w:bottom w:val="single" w:color="000000" w:sz="4" w:space="0"/>
              <w:right w:val="nil"/>
            </w:tcBorders>
            <w:shd w:val="clear" w:color="auto" w:fill="FFFFFF"/>
            <w:vAlign w:val="center"/>
          </w:tcPr>
          <w:p w14:paraId="3F11F6D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bCs/>
                <w:color w:val="000000"/>
                <w:kern w:val="0"/>
                <w:sz w:val="20"/>
                <w:szCs w:val="20"/>
                <w:lang w:val="en-US" w:eastAsia="zh-CN" w:bidi="ar"/>
              </w:rPr>
              <w:t>Direct evidence available?</w:t>
            </w:r>
          </w:p>
        </w:tc>
        <w:tc>
          <w:tcPr>
            <w:tcW w:w="1422" w:type="dxa"/>
            <w:tcBorders>
              <w:top w:val="single" w:color="000000" w:sz="12" w:space="0"/>
              <w:left w:val="nil"/>
              <w:bottom w:val="single" w:color="000000" w:sz="4" w:space="0"/>
              <w:right w:val="nil"/>
            </w:tcBorders>
            <w:shd w:val="clear" w:color="auto" w:fill="FFFFFF"/>
            <w:vAlign w:val="center"/>
          </w:tcPr>
          <w:p w14:paraId="1CFBD33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bCs/>
                <w:color w:val="000000"/>
                <w:kern w:val="0"/>
                <w:sz w:val="20"/>
                <w:szCs w:val="20"/>
                <w:lang w:val="en-US" w:eastAsia="zh-CN" w:bidi="ar"/>
              </w:rPr>
              <w:t>Closed loop available?</w:t>
            </w:r>
          </w:p>
        </w:tc>
        <w:tc>
          <w:tcPr>
            <w:tcW w:w="1533" w:type="dxa"/>
            <w:tcBorders>
              <w:top w:val="single" w:color="000000" w:sz="12" w:space="0"/>
              <w:left w:val="nil"/>
              <w:bottom w:val="single" w:color="000000" w:sz="4" w:space="0"/>
              <w:right w:val="nil"/>
            </w:tcBorders>
            <w:shd w:val="clear" w:color="auto" w:fill="FFFFFF"/>
            <w:vAlign w:val="center"/>
          </w:tcPr>
          <w:p w14:paraId="6AB28FA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bCs/>
                <w:color w:val="000000"/>
                <w:kern w:val="0"/>
                <w:sz w:val="20"/>
                <w:szCs w:val="20"/>
                <w:lang w:val="en-US" w:eastAsia="zh-CN" w:bidi="ar"/>
              </w:rPr>
              <w:t>Inconsistency method applicable?</w:t>
            </w:r>
          </w:p>
        </w:tc>
        <w:tc>
          <w:tcPr>
            <w:tcW w:w="2754" w:type="dxa"/>
            <w:tcBorders>
              <w:top w:val="single" w:color="000000" w:sz="12" w:space="0"/>
              <w:left w:val="nil"/>
              <w:bottom w:val="single" w:color="000000" w:sz="4" w:space="0"/>
              <w:right w:val="nil"/>
            </w:tcBorders>
            <w:shd w:val="clear" w:color="auto" w:fill="FFFFFF"/>
            <w:vAlign w:val="center"/>
          </w:tcPr>
          <w:p w14:paraId="52E0EAF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bCs/>
                <w:color w:val="000000"/>
                <w:kern w:val="0"/>
                <w:sz w:val="20"/>
                <w:szCs w:val="20"/>
                <w:lang w:val="en-US" w:eastAsia="zh-CN" w:bidi="ar"/>
              </w:rPr>
              <w:t>Result</w:t>
            </w:r>
          </w:p>
        </w:tc>
      </w:tr>
      <w:tr w14:paraId="260C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single" w:color="000000" w:sz="4" w:space="0"/>
              <w:left w:val="nil"/>
              <w:bottom w:val="nil"/>
              <w:right w:val="nil"/>
            </w:tcBorders>
            <w:shd w:val="clear" w:color="auto" w:fill="FFFFFF"/>
            <w:vAlign w:val="center"/>
          </w:tcPr>
          <w:p w14:paraId="500A558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NHE vs usual training</w:t>
            </w:r>
          </w:p>
        </w:tc>
        <w:tc>
          <w:tcPr>
            <w:tcW w:w="1422" w:type="dxa"/>
            <w:tcBorders>
              <w:top w:val="single" w:color="000000" w:sz="4" w:space="0"/>
              <w:left w:val="nil"/>
              <w:bottom w:val="nil"/>
              <w:right w:val="nil"/>
            </w:tcBorders>
            <w:shd w:val="clear" w:color="auto" w:fill="FFFFFF"/>
            <w:vAlign w:val="center"/>
          </w:tcPr>
          <w:p w14:paraId="637B364B">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Yes</w:t>
            </w:r>
          </w:p>
        </w:tc>
        <w:tc>
          <w:tcPr>
            <w:tcW w:w="1422" w:type="dxa"/>
            <w:tcBorders>
              <w:top w:val="single" w:color="000000" w:sz="4" w:space="0"/>
              <w:left w:val="nil"/>
              <w:bottom w:val="nil"/>
              <w:right w:val="nil"/>
            </w:tcBorders>
            <w:shd w:val="clear" w:color="auto" w:fill="FFFFFF"/>
            <w:vAlign w:val="center"/>
          </w:tcPr>
          <w:p w14:paraId="7B5793E0">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single" w:color="000000" w:sz="4" w:space="0"/>
              <w:left w:val="nil"/>
              <w:bottom w:val="nil"/>
              <w:right w:val="nil"/>
            </w:tcBorders>
            <w:shd w:val="clear" w:color="auto" w:fill="FFFFFF"/>
            <w:vAlign w:val="center"/>
          </w:tcPr>
          <w:p w14:paraId="373CC37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single" w:color="000000" w:sz="4" w:space="0"/>
              <w:left w:val="nil"/>
              <w:bottom w:val="nil"/>
              <w:right w:val="nil"/>
            </w:tcBorders>
            <w:shd w:val="clear" w:color="auto" w:fill="FFFFFF"/>
            <w:vAlign w:val="center"/>
          </w:tcPr>
          <w:p w14:paraId="769AE77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Not estimable</w:t>
            </w:r>
          </w:p>
        </w:tc>
      </w:tr>
      <w:tr w14:paraId="34F2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5A75FB2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 vs usual training</w:t>
            </w:r>
          </w:p>
        </w:tc>
        <w:tc>
          <w:tcPr>
            <w:tcW w:w="1422" w:type="dxa"/>
            <w:tcBorders>
              <w:top w:val="nil"/>
              <w:left w:val="nil"/>
              <w:bottom w:val="nil"/>
              <w:right w:val="nil"/>
            </w:tcBorders>
            <w:shd w:val="clear" w:color="auto" w:fill="FFFFFF"/>
            <w:vAlign w:val="center"/>
          </w:tcPr>
          <w:p w14:paraId="5828F036">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Yes</w:t>
            </w:r>
          </w:p>
        </w:tc>
        <w:tc>
          <w:tcPr>
            <w:tcW w:w="1422" w:type="dxa"/>
            <w:tcBorders>
              <w:top w:val="nil"/>
              <w:left w:val="nil"/>
              <w:bottom w:val="nil"/>
              <w:right w:val="nil"/>
            </w:tcBorders>
            <w:shd w:val="clear" w:color="auto" w:fill="FFFFFF"/>
            <w:vAlign w:val="center"/>
          </w:tcPr>
          <w:p w14:paraId="0E045391">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3DFC3C2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1DF3F21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Not estimable</w:t>
            </w:r>
          </w:p>
        </w:tc>
      </w:tr>
      <w:tr w14:paraId="6E4E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0B8F6EF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 vs usual training</w:t>
            </w:r>
          </w:p>
        </w:tc>
        <w:tc>
          <w:tcPr>
            <w:tcW w:w="1422" w:type="dxa"/>
            <w:tcBorders>
              <w:top w:val="nil"/>
              <w:left w:val="nil"/>
              <w:bottom w:val="nil"/>
              <w:right w:val="nil"/>
            </w:tcBorders>
            <w:shd w:val="clear" w:color="auto" w:fill="FFFFFF"/>
            <w:vAlign w:val="center"/>
          </w:tcPr>
          <w:p w14:paraId="738687B1">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Yes</w:t>
            </w:r>
          </w:p>
        </w:tc>
        <w:tc>
          <w:tcPr>
            <w:tcW w:w="1422" w:type="dxa"/>
            <w:tcBorders>
              <w:top w:val="nil"/>
              <w:left w:val="nil"/>
              <w:bottom w:val="nil"/>
              <w:right w:val="nil"/>
            </w:tcBorders>
            <w:shd w:val="clear" w:color="auto" w:fill="FFFFFF"/>
            <w:vAlign w:val="center"/>
          </w:tcPr>
          <w:p w14:paraId="7B8E1A02">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77E317D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03EE196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Not estimable</w:t>
            </w:r>
          </w:p>
        </w:tc>
      </w:tr>
      <w:tr w14:paraId="7E22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453FBD5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 Kids vs usual training</w:t>
            </w:r>
          </w:p>
        </w:tc>
        <w:tc>
          <w:tcPr>
            <w:tcW w:w="1422" w:type="dxa"/>
            <w:tcBorders>
              <w:top w:val="nil"/>
              <w:left w:val="nil"/>
              <w:bottom w:val="nil"/>
              <w:right w:val="nil"/>
            </w:tcBorders>
            <w:shd w:val="clear" w:color="auto" w:fill="FFFFFF"/>
            <w:vAlign w:val="center"/>
          </w:tcPr>
          <w:p w14:paraId="42256D88">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Yes</w:t>
            </w:r>
          </w:p>
        </w:tc>
        <w:tc>
          <w:tcPr>
            <w:tcW w:w="1422" w:type="dxa"/>
            <w:tcBorders>
              <w:top w:val="nil"/>
              <w:left w:val="nil"/>
              <w:bottom w:val="nil"/>
              <w:right w:val="nil"/>
            </w:tcBorders>
            <w:shd w:val="clear" w:color="auto" w:fill="FFFFFF"/>
            <w:vAlign w:val="center"/>
          </w:tcPr>
          <w:p w14:paraId="34B81231">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01AD8DD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1EF1E8B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Not estimable</w:t>
            </w:r>
          </w:p>
        </w:tc>
      </w:tr>
      <w:tr w14:paraId="6301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0202574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BEP vs usual training</w:t>
            </w:r>
          </w:p>
        </w:tc>
        <w:tc>
          <w:tcPr>
            <w:tcW w:w="1422" w:type="dxa"/>
            <w:tcBorders>
              <w:top w:val="nil"/>
              <w:left w:val="nil"/>
              <w:bottom w:val="nil"/>
              <w:right w:val="nil"/>
            </w:tcBorders>
            <w:shd w:val="clear" w:color="auto" w:fill="FFFFFF"/>
            <w:vAlign w:val="center"/>
          </w:tcPr>
          <w:p w14:paraId="38E223E0">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Yes</w:t>
            </w:r>
          </w:p>
        </w:tc>
        <w:tc>
          <w:tcPr>
            <w:tcW w:w="1422" w:type="dxa"/>
            <w:tcBorders>
              <w:top w:val="nil"/>
              <w:left w:val="nil"/>
              <w:bottom w:val="nil"/>
              <w:right w:val="nil"/>
            </w:tcBorders>
            <w:shd w:val="clear" w:color="auto" w:fill="FFFFFF"/>
            <w:vAlign w:val="center"/>
          </w:tcPr>
          <w:p w14:paraId="6BF5AE0C">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22CC294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77E8803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Not estimable</w:t>
            </w:r>
          </w:p>
        </w:tc>
      </w:tr>
      <w:tr w14:paraId="7D9C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41AAB53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NHE vs FIFA 11</w:t>
            </w:r>
          </w:p>
        </w:tc>
        <w:tc>
          <w:tcPr>
            <w:tcW w:w="1422" w:type="dxa"/>
            <w:tcBorders>
              <w:top w:val="nil"/>
              <w:left w:val="nil"/>
              <w:bottom w:val="nil"/>
              <w:right w:val="nil"/>
            </w:tcBorders>
            <w:shd w:val="clear" w:color="auto" w:fill="FFFFFF"/>
            <w:vAlign w:val="center"/>
          </w:tcPr>
          <w:p w14:paraId="6759078B">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4120F9D7">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5897689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0DBEC9D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2378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38F9917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NHE vs FIFA 11+</w:t>
            </w:r>
          </w:p>
        </w:tc>
        <w:tc>
          <w:tcPr>
            <w:tcW w:w="1422" w:type="dxa"/>
            <w:tcBorders>
              <w:top w:val="nil"/>
              <w:left w:val="nil"/>
              <w:bottom w:val="nil"/>
              <w:right w:val="nil"/>
            </w:tcBorders>
            <w:shd w:val="clear" w:color="auto" w:fill="FFFFFF"/>
            <w:vAlign w:val="center"/>
          </w:tcPr>
          <w:p w14:paraId="7EE1BDBF">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2427965D">
            <w:pPr>
              <w:keepNext w:val="0"/>
              <w:keepLines w:val="0"/>
              <w:widowControl/>
              <w:suppressLineNumbers w:val="0"/>
              <w:snapToGrid w:val="0"/>
              <w:ind w:left="0" w:leftChars="0" w:right="0" w:rightChars="0" w:firstLine="0" w:firstLineChars="0"/>
              <w:jc w:val="left"/>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64249B4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76CC191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4F72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17C29BF6">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NHE vs FIFA 11+ Kids</w:t>
            </w:r>
          </w:p>
        </w:tc>
        <w:tc>
          <w:tcPr>
            <w:tcW w:w="1422" w:type="dxa"/>
            <w:tcBorders>
              <w:top w:val="nil"/>
              <w:left w:val="nil"/>
              <w:bottom w:val="nil"/>
              <w:right w:val="nil"/>
            </w:tcBorders>
            <w:shd w:val="clear" w:color="auto" w:fill="FFFFFF"/>
            <w:vAlign w:val="center"/>
          </w:tcPr>
          <w:p w14:paraId="1BA2660E">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218F9B5E">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6FEC1824">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55CC5CF7">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1188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025BCAEE">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NHE vs BEP</w:t>
            </w:r>
          </w:p>
        </w:tc>
        <w:tc>
          <w:tcPr>
            <w:tcW w:w="1422" w:type="dxa"/>
            <w:tcBorders>
              <w:top w:val="nil"/>
              <w:left w:val="nil"/>
              <w:bottom w:val="nil"/>
              <w:right w:val="nil"/>
            </w:tcBorders>
            <w:shd w:val="clear" w:color="auto" w:fill="FFFFFF"/>
            <w:vAlign w:val="center"/>
          </w:tcPr>
          <w:p w14:paraId="1BC16BE8">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34350CEC">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78EA17C0">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11399012">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3222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4D0FFD2C">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vs FIFA 11+</w:t>
            </w:r>
          </w:p>
        </w:tc>
        <w:tc>
          <w:tcPr>
            <w:tcW w:w="1422" w:type="dxa"/>
            <w:tcBorders>
              <w:top w:val="nil"/>
              <w:left w:val="nil"/>
              <w:bottom w:val="nil"/>
              <w:right w:val="nil"/>
            </w:tcBorders>
            <w:shd w:val="clear" w:color="auto" w:fill="FFFFFF"/>
            <w:vAlign w:val="center"/>
          </w:tcPr>
          <w:p w14:paraId="187459EE">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6452FE40">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64F987AF">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3DF4FF92">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18C4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58C8AC78">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vs FIFA 11+ Kids</w:t>
            </w:r>
          </w:p>
        </w:tc>
        <w:tc>
          <w:tcPr>
            <w:tcW w:w="1422" w:type="dxa"/>
            <w:tcBorders>
              <w:top w:val="nil"/>
              <w:left w:val="nil"/>
              <w:bottom w:val="nil"/>
              <w:right w:val="nil"/>
            </w:tcBorders>
            <w:shd w:val="clear" w:color="auto" w:fill="FFFFFF"/>
            <w:vAlign w:val="center"/>
          </w:tcPr>
          <w:p w14:paraId="2F29D051">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46807F96">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2C6F902F">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45E3C228">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2B6A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7A0E0CA7">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vs BEP</w:t>
            </w:r>
          </w:p>
        </w:tc>
        <w:tc>
          <w:tcPr>
            <w:tcW w:w="1422" w:type="dxa"/>
            <w:tcBorders>
              <w:top w:val="nil"/>
              <w:left w:val="nil"/>
              <w:bottom w:val="nil"/>
              <w:right w:val="nil"/>
            </w:tcBorders>
            <w:shd w:val="clear" w:color="auto" w:fill="FFFFFF"/>
            <w:vAlign w:val="center"/>
          </w:tcPr>
          <w:p w14:paraId="24820E75">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4C0E08F0">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1F39CB54">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354618BA">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2624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61FCCF7A">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vs FIFA 11+ Kids</w:t>
            </w:r>
          </w:p>
        </w:tc>
        <w:tc>
          <w:tcPr>
            <w:tcW w:w="1422" w:type="dxa"/>
            <w:tcBorders>
              <w:top w:val="nil"/>
              <w:left w:val="nil"/>
              <w:bottom w:val="nil"/>
              <w:right w:val="nil"/>
            </w:tcBorders>
            <w:shd w:val="clear" w:color="auto" w:fill="FFFFFF"/>
            <w:vAlign w:val="center"/>
          </w:tcPr>
          <w:p w14:paraId="7F43CC18">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29CB2C9D">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42E1FC97">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3CB61C06">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17EF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nil"/>
              <w:right w:val="nil"/>
            </w:tcBorders>
            <w:shd w:val="clear" w:color="auto" w:fill="FFFFFF"/>
            <w:vAlign w:val="center"/>
          </w:tcPr>
          <w:p w14:paraId="37A78A17">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vs BEP</w:t>
            </w:r>
          </w:p>
        </w:tc>
        <w:tc>
          <w:tcPr>
            <w:tcW w:w="1422" w:type="dxa"/>
            <w:tcBorders>
              <w:top w:val="nil"/>
              <w:left w:val="nil"/>
              <w:bottom w:val="nil"/>
              <w:right w:val="nil"/>
            </w:tcBorders>
            <w:shd w:val="clear" w:color="auto" w:fill="FFFFFF"/>
            <w:vAlign w:val="center"/>
          </w:tcPr>
          <w:p w14:paraId="4066148A">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nil"/>
              <w:right w:val="nil"/>
            </w:tcBorders>
            <w:shd w:val="clear" w:color="auto" w:fill="FFFFFF"/>
            <w:vAlign w:val="center"/>
          </w:tcPr>
          <w:p w14:paraId="51D263F6">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nil"/>
              <w:right w:val="nil"/>
            </w:tcBorders>
            <w:shd w:val="clear" w:color="auto" w:fill="FFFFFF"/>
            <w:vAlign w:val="center"/>
          </w:tcPr>
          <w:p w14:paraId="772A3A3C">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nil"/>
              <w:right w:val="nil"/>
            </w:tcBorders>
            <w:shd w:val="clear" w:color="auto" w:fill="FFFFFF"/>
            <w:vAlign w:val="center"/>
          </w:tcPr>
          <w:p w14:paraId="6EE29F61">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r w14:paraId="225D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19" w:type="dxa"/>
            <w:tcBorders>
              <w:top w:val="nil"/>
              <w:left w:val="nil"/>
              <w:bottom w:val="single" w:color="000000" w:sz="12" w:space="0"/>
              <w:right w:val="nil"/>
            </w:tcBorders>
            <w:shd w:val="clear" w:color="auto" w:fill="FFFFFF"/>
            <w:vAlign w:val="center"/>
          </w:tcPr>
          <w:p w14:paraId="3B6108F3">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FIFA 11+ Kids vs BEP</w:t>
            </w:r>
          </w:p>
        </w:tc>
        <w:tc>
          <w:tcPr>
            <w:tcW w:w="1422" w:type="dxa"/>
            <w:tcBorders>
              <w:top w:val="nil"/>
              <w:left w:val="nil"/>
              <w:bottom w:val="single" w:color="000000" w:sz="12" w:space="0"/>
              <w:right w:val="nil"/>
            </w:tcBorders>
            <w:shd w:val="clear" w:color="auto" w:fill="FFFFFF"/>
            <w:vAlign w:val="center"/>
          </w:tcPr>
          <w:p w14:paraId="5DA3CCB2">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422" w:type="dxa"/>
            <w:tcBorders>
              <w:top w:val="nil"/>
              <w:left w:val="nil"/>
              <w:bottom w:val="single" w:color="000000" w:sz="12" w:space="0"/>
              <w:right w:val="nil"/>
            </w:tcBorders>
            <w:shd w:val="clear" w:color="auto" w:fill="FFFFFF"/>
            <w:vAlign w:val="center"/>
          </w:tcPr>
          <w:p w14:paraId="3A7D1CB0">
            <w:pPr>
              <w:keepNext w:val="0"/>
              <w:keepLines w:val="0"/>
              <w:widowControl/>
              <w:suppressLineNumbers w:val="0"/>
              <w:snapToGrid w:val="0"/>
              <w:ind w:left="0" w:leftChars="0" w:right="0" w:rightChars="0" w:firstLine="0" w:firstLineChars="0"/>
              <w:jc w:val="left"/>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1533" w:type="dxa"/>
            <w:tcBorders>
              <w:top w:val="nil"/>
              <w:left w:val="nil"/>
              <w:bottom w:val="single" w:color="000000" w:sz="12" w:space="0"/>
              <w:right w:val="nil"/>
            </w:tcBorders>
            <w:shd w:val="clear" w:color="auto" w:fill="FFFFFF"/>
            <w:vAlign w:val="center"/>
          </w:tcPr>
          <w:p w14:paraId="395C19F4">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No</w:t>
            </w:r>
          </w:p>
        </w:tc>
        <w:tc>
          <w:tcPr>
            <w:tcW w:w="2754" w:type="dxa"/>
            <w:tcBorders>
              <w:top w:val="nil"/>
              <w:left w:val="nil"/>
              <w:bottom w:val="single" w:color="000000" w:sz="12" w:space="0"/>
              <w:right w:val="nil"/>
            </w:tcBorders>
            <w:shd w:val="clear" w:color="auto" w:fill="FFFFFF"/>
            <w:vAlign w:val="center"/>
          </w:tcPr>
          <w:p w14:paraId="6A11B7FA">
            <w:pPr>
              <w:keepNext w:val="0"/>
              <w:keepLines w:val="0"/>
              <w:widowControl/>
              <w:suppressLineNumbers w:val="0"/>
              <w:snapToGrid w:val="0"/>
              <w:ind w:left="0" w:leftChars="0" w:right="0" w:rightChars="0" w:firstLine="0" w:firstLineChars="0"/>
              <w:jc w:val="center"/>
              <w:rPr>
                <w:rFonts w:ascii="Times New Roman" w:hAnsi="宋体" w:eastAsia="宋体" w:cs="宋体"/>
                <w:b w:val="0"/>
                <w:color w:val="000000"/>
                <w:kern w:val="0"/>
                <w:sz w:val="20"/>
                <w:szCs w:val="24"/>
                <w:lang w:val="en-US" w:eastAsia="zh-CN" w:bidi="ar"/>
              </w:rPr>
            </w:pPr>
            <w:r>
              <w:rPr>
                <w:rFonts w:hint="default" w:ascii="Times New Roman" w:hAnsi="Times New Roman" w:eastAsia="宋体" w:cs="Times New Roman"/>
                <w:b w:val="0"/>
                <w:color w:val="000000"/>
                <w:kern w:val="0"/>
                <w:sz w:val="20"/>
                <w:szCs w:val="20"/>
                <w:lang w:val="en-US" w:eastAsia="zh-CN" w:bidi="ar"/>
              </w:rPr>
              <w:t>Indirect estimate only; inconsistency not estimable</w:t>
            </w:r>
          </w:p>
        </w:tc>
      </w:tr>
    </w:tbl>
    <w:p w14:paraId="09BE3794">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08CD4DDE">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35DF07AD">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35BFE3FF">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6B3BC9D">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7F712FD0">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37697620">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1C101140">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4ABCC15">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D3AB170">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25D2DCA5">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229A513D">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2E0907E0">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01C6570D">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736A109">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69D643AB">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5ABCC0C">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5E7A8CC1">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7C625A0C">
      <w:pPr>
        <w:pStyle w:val="6"/>
        <w:keepNext w:val="0"/>
        <w:keepLines w:val="0"/>
        <w:widowControl/>
        <w:suppressLineNumbers w:val="0"/>
        <w:spacing w:before="0" w:beforeAutospacing="0" w:after="0" w:afterAutospacing="0"/>
        <w:jc w:val="both"/>
        <w:rPr>
          <w:rFonts w:hint="default" w:ascii="Times New Roman" w:hAnsi="Times New Roman" w:eastAsia="Times New Roman" w:cs="Times New Roman"/>
          <w:b w:val="0"/>
          <w:bCs w:val="0"/>
          <w:kern w:val="0"/>
          <w:sz w:val="24"/>
          <w:szCs w:val="22"/>
          <w:lang w:val="en-US" w:eastAsia="zh-CN" w:bidi="ar-SA"/>
        </w:rPr>
      </w:pPr>
    </w:p>
    <w:p w14:paraId="0C1DA631">
      <w:pPr>
        <w:bidi w:val="0"/>
        <w:rPr>
          <w:rFonts w:hint="default"/>
          <w:lang w:val="en-US" w:eastAsia="zh-CN"/>
        </w:rPr>
      </w:pPr>
    </w:p>
    <w:p w14:paraId="4D103287">
      <w:pPr>
        <w:bidi w:val="0"/>
        <w:rPr>
          <w:rFonts w:hint="default"/>
          <w:lang w:val="en-US" w:eastAsia="zh-CN"/>
        </w:rPr>
      </w:pPr>
    </w:p>
    <w:p w14:paraId="6E4A25B3">
      <w:pPr>
        <w:bidi w:val="0"/>
        <w:rPr>
          <w:rFonts w:hint="default"/>
          <w:lang w:val="en-US" w:eastAsia="zh-CN"/>
        </w:rPr>
      </w:pPr>
    </w:p>
    <w:p w14:paraId="1855D1A7">
      <w:pPr>
        <w:bidi w:val="0"/>
        <w:rPr>
          <w:rFonts w:hint="default"/>
          <w:lang w:val="en-US" w:eastAsia="zh-CN"/>
        </w:rPr>
      </w:pPr>
    </w:p>
    <w:p w14:paraId="7D5707E2">
      <w:pPr>
        <w:bidi w:val="0"/>
        <w:rPr>
          <w:rFonts w:hint="default"/>
          <w:lang w:val="en-US" w:eastAsia="zh-CN"/>
        </w:rPr>
      </w:pPr>
    </w:p>
    <w:p w14:paraId="7B4ED3C2">
      <w:pPr>
        <w:bidi w:val="0"/>
        <w:rPr>
          <w:rFonts w:hint="default"/>
          <w:lang w:val="en-US" w:eastAsia="zh-CN"/>
        </w:rPr>
      </w:pPr>
    </w:p>
    <w:p w14:paraId="457EA44C">
      <w:pPr>
        <w:bidi w:val="0"/>
        <w:rPr>
          <w:rFonts w:hint="default"/>
          <w:lang w:val="en-US" w:eastAsia="zh-CN"/>
        </w:rPr>
      </w:pPr>
    </w:p>
    <w:p w14:paraId="7CBD96FF">
      <w:pPr>
        <w:bidi w:val="0"/>
        <w:rPr>
          <w:rFonts w:hint="default"/>
          <w:lang w:val="en-US" w:eastAsia="zh-CN"/>
        </w:rPr>
      </w:pPr>
    </w:p>
    <w:p w14:paraId="34C27C4D">
      <w:pPr>
        <w:bidi w:val="0"/>
        <w:rPr>
          <w:rFonts w:hint="default"/>
          <w:lang w:val="en-US" w:eastAsia="zh-CN"/>
        </w:rPr>
      </w:pPr>
    </w:p>
    <w:p w14:paraId="274876A3">
      <w:pPr>
        <w:tabs>
          <w:tab w:val="left" w:pos="3915"/>
        </w:tabs>
        <w:bidi w:val="0"/>
        <w:jc w:val="both"/>
        <w:rPr>
          <w:rFonts w:hint="default" w:ascii="Times New Roman" w:hAnsi="Times New Roman" w:eastAsia="宋体" w:cs="Times New Roman"/>
          <w:sz w:val="20"/>
          <w:szCs w:val="20"/>
        </w:rPr>
        <w:sectPr>
          <w:pgSz w:w="11920" w:h="16850"/>
          <w:pgMar w:top="1200" w:right="560" w:bottom="280" w:left="700" w:header="720" w:footer="720" w:gutter="0"/>
          <w:cols w:space="720" w:num="1"/>
        </w:sectPr>
      </w:pPr>
      <w:r>
        <w:rPr>
          <w:rStyle w:val="10"/>
          <w:rFonts w:hint="default" w:ascii="Times New Roman" w:hAnsi="Times New Roman" w:eastAsia="宋体" w:cs="Times New Roman"/>
          <w:sz w:val="20"/>
          <w:szCs w:val="20"/>
        </w:rPr>
        <w:t>Note:</w:t>
      </w:r>
      <w:r>
        <w:rPr>
          <w:rFonts w:hint="default" w:ascii="Times New Roman" w:hAnsi="Times New Roman" w:eastAsia="宋体" w:cs="Times New Roman"/>
          <w:sz w:val="20"/>
          <w:szCs w:val="20"/>
        </w:rPr>
        <w:t xml:space="preserve"> Formal inconsistency testing using loop-specific inconsistency factors or node-splitting requires at least one closed loop containing both direct and indirect evidence. The IRR network was star-shaped, with all active interventions connected through usual training and no direct active–active comparisons. Therefore, inconsistency statistics were not estimable for any comparison.</w:t>
      </w:r>
    </w:p>
    <w:p w14:paraId="17834C5A">
      <w:pPr>
        <w:spacing w:before="76" w:afterAutospacing="0"/>
        <w:ind w:right="1694"/>
        <w:jc w:val="center"/>
        <w:rPr>
          <w:sz w:val="24"/>
        </w:rPr>
      </w:pPr>
      <w:r>
        <w:rPr>
          <w:b/>
          <w:sz w:val="24"/>
        </w:rPr>
        <w:t>Supplementary</w:t>
      </w:r>
      <w:r>
        <w:rPr>
          <w:b/>
          <w:spacing w:val="-10"/>
          <w:sz w:val="24"/>
        </w:rPr>
        <w:t xml:space="preserve"> </w:t>
      </w:r>
      <w:r>
        <w:rPr>
          <w:b/>
          <w:sz w:val="24"/>
        </w:rPr>
        <w:t>Table</w:t>
      </w:r>
      <w:r>
        <w:rPr>
          <w:b/>
          <w:spacing w:val="-7"/>
          <w:sz w:val="24"/>
        </w:rPr>
        <w:t xml:space="preserve"> </w:t>
      </w:r>
      <w:r>
        <w:rPr>
          <w:rFonts w:hint="eastAsia" w:eastAsia="宋体"/>
          <w:b/>
          <w:spacing w:val="-7"/>
          <w:sz w:val="24"/>
          <w:lang w:val="en-US" w:eastAsia="zh-CN"/>
        </w:rPr>
        <w:t>9</w:t>
      </w:r>
      <w:r>
        <w:rPr>
          <w:b/>
          <w:sz w:val="24"/>
        </w:rPr>
        <w:t>.</w:t>
      </w:r>
      <w:r>
        <w:rPr>
          <w:b/>
          <w:spacing w:val="-6"/>
          <w:sz w:val="24"/>
        </w:rPr>
        <w:t xml:space="preserve"> </w:t>
      </w:r>
      <w:r>
        <w:rPr>
          <w:sz w:val="24"/>
        </w:rPr>
        <w:t>Statistical</w:t>
      </w:r>
      <w:r>
        <w:rPr>
          <w:spacing w:val="-6"/>
          <w:sz w:val="24"/>
        </w:rPr>
        <w:t xml:space="preserve"> </w:t>
      </w:r>
      <w:r>
        <w:rPr>
          <w:sz w:val="24"/>
        </w:rPr>
        <w:t>data</w:t>
      </w:r>
      <w:r>
        <w:rPr>
          <w:spacing w:val="-10"/>
          <w:sz w:val="24"/>
        </w:rPr>
        <w:t xml:space="preserve"> </w:t>
      </w:r>
      <w:r>
        <w:rPr>
          <w:sz w:val="24"/>
        </w:rPr>
        <w:t>on</w:t>
      </w:r>
      <w:r>
        <w:rPr>
          <w:spacing w:val="-4"/>
          <w:sz w:val="24"/>
        </w:rPr>
        <w:t xml:space="preserve"> </w:t>
      </w:r>
      <w:r>
        <w:rPr>
          <w:sz w:val="24"/>
        </w:rPr>
        <w:t>random</w:t>
      </w:r>
      <w:r>
        <w:rPr>
          <w:spacing w:val="-6"/>
          <w:sz w:val="24"/>
        </w:rPr>
        <w:t xml:space="preserve"> </w:t>
      </w:r>
      <w:r>
        <w:rPr>
          <w:sz w:val="24"/>
        </w:rPr>
        <w:t>effects</w:t>
      </w:r>
      <w:r>
        <w:rPr>
          <w:spacing w:val="-6"/>
          <w:sz w:val="24"/>
        </w:rPr>
        <w:t xml:space="preserve"> </w:t>
      </w:r>
      <w:r>
        <w:rPr>
          <w:sz w:val="24"/>
        </w:rPr>
        <w:t>model</w:t>
      </w:r>
    </w:p>
    <w:p w14:paraId="08BF3B46">
      <w:pPr>
        <w:spacing w:beforeAutospacing="0"/>
        <w:ind w:left="1535" w:right="1694"/>
        <w:jc w:val="center"/>
        <w:rPr>
          <w:sz w:val="24"/>
        </w:rPr>
      </w:pPr>
    </w:p>
    <w:tbl>
      <w:tblPr>
        <w:tblStyle w:val="11"/>
        <w:tblW w:w="0" w:type="auto"/>
        <w:jc w:val="center"/>
        <w:tblLayout w:type="fixed"/>
        <w:tblCellMar>
          <w:top w:w="0" w:type="dxa"/>
          <w:left w:w="0" w:type="dxa"/>
          <w:bottom w:w="0" w:type="dxa"/>
          <w:right w:w="0" w:type="dxa"/>
        </w:tblCellMar>
      </w:tblPr>
      <w:tblGrid>
        <w:gridCol w:w="989"/>
        <w:gridCol w:w="3044"/>
        <w:gridCol w:w="2185"/>
        <w:gridCol w:w="1150"/>
      </w:tblGrid>
      <w:tr w14:paraId="240C08C3">
        <w:tblPrEx>
          <w:tblCellMar>
            <w:top w:w="0" w:type="dxa"/>
            <w:left w:w="0" w:type="dxa"/>
            <w:bottom w:w="0" w:type="dxa"/>
            <w:right w:w="0" w:type="dxa"/>
          </w:tblCellMar>
        </w:tblPrEx>
        <w:trPr>
          <w:trHeight w:val="239" w:hRule="atLeast"/>
          <w:jc w:val="center"/>
        </w:trPr>
        <w:tc>
          <w:tcPr>
            <w:tcW w:w="989" w:type="dxa"/>
            <w:tcBorders>
              <w:top w:val="single" w:color="000000" w:sz="12" w:space="0"/>
              <w:left w:val="nil"/>
              <w:bottom w:val="single" w:color="000000" w:sz="4" w:space="0"/>
              <w:right w:val="nil"/>
              <w:tl2br w:val="nil"/>
            </w:tcBorders>
            <w:shd w:val="clear" w:color="auto" w:fill="FFFFFF"/>
          </w:tcPr>
          <w:p w14:paraId="0C05AD3B">
            <w:pPr>
              <w:pStyle w:val="13"/>
              <w:spacing w:line="220" w:lineRule="exact"/>
              <w:ind w:left="104" w:right="103"/>
              <w:rPr>
                <w:b w:val="0"/>
                <w:color w:val="000000"/>
                <w:sz w:val="20"/>
                <w:szCs w:val="20"/>
              </w:rPr>
            </w:pPr>
            <w:r>
              <w:rPr>
                <w:b w:val="0"/>
                <w:color w:val="000000"/>
                <w:sz w:val="20"/>
                <w:szCs w:val="20"/>
              </w:rPr>
              <w:t>Ránking</w:t>
            </w:r>
          </w:p>
        </w:tc>
        <w:tc>
          <w:tcPr>
            <w:tcW w:w="3044" w:type="dxa"/>
            <w:tcBorders>
              <w:top w:val="single" w:color="000000" w:sz="12" w:space="0"/>
              <w:left w:val="nil"/>
              <w:bottom w:val="single" w:color="000000" w:sz="4" w:space="0"/>
              <w:right w:val="nil"/>
            </w:tcBorders>
            <w:shd w:val="clear" w:color="auto" w:fill="FFFFFF"/>
          </w:tcPr>
          <w:p w14:paraId="6FAD519A">
            <w:pPr>
              <w:pStyle w:val="13"/>
              <w:spacing w:line="220" w:lineRule="exact"/>
              <w:ind w:left="71" w:right="141"/>
              <w:rPr>
                <w:b w:val="0"/>
                <w:color w:val="000000"/>
                <w:sz w:val="20"/>
                <w:szCs w:val="20"/>
              </w:rPr>
            </w:pPr>
            <w:r>
              <w:rPr>
                <w:b w:val="0"/>
                <w:color w:val="000000"/>
                <w:sz w:val="20"/>
                <w:szCs w:val="20"/>
              </w:rPr>
              <w:t>Intervention</w:t>
            </w:r>
          </w:p>
        </w:tc>
        <w:tc>
          <w:tcPr>
            <w:tcW w:w="2185" w:type="dxa"/>
            <w:tcBorders>
              <w:top w:val="single" w:color="000000" w:sz="12" w:space="0"/>
              <w:left w:val="nil"/>
              <w:bottom w:val="single" w:color="000000" w:sz="4" w:space="0"/>
              <w:right w:val="nil"/>
            </w:tcBorders>
            <w:shd w:val="clear" w:color="auto" w:fill="FFFFFF"/>
          </w:tcPr>
          <w:p w14:paraId="0A876D19">
            <w:pPr>
              <w:pStyle w:val="13"/>
              <w:spacing w:line="220" w:lineRule="exact"/>
              <w:ind w:left="142" w:right="232"/>
              <w:rPr>
                <w:b w:val="0"/>
                <w:color w:val="000000"/>
                <w:sz w:val="20"/>
                <w:szCs w:val="20"/>
              </w:rPr>
            </w:pPr>
            <w:r>
              <w:rPr>
                <w:b w:val="0"/>
                <w:color w:val="000000"/>
                <w:sz w:val="20"/>
                <w:szCs w:val="20"/>
              </w:rPr>
              <w:t>Incidence Rate Ratio</w:t>
            </w:r>
          </w:p>
        </w:tc>
        <w:tc>
          <w:tcPr>
            <w:tcW w:w="1150" w:type="dxa"/>
            <w:tcBorders>
              <w:top w:val="single" w:color="000000" w:sz="12" w:space="0"/>
              <w:left w:val="nil"/>
              <w:bottom w:val="single" w:color="000000" w:sz="4" w:space="0"/>
              <w:right w:val="nil"/>
            </w:tcBorders>
            <w:shd w:val="clear" w:color="auto" w:fill="FFFFFF"/>
          </w:tcPr>
          <w:p w14:paraId="4F7908E5">
            <w:pPr>
              <w:pStyle w:val="13"/>
              <w:spacing w:line="220" w:lineRule="exact"/>
              <w:ind w:left="303"/>
              <w:jc w:val="left"/>
              <w:rPr>
                <w:b w:val="0"/>
                <w:color w:val="000000"/>
                <w:sz w:val="20"/>
                <w:szCs w:val="20"/>
              </w:rPr>
            </w:pPr>
            <w:r>
              <w:rPr>
                <w:b w:val="0"/>
                <w:color w:val="000000"/>
                <w:sz w:val="20"/>
                <w:szCs w:val="20"/>
              </w:rPr>
              <w:t>95%</w:t>
            </w:r>
            <w:r>
              <w:rPr>
                <w:b w:val="0"/>
                <w:color w:val="000000"/>
                <w:spacing w:val="-1"/>
                <w:sz w:val="20"/>
                <w:szCs w:val="20"/>
              </w:rPr>
              <w:t xml:space="preserve"> </w:t>
            </w:r>
            <w:r>
              <w:rPr>
                <w:b w:val="0"/>
                <w:color w:val="000000"/>
                <w:sz w:val="20"/>
                <w:szCs w:val="20"/>
              </w:rPr>
              <w:t>CI</w:t>
            </w:r>
          </w:p>
        </w:tc>
      </w:tr>
      <w:tr w14:paraId="0459334C">
        <w:tblPrEx>
          <w:tblCellMar>
            <w:top w:w="0" w:type="dxa"/>
            <w:left w:w="0" w:type="dxa"/>
            <w:bottom w:w="0" w:type="dxa"/>
            <w:right w:w="0" w:type="dxa"/>
          </w:tblCellMar>
        </w:tblPrEx>
        <w:trPr>
          <w:trHeight w:val="227" w:hRule="atLeast"/>
          <w:jc w:val="center"/>
        </w:trPr>
        <w:tc>
          <w:tcPr>
            <w:tcW w:w="989" w:type="dxa"/>
            <w:tcBorders>
              <w:top w:val="single" w:color="000000" w:sz="4" w:space="0"/>
              <w:left w:val="nil"/>
              <w:bottom w:val="nil"/>
              <w:right w:val="nil"/>
            </w:tcBorders>
            <w:shd w:val="clear" w:color="auto" w:fill="FFFFFF"/>
          </w:tcPr>
          <w:p w14:paraId="38077FF4">
            <w:pPr>
              <w:pStyle w:val="13"/>
              <w:spacing w:line="208" w:lineRule="exact"/>
              <w:ind w:left="104" w:right="104"/>
              <w:rPr>
                <w:b w:val="0"/>
                <w:color w:val="000000"/>
                <w:sz w:val="20"/>
                <w:szCs w:val="20"/>
              </w:rPr>
            </w:pPr>
            <w:r>
              <w:rPr>
                <w:b w:val="0"/>
                <w:color w:val="000000"/>
                <w:sz w:val="20"/>
                <w:szCs w:val="20"/>
              </w:rPr>
              <w:t>1º</w:t>
            </w:r>
          </w:p>
        </w:tc>
        <w:tc>
          <w:tcPr>
            <w:tcW w:w="3044" w:type="dxa"/>
            <w:tcBorders>
              <w:top w:val="single" w:color="000000" w:sz="4" w:space="0"/>
              <w:left w:val="nil"/>
              <w:bottom w:val="nil"/>
              <w:right w:val="nil"/>
            </w:tcBorders>
            <w:shd w:val="clear" w:color="auto" w:fill="FFFFFF"/>
          </w:tcPr>
          <w:p w14:paraId="7B2CA9A6">
            <w:pPr>
              <w:pStyle w:val="13"/>
              <w:spacing w:line="208" w:lineRule="exact"/>
              <w:ind w:left="121" w:right="139"/>
              <w:rPr>
                <w:b w:val="0"/>
                <w:color w:val="000000"/>
                <w:sz w:val="20"/>
                <w:szCs w:val="20"/>
              </w:rPr>
            </w:pPr>
            <w:r>
              <w:rPr>
                <w:rFonts w:ascii="Times New Roman" w:hAnsi="Times New Roman" w:cs="Times New Roman"/>
                <w:kern w:val="0"/>
                <w:sz w:val="20"/>
                <w:szCs w:val="20"/>
                <w:lang w:bidi="ar"/>
              </w:rPr>
              <w:t>FIFA 11+</w:t>
            </w:r>
          </w:p>
        </w:tc>
        <w:tc>
          <w:tcPr>
            <w:tcW w:w="2185" w:type="dxa"/>
            <w:tcBorders>
              <w:top w:val="single" w:color="000000" w:sz="4" w:space="0"/>
              <w:left w:val="nil"/>
              <w:bottom w:val="nil"/>
              <w:right w:val="nil"/>
            </w:tcBorders>
            <w:shd w:val="clear" w:color="auto" w:fill="FFFFFF"/>
          </w:tcPr>
          <w:p w14:paraId="02997B75">
            <w:pPr>
              <w:pStyle w:val="13"/>
              <w:spacing w:line="208" w:lineRule="exact"/>
              <w:ind w:left="142" w:right="160"/>
              <w:rPr>
                <w:b w:val="0"/>
                <w:color w:val="000000"/>
                <w:sz w:val="20"/>
                <w:szCs w:val="20"/>
              </w:rPr>
            </w:pPr>
            <w:r>
              <w:rPr>
                <w:rFonts w:ascii="Times New Roman" w:hAnsi="Times New Roman" w:cs="Times New Roman"/>
                <w:kern w:val="0"/>
                <w:sz w:val="20"/>
                <w:szCs w:val="20"/>
                <w:lang w:bidi="ar"/>
              </w:rPr>
              <w:t>0.55</w:t>
            </w:r>
          </w:p>
        </w:tc>
        <w:tc>
          <w:tcPr>
            <w:tcW w:w="1150" w:type="dxa"/>
            <w:tcBorders>
              <w:top w:val="single" w:color="000000" w:sz="4" w:space="0"/>
              <w:left w:val="nil"/>
              <w:bottom w:val="nil"/>
              <w:right w:val="nil"/>
            </w:tcBorders>
            <w:shd w:val="clear" w:color="auto" w:fill="FFFFFF"/>
          </w:tcPr>
          <w:p w14:paraId="765807BA">
            <w:pPr>
              <w:pStyle w:val="13"/>
              <w:spacing w:line="208" w:lineRule="exact"/>
              <w:ind w:left="252"/>
              <w:jc w:val="left"/>
              <w:rPr>
                <w:b w:val="0"/>
                <w:color w:val="000000"/>
                <w:sz w:val="20"/>
                <w:szCs w:val="20"/>
              </w:rPr>
            </w:pPr>
            <w:r>
              <w:rPr>
                <w:rFonts w:ascii="Times New Roman" w:hAnsi="Times New Roman" w:cs="Times New Roman"/>
                <w:kern w:val="0"/>
                <w:sz w:val="20"/>
                <w:szCs w:val="20"/>
                <w:lang w:bidi="ar"/>
              </w:rPr>
              <w:t>0.3</w:t>
            </w:r>
            <w:r>
              <w:rPr>
                <w:rFonts w:hint="eastAsia" w:ascii="Times New Roman" w:hAnsi="Times New Roman" w:cs="Times New Roman"/>
                <w:kern w:val="0"/>
                <w:sz w:val="20"/>
                <w:szCs w:val="20"/>
                <w:lang w:bidi="ar"/>
              </w:rPr>
              <w:t>1</w:t>
            </w:r>
            <w:r>
              <w:rPr>
                <w:rFonts w:hint="eastAsia" w:eastAsia="宋体" w:cs="Times New Roman"/>
                <w:kern w:val="0"/>
                <w:sz w:val="20"/>
                <w:szCs w:val="20"/>
                <w:lang w:val="en-US" w:eastAsia="zh-CN" w:bidi="ar"/>
              </w:rPr>
              <w:t xml:space="preserve">, </w:t>
            </w:r>
            <w:r>
              <w:rPr>
                <w:rFonts w:ascii="Times New Roman" w:hAnsi="Times New Roman" w:cs="Times New Roman"/>
                <w:kern w:val="0"/>
                <w:sz w:val="20"/>
                <w:szCs w:val="20"/>
                <w:lang w:bidi="ar"/>
              </w:rPr>
              <w:t>0.98</w:t>
            </w:r>
          </w:p>
        </w:tc>
      </w:tr>
      <w:tr w14:paraId="699968E8">
        <w:tblPrEx>
          <w:tblCellMar>
            <w:top w:w="0" w:type="dxa"/>
            <w:left w:w="0" w:type="dxa"/>
            <w:bottom w:w="0" w:type="dxa"/>
            <w:right w:w="0" w:type="dxa"/>
          </w:tblCellMar>
        </w:tblPrEx>
        <w:trPr>
          <w:trHeight w:val="230" w:hRule="atLeast"/>
          <w:jc w:val="center"/>
        </w:trPr>
        <w:tc>
          <w:tcPr>
            <w:tcW w:w="989" w:type="dxa"/>
            <w:tcBorders>
              <w:top w:val="nil"/>
              <w:left w:val="nil"/>
              <w:bottom w:val="nil"/>
              <w:right w:val="nil"/>
            </w:tcBorders>
            <w:shd w:val="clear" w:color="auto" w:fill="FFFFFF"/>
          </w:tcPr>
          <w:p w14:paraId="4D37157C">
            <w:pPr>
              <w:pStyle w:val="13"/>
              <w:spacing w:line="210" w:lineRule="exact"/>
              <w:ind w:left="104" w:right="104"/>
              <w:rPr>
                <w:b w:val="0"/>
                <w:color w:val="000000"/>
                <w:sz w:val="20"/>
                <w:szCs w:val="20"/>
              </w:rPr>
            </w:pPr>
            <w:r>
              <w:rPr>
                <w:b w:val="0"/>
                <w:color w:val="000000"/>
                <w:sz w:val="20"/>
                <w:szCs w:val="20"/>
              </w:rPr>
              <w:t>2º</w:t>
            </w:r>
          </w:p>
        </w:tc>
        <w:tc>
          <w:tcPr>
            <w:tcW w:w="3044" w:type="dxa"/>
            <w:tcBorders>
              <w:top w:val="nil"/>
              <w:left w:val="nil"/>
              <w:bottom w:val="nil"/>
              <w:right w:val="nil"/>
            </w:tcBorders>
            <w:shd w:val="clear" w:color="auto" w:fill="FFFFFF"/>
          </w:tcPr>
          <w:p w14:paraId="18455EC4">
            <w:pPr>
              <w:pStyle w:val="13"/>
              <w:spacing w:line="210" w:lineRule="exact"/>
              <w:ind w:left="121" w:right="140"/>
              <w:rPr>
                <w:b w:val="0"/>
                <w:color w:val="000000"/>
                <w:sz w:val="20"/>
                <w:szCs w:val="20"/>
              </w:rPr>
            </w:pPr>
            <w:r>
              <w:rPr>
                <w:rFonts w:ascii="Times New Roman" w:hAnsi="Times New Roman" w:cs="Times New Roman"/>
                <w:kern w:val="0"/>
                <w:sz w:val="20"/>
                <w:szCs w:val="20"/>
                <w:lang w:bidi="ar"/>
              </w:rPr>
              <w:t>FIFA 11+ Kids</w:t>
            </w:r>
          </w:p>
        </w:tc>
        <w:tc>
          <w:tcPr>
            <w:tcW w:w="2185" w:type="dxa"/>
            <w:tcBorders>
              <w:top w:val="nil"/>
              <w:left w:val="nil"/>
              <w:bottom w:val="nil"/>
              <w:right w:val="nil"/>
            </w:tcBorders>
            <w:shd w:val="clear" w:color="auto" w:fill="FFFFFF"/>
          </w:tcPr>
          <w:p w14:paraId="5A0861F3">
            <w:pPr>
              <w:pStyle w:val="13"/>
              <w:spacing w:line="210" w:lineRule="exact"/>
              <w:ind w:left="142" w:right="160"/>
              <w:rPr>
                <w:b w:val="0"/>
                <w:color w:val="000000"/>
                <w:sz w:val="20"/>
                <w:szCs w:val="20"/>
              </w:rPr>
            </w:pPr>
            <w:r>
              <w:rPr>
                <w:rFonts w:ascii="Times New Roman" w:hAnsi="Times New Roman" w:cs="Times New Roman"/>
                <w:kern w:val="0"/>
                <w:sz w:val="20"/>
                <w:szCs w:val="20"/>
                <w:lang w:bidi="ar"/>
              </w:rPr>
              <w:t>0.43</w:t>
            </w:r>
          </w:p>
        </w:tc>
        <w:tc>
          <w:tcPr>
            <w:tcW w:w="1150" w:type="dxa"/>
            <w:tcBorders>
              <w:top w:val="nil"/>
              <w:left w:val="nil"/>
              <w:bottom w:val="nil"/>
              <w:right w:val="nil"/>
            </w:tcBorders>
            <w:shd w:val="clear" w:color="auto" w:fill="FFFFFF"/>
          </w:tcPr>
          <w:p w14:paraId="77B7D83A">
            <w:pPr>
              <w:pStyle w:val="13"/>
              <w:spacing w:line="210" w:lineRule="exact"/>
              <w:ind w:left="252"/>
              <w:jc w:val="left"/>
              <w:rPr>
                <w:rFonts w:hint="default" w:eastAsia="宋体"/>
                <w:b w:val="0"/>
                <w:color w:val="000000"/>
                <w:sz w:val="20"/>
                <w:szCs w:val="20"/>
                <w:lang w:val="en-US" w:eastAsia="zh-CN"/>
              </w:rPr>
            </w:pPr>
            <w:r>
              <w:rPr>
                <w:rFonts w:hint="eastAsia" w:eastAsia="宋体"/>
                <w:b w:val="0"/>
                <w:color w:val="000000"/>
                <w:sz w:val="20"/>
                <w:szCs w:val="20"/>
                <w:lang w:val="en-US" w:eastAsia="zh-CN"/>
              </w:rPr>
              <w:t>0.08</w:t>
            </w:r>
            <w:r>
              <w:rPr>
                <w:b w:val="0"/>
                <w:color w:val="000000"/>
                <w:sz w:val="20"/>
                <w:szCs w:val="20"/>
              </w:rPr>
              <w:t>,</w:t>
            </w:r>
            <w:r>
              <w:rPr>
                <w:b w:val="0"/>
                <w:color w:val="000000"/>
                <w:spacing w:val="-1"/>
                <w:sz w:val="20"/>
                <w:szCs w:val="20"/>
              </w:rPr>
              <w:t xml:space="preserve"> </w:t>
            </w:r>
            <w:r>
              <w:rPr>
                <w:rFonts w:hint="eastAsia" w:eastAsia="宋体"/>
                <w:b w:val="0"/>
                <w:color w:val="000000"/>
                <w:spacing w:val="-1"/>
                <w:sz w:val="20"/>
                <w:szCs w:val="20"/>
                <w:lang w:val="en-US" w:eastAsia="zh-CN"/>
              </w:rPr>
              <w:t>2.32</w:t>
            </w:r>
          </w:p>
        </w:tc>
      </w:tr>
      <w:tr w14:paraId="1EE2E874">
        <w:tblPrEx>
          <w:tblCellMar>
            <w:top w:w="0" w:type="dxa"/>
            <w:left w:w="0" w:type="dxa"/>
            <w:bottom w:w="0" w:type="dxa"/>
            <w:right w:w="0" w:type="dxa"/>
          </w:tblCellMar>
        </w:tblPrEx>
        <w:trPr>
          <w:trHeight w:val="230" w:hRule="atLeast"/>
          <w:jc w:val="center"/>
        </w:trPr>
        <w:tc>
          <w:tcPr>
            <w:tcW w:w="989" w:type="dxa"/>
            <w:tcBorders>
              <w:top w:val="nil"/>
              <w:left w:val="nil"/>
              <w:bottom w:val="nil"/>
              <w:right w:val="nil"/>
            </w:tcBorders>
            <w:shd w:val="clear" w:color="auto" w:fill="FFFFFF"/>
          </w:tcPr>
          <w:p w14:paraId="413EF1B0">
            <w:pPr>
              <w:pStyle w:val="13"/>
              <w:spacing w:line="210" w:lineRule="exact"/>
              <w:ind w:left="104" w:right="104"/>
              <w:rPr>
                <w:b w:val="0"/>
                <w:color w:val="000000"/>
                <w:sz w:val="20"/>
                <w:szCs w:val="20"/>
              </w:rPr>
            </w:pPr>
            <w:r>
              <w:rPr>
                <w:b w:val="0"/>
                <w:color w:val="000000"/>
                <w:sz w:val="20"/>
                <w:szCs w:val="20"/>
              </w:rPr>
              <w:t>3º</w:t>
            </w:r>
          </w:p>
        </w:tc>
        <w:tc>
          <w:tcPr>
            <w:tcW w:w="3044" w:type="dxa"/>
            <w:tcBorders>
              <w:top w:val="nil"/>
              <w:left w:val="nil"/>
              <w:bottom w:val="nil"/>
              <w:right w:val="nil"/>
            </w:tcBorders>
            <w:shd w:val="clear" w:color="auto" w:fill="FFFFFF"/>
          </w:tcPr>
          <w:p w14:paraId="25B40719">
            <w:pPr>
              <w:pStyle w:val="13"/>
              <w:spacing w:line="210" w:lineRule="exact"/>
              <w:ind w:left="121" w:right="139"/>
              <w:rPr>
                <w:b w:val="0"/>
                <w:color w:val="000000"/>
                <w:sz w:val="20"/>
                <w:szCs w:val="20"/>
              </w:rPr>
            </w:pPr>
            <w:r>
              <w:rPr>
                <w:rFonts w:ascii="Times New Roman" w:hAnsi="Times New Roman" w:cs="Times New Roman"/>
                <w:kern w:val="0"/>
                <w:sz w:val="20"/>
                <w:szCs w:val="20"/>
                <w:lang w:bidi="ar"/>
              </w:rPr>
              <w:t>Nordic hamstring exercise</w:t>
            </w:r>
          </w:p>
        </w:tc>
        <w:tc>
          <w:tcPr>
            <w:tcW w:w="2185" w:type="dxa"/>
            <w:tcBorders>
              <w:top w:val="nil"/>
              <w:left w:val="nil"/>
              <w:bottom w:val="nil"/>
              <w:right w:val="nil"/>
            </w:tcBorders>
            <w:shd w:val="clear" w:color="auto" w:fill="FFFFFF"/>
          </w:tcPr>
          <w:p w14:paraId="780CB57F">
            <w:pPr>
              <w:pStyle w:val="13"/>
              <w:spacing w:line="210" w:lineRule="exact"/>
              <w:ind w:left="142" w:right="160"/>
              <w:rPr>
                <w:b w:val="0"/>
                <w:color w:val="000000"/>
                <w:sz w:val="20"/>
                <w:szCs w:val="20"/>
              </w:rPr>
            </w:pPr>
            <w:r>
              <w:rPr>
                <w:rFonts w:ascii="Times New Roman" w:hAnsi="Times New Roman" w:cs="Times New Roman"/>
                <w:kern w:val="0"/>
                <w:sz w:val="20"/>
                <w:szCs w:val="20"/>
                <w:lang w:bidi="ar"/>
              </w:rPr>
              <w:t>0.78</w:t>
            </w:r>
          </w:p>
        </w:tc>
        <w:tc>
          <w:tcPr>
            <w:tcW w:w="1150" w:type="dxa"/>
            <w:tcBorders>
              <w:top w:val="nil"/>
              <w:left w:val="nil"/>
              <w:bottom w:val="nil"/>
              <w:right w:val="nil"/>
            </w:tcBorders>
            <w:shd w:val="clear" w:color="auto" w:fill="FFFFFF"/>
          </w:tcPr>
          <w:p w14:paraId="69A5CEB7">
            <w:pPr>
              <w:pStyle w:val="13"/>
              <w:spacing w:line="210" w:lineRule="exact"/>
              <w:ind w:left="252"/>
              <w:jc w:val="left"/>
              <w:rPr>
                <w:b w:val="0"/>
                <w:color w:val="000000"/>
                <w:sz w:val="20"/>
                <w:szCs w:val="20"/>
              </w:rPr>
            </w:pPr>
            <w:r>
              <w:rPr>
                <w:rFonts w:ascii="Times New Roman" w:hAnsi="Times New Roman" w:cs="Times New Roman"/>
                <w:kern w:val="0"/>
                <w:sz w:val="20"/>
                <w:szCs w:val="20"/>
                <w:lang w:bidi="ar"/>
              </w:rPr>
              <w:t>0.34</w:t>
            </w:r>
            <w:r>
              <w:rPr>
                <w:rFonts w:hint="eastAsia" w:eastAsia="宋体" w:cs="Times New Roman"/>
                <w:kern w:val="0"/>
                <w:sz w:val="20"/>
                <w:szCs w:val="20"/>
                <w:lang w:val="en-US" w:eastAsia="zh-CN" w:bidi="ar"/>
              </w:rPr>
              <w:t xml:space="preserve">, </w:t>
            </w:r>
            <w:r>
              <w:rPr>
                <w:rFonts w:ascii="Times New Roman" w:hAnsi="Times New Roman" w:cs="Times New Roman"/>
                <w:kern w:val="0"/>
                <w:sz w:val="20"/>
                <w:szCs w:val="20"/>
                <w:lang w:bidi="ar"/>
              </w:rPr>
              <w:t>1.78</w:t>
            </w:r>
          </w:p>
        </w:tc>
      </w:tr>
      <w:tr w14:paraId="42A74902">
        <w:tblPrEx>
          <w:tblCellMar>
            <w:top w:w="0" w:type="dxa"/>
            <w:left w:w="0" w:type="dxa"/>
            <w:bottom w:w="0" w:type="dxa"/>
            <w:right w:w="0" w:type="dxa"/>
          </w:tblCellMar>
        </w:tblPrEx>
        <w:trPr>
          <w:trHeight w:val="230" w:hRule="atLeast"/>
          <w:jc w:val="center"/>
        </w:trPr>
        <w:tc>
          <w:tcPr>
            <w:tcW w:w="989" w:type="dxa"/>
            <w:tcBorders>
              <w:top w:val="nil"/>
              <w:left w:val="nil"/>
              <w:bottom w:val="nil"/>
              <w:right w:val="nil"/>
            </w:tcBorders>
            <w:shd w:val="clear" w:color="auto" w:fill="FFFFFF"/>
          </w:tcPr>
          <w:p w14:paraId="2E76BE9A">
            <w:pPr>
              <w:pStyle w:val="13"/>
              <w:spacing w:line="210" w:lineRule="exact"/>
              <w:ind w:left="104" w:right="104"/>
              <w:rPr>
                <w:b w:val="0"/>
                <w:color w:val="000000"/>
                <w:sz w:val="20"/>
                <w:szCs w:val="20"/>
              </w:rPr>
            </w:pPr>
            <w:r>
              <w:rPr>
                <w:b w:val="0"/>
                <w:color w:val="000000"/>
                <w:sz w:val="20"/>
                <w:szCs w:val="20"/>
              </w:rPr>
              <w:t>4º</w:t>
            </w:r>
          </w:p>
        </w:tc>
        <w:tc>
          <w:tcPr>
            <w:tcW w:w="3044" w:type="dxa"/>
            <w:tcBorders>
              <w:top w:val="nil"/>
              <w:left w:val="nil"/>
              <w:bottom w:val="nil"/>
              <w:right w:val="nil"/>
            </w:tcBorders>
            <w:shd w:val="clear" w:color="auto" w:fill="FFFFFF"/>
            <w:vAlign w:val="top"/>
          </w:tcPr>
          <w:p w14:paraId="5D2CB7A1">
            <w:pPr>
              <w:pStyle w:val="13"/>
              <w:spacing w:line="209" w:lineRule="exact"/>
              <w:ind w:left="121" w:leftChars="0" w:right="141" w:rightChars="0"/>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FIFA 11</w:t>
            </w:r>
          </w:p>
        </w:tc>
        <w:tc>
          <w:tcPr>
            <w:tcW w:w="2185" w:type="dxa"/>
            <w:tcBorders>
              <w:top w:val="nil"/>
              <w:left w:val="nil"/>
              <w:bottom w:val="nil"/>
              <w:right w:val="nil"/>
            </w:tcBorders>
            <w:shd w:val="clear" w:color="auto" w:fill="FFFFFF"/>
            <w:vAlign w:val="top"/>
          </w:tcPr>
          <w:p w14:paraId="7EBD3945">
            <w:pPr>
              <w:pStyle w:val="13"/>
              <w:spacing w:line="209" w:lineRule="exact"/>
              <w:ind w:left="142" w:leftChars="0" w:right="160" w:rightChars="0"/>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0.99</w:t>
            </w:r>
          </w:p>
        </w:tc>
        <w:tc>
          <w:tcPr>
            <w:tcW w:w="1150" w:type="dxa"/>
            <w:tcBorders>
              <w:top w:val="nil"/>
              <w:left w:val="nil"/>
              <w:bottom w:val="nil"/>
              <w:right w:val="nil"/>
            </w:tcBorders>
            <w:shd w:val="clear" w:color="auto" w:fill="FFFFFF"/>
            <w:vAlign w:val="top"/>
          </w:tcPr>
          <w:p w14:paraId="422B569A">
            <w:pPr>
              <w:pStyle w:val="13"/>
              <w:spacing w:line="209" w:lineRule="exact"/>
              <w:ind w:left="252" w:leftChars="0"/>
              <w:jc w:val="left"/>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0.82</w:t>
            </w:r>
            <w:r>
              <w:rPr>
                <w:rFonts w:hint="eastAsia" w:eastAsia="宋体" w:cs="Times New Roman"/>
                <w:kern w:val="0"/>
                <w:sz w:val="20"/>
                <w:szCs w:val="20"/>
                <w:lang w:val="en-US" w:eastAsia="zh-CN" w:bidi="ar"/>
              </w:rPr>
              <w:t xml:space="preserve">, </w:t>
            </w:r>
            <w:r>
              <w:rPr>
                <w:rFonts w:ascii="Times New Roman" w:hAnsi="Times New Roman" w:cs="Times New Roman"/>
                <w:kern w:val="0"/>
                <w:sz w:val="20"/>
                <w:szCs w:val="20"/>
                <w:lang w:bidi="ar"/>
              </w:rPr>
              <w:t>1.19</w:t>
            </w:r>
          </w:p>
        </w:tc>
      </w:tr>
      <w:tr w14:paraId="28B68F00">
        <w:tblPrEx>
          <w:tblCellMar>
            <w:top w:w="0" w:type="dxa"/>
            <w:left w:w="0" w:type="dxa"/>
            <w:bottom w:w="0" w:type="dxa"/>
            <w:right w:w="0" w:type="dxa"/>
          </w:tblCellMar>
        </w:tblPrEx>
        <w:trPr>
          <w:trHeight w:val="229" w:hRule="atLeast"/>
          <w:jc w:val="center"/>
        </w:trPr>
        <w:tc>
          <w:tcPr>
            <w:tcW w:w="989" w:type="dxa"/>
            <w:tcBorders>
              <w:top w:val="nil"/>
              <w:left w:val="nil"/>
              <w:bottom w:val="single" w:color="000000" w:sz="12" w:space="0"/>
              <w:right w:val="nil"/>
            </w:tcBorders>
            <w:shd w:val="clear" w:color="auto" w:fill="FFFFFF"/>
          </w:tcPr>
          <w:p w14:paraId="395BB016">
            <w:pPr>
              <w:pStyle w:val="13"/>
              <w:spacing w:line="209" w:lineRule="exact"/>
              <w:ind w:left="104" w:right="104"/>
              <w:rPr>
                <w:rFonts w:hint="eastAsia" w:eastAsia="宋体"/>
                <w:b w:val="0"/>
                <w:color w:val="000000"/>
                <w:sz w:val="20"/>
                <w:szCs w:val="20"/>
                <w:lang w:val="en-US" w:eastAsia="zh-CN"/>
              </w:rPr>
            </w:pPr>
            <w:r>
              <w:rPr>
                <w:rFonts w:hint="eastAsia" w:eastAsia="宋体"/>
                <w:b w:val="0"/>
                <w:color w:val="000000"/>
                <w:sz w:val="20"/>
                <w:szCs w:val="20"/>
                <w:lang w:val="en-US" w:eastAsia="zh-CN"/>
              </w:rPr>
              <w:t>5</w:t>
            </w:r>
            <w:r>
              <w:rPr>
                <w:b w:val="0"/>
                <w:color w:val="000000"/>
                <w:sz w:val="20"/>
                <w:szCs w:val="20"/>
              </w:rPr>
              <w:t>º</w:t>
            </w:r>
          </w:p>
        </w:tc>
        <w:tc>
          <w:tcPr>
            <w:tcW w:w="3044" w:type="dxa"/>
            <w:tcBorders>
              <w:top w:val="nil"/>
              <w:left w:val="nil"/>
              <w:bottom w:val="single" w:color="000000" w:sz="12" w:space="0"/>
              <w:right w:val="nil"/>
            </w:tcBorders>
            <w:shd w:val="clear" w:color="auto" w:fill="FFFFFF"/>
            <w:vAlign w:val="top"/>
          </w:tcPr>
          <w:p w14:paraId="69ADB72C">
            <w:pPr>
              <w:pStyle w:val="13"/>
              <w:spacing w:line="210" w:lineRule="exact"/>
              <w:ind w:left="121" w:leftChars="0" w:right="139" w:rightChars="0"/>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Bounding Exercise Program</w:t>
            </w:r>
          </w:p>
        </w:tc>
        <w:tc>
          <w:tcPr>
            <w:tcW w:w="2185" w:type="dxa"/>
            <w:tcBorders>
              <w:top w:val="nil"/>
              <w:left w:val="nil"/>
              <w:bottom w:val="single" w:color="000000" w:sz="12" w:space="0"/>
              <w:right w:val="nil"/>
            </w:tcBorders>
            <w:shd w:val="clear" w:color="auto" w:fill="FFFFFF"/>
            <w:vAlign w:val="top"/>
          </w:tcPr>
          <w:p w14:paraId="06AC6579">
            <w:pPr>
              <w:pStyle w:val="13"/>
              <w:spacing w:line="210" w:lineRule="exact"/>
              <w:ind w:left="142" w:leftChars="0" w:right="160" w:rightChars="0"/>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1.18</w:t>
            </w:r>
          </w:p>
        </w:tc>
        <w:tc>
          <w:tcPr>
            <w:tcW w:w="1150" w:type="dxa"/>
            <w:tcBorders>
              <w:top w:val="nil"/>
              <w:left w:val="nil"/>
              <w:bottom w:val="single" w:color="000000" w:sz="12" w:space="0"/>
              <w:right w:val="nil"/>
            </w:tcBorders>
            <w:shd w:val="clear" w:color="auto" w:fill="FFFFFF"/>
            <w:vAlign w:val="top"/>
          </w:tcPr>
          <w:p w14:paraId="1965135F">
            <w:pPr>
              <w:pStyle w:val="13"/>
              <w:spacing w:line="210" w:lineRule="exact"/>
              <w:ind w:left="252" w:leftChars="0"/>
              <w:jc w:val="left"/>
              <w:rPr>
                <w:rFonts w:ascii="Times New Roman" w:hAnsi="Times New Roman" w:eastAsia="Times New Roman" w:cs="Times New Roman"/>
                <w:b w:val="0"/>
                <w:color w:val="000000"/>
                <w:sz w:val="20"/>
                <w:szCs w:val="20"/>
                <w:lang w:val="en-US" w:eastAsia="en-US" w:bidi="ar-SA"/>
              </w:rPr>
            </w:pPr>
            <w:r>
              <w:rPr>
                <w:rFonts w:ascii="Times New Roman" w:hAnsi="Times New Roman" w:cs="Times New Roman"/>
                <w:kern w:val="0"/>
                <w:sz w:val="20"/>
                <w:szCs w:val="20"/>
                <w:lang w:bidi="ar"/>
              </w:rPr>
              <w:t>0.70</w:t>
            </w:r>
            <w:r>
              <w:rPr>
                <w:rFonts w:hint="eastAsia" w:eastAsia="宋体" w:cs="Times New Roman"/>
                <w:kern w:val="0"/>
                <w:sz w:val="20"/>
                <w:szCs w:val="20"/>
                <w:lang w:val="en-US" w:eastAsia="zh-CN" w:bidi="ar"/>
              </w:rPr>
              <w:t xml:space="preserve">, </w:t>
            </w:r>
            <w:r>
              <w:rPr>
                <w:rFonts w:ascii="Times New Roman" w:hAnsi="Times New Roman" w:cs="Times New Roman"/>
                <w:kern w:val="0"/>
                <w:sz w:val="20"/>
                <w:szCs w:val="20"/>
                <w:lang w:bidi="ar"/>
              </w:rPr>
              <w:t>1.99</w:t>
            </w:r>
          </w:p>
        </w:tc>
      </w:tr>
    </w:tbl>
    <w:p w14:paraId="0EB5E24D">
      <w:pPr>
        <w:spacing w:line="213" w:lineRule="exact"/>
        <w:rPr>
          <w:sz w:val="20"/>
        </w:rPr>
        <w:sectPr>
          <w:pgSz w:w="11920" w:h="16850"/>
          <w:pgMar w:top="1220" w:right="560" w:bottom="280" w:left="700" w:header="720" w:footer="720" w:gutter="0"/>
          <w:cols w:space="720" w:num="1"/>
        </w:sectPr>
      </w:pPr>
    </w:p>
    <w:p w14:paraId="609F570B">
      <w:pPr>
        <w:spacing w:before="68"/>
        <w:ind w:left="1539" w:right="1682"/>
        <w:jc w:val="center"/>
        <w:rPr>
          <w:sz w:val="24"/>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10.</w:t>
      </w:r>
      <w:r>
        <w:rPr>
          <w:sz w:val="24"/>
        </w:rPr>
        <w:t xml:space="preserve"> League table of pairwise comparisons from the network meta-analysis</w:t>
      </w:r>
    </w:p>
    <w:p w14:paraId="7CCE2180">
      <w:pPr>
        <w:spacing w:before="68"/>
        <w:ind w:right="1682"/>
        <w:jc w:val="both"/>
        <w:rPr>
          <w:rFonts w:hint="eastAsia"/>
          <w:sz w:val="24"/>
          <w:lang w:eastAsia="zh-CN"/>
        </w:r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5"/>
        <w:gridCol w:w="1550"/>
        <w:gridCol w:w="1550"/>
        <w:gridCol w:w="1550"/>
        <w:gridCol w:w="1650"/>
        <w:gridCol w:w="1550"/>
      </w:tblGrid>
      <w:tr w14:paraId="6067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shd w:val="clear" w:color="auto" w:fill="A4A4A4" w:themeFill="background1" w:themeFillShade="A5"/>
            <w:vAlign w:val="center"/>
          </w:tcPr>
          <w:p w14:paraId="1050F01D">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Treatment(row vs column)</w:t>
            </w:r>
          </w:p>
        </w:tc>
        <w:tc>
          <w:tcPr>
            <w:tcW w:w="0" w:type="auto"/>
            <w:tcBorders>
              <w:bottom w:val="single" w:color="auto" w:sz="4" w:space="0"/>
            </w:tcBorders>
            <w:shd w:val="clear" w:color="auto" w:fill="A4A4A4" w:themeFill="background1" w:themeFillShade="A5"/>
            <w:vAlign w:val="center"/>
          </w:tcPr>
          <w:p w14:paraId="4D8A3A92">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usual</w:t>
            </w:r>
          </w:p>
        </w:tc>
        <w:tc>
          <w:tcPr>
            <w:tcW w:w="0" w:type="auto"/>
            <w:tcBorders>
              <w:bottom w:val="single" w:color="auto" w:sz="4" w:space="0"/>
            </w:tcBorders>
            <w:shd w:val="clear" w:color="auto" w:fill="A4A4A4" w:themeFill="background1" w:themeFillShade="A5"/>
            <w:vAlign w:val="center"/>
          </w:tcPr>
          <w:p w14:paraId="411D960D">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BEP</w:t>
            </w:r>
          </w:p>
        </w:tc>
        <w:tc>
          <w:tcPr>
            <w:tcW w:w="0" w:type="auto"/>
            <w:tcBorders>
              <w:bottom w:val="single" w:color="auto" w:sz="4" w:space="0"/>
            </w:tcBorders>
            <w:shd w:val="clear" w:color="auto" w:fill="A4A4A4" w:themeFill="background1" w:themeFillShade="A5"/>
            <w:vAlign w:val="center"/>
          </w:tcPr>
          <w:p w14:paraId="4CEC43B4">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w:t>
            </w:r>
          </w:p>
        </w:tc>
        <w:tc>
          <w:tcPr>
            <w:tcW w:w="0" w:type="auto"/>
            <w:tcBorders>
              <w:bottom w:val="single" w:color="auto" w:sz="4" w:space="0"/>
            </w:tcBorders>
            <w:shd w:val="clear" w:color="auto" w:fill="A4A4A4" w:themeFill="background1" w:themeFillShade="A5"/>
            <w:vAlign w:val="center"/>
          </w:tcPr>
          <w:p w14:paraId="24885D57">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w:t>
            </w:r>
          </w:p>
        </w:tc>
        <w:tc>
          <w:tcPr>
            <w:tcW w:w="0" w:type="auto"/>
            <w:tcBorders>
              <w:bottom w:val="single" w:color="auto" w:sz="4" w:space="0"/>
            </w:tcBorders>
            <w:shd w:val="clear" w:color="auto" w:fill="A4A4A4" w:themeFill="background1" w:themeFillShade="A5"/>
            <w:vAlign w:val="center"/>
          </w:tcPr>
          <w:p w14:paraId="7DA11C81">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 Kids</w:t>
            </w:r>
          </w:p>
        </w:tc>
      </w:tr>
      <w:tr w14:paraId="4288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right w:val="single" w:color="auto" w:sz="4" w:space="0"/>
            </w:tcBorders>
            <w:shd w:val="clear" w:color="auto" w:fill="A4A4A4" w:themeFill="background1" w:themeFillShade="A5"/>
            <w:vAlign w:val="center"/>
          </w:tcPr>
          <w:p w14:paraId="12467144">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usual</w:t>
            </w:r>
          </w:p>
        </w:tc>
        <w:tc>
          <w:tcPr>
            <w:tcW w:w="0" w:type="auto"/>
            <w:tcBorders>
              <w:top w:val="single" w:color="auto" w:sz="4" w:space="0"/>
              <w:left w:val="single" w:color="auto" w:sz="4" w:space="0"/>
              <w:bottom w:val="single" w:color="auto" w:sz="4" w:space="0"/>
              <w:right w:val="single" w:color="auto" w:sz="4" w:space="0"/>
            </w:tcBorders>
            <w:vAlign w:val="bottom"/>
          </w:tcPr>
          <w:p w14:paraId="0A3BCD19">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1F651559">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756FAF8D">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6AB85878">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5E6067C4">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r>
      <w:tr w14:paraId="79621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right w:val="single" w:color="auto" w:sz="4" w:space="0"/>
            </w:tcBorders>
            <w:shd w:val="clear" w:color="auto" w:fill="A4A4A4" w:themeFill="background1" w:themeFillShade="A5"/>
            <w:vAlign w:val="center"/>
          </w:tcPr>
          <w:p w14:paraId="3CDFF87F">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BEP</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6D52D4">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0.92 (0.33–2.56)</w:t>
            </w:r>
          </w:p>
        </w:tc>
        <w:tc>
          <w:tcPr>
            <w:tcW w:w="0" w:type="auto"/>
            <w:tcBorders>
              <w:top w:val="single" w:color="auto" w:sz="4" w:space="0"/>
              <w:left w:val="single" w:color="auto" w:sz="4" w:space="0"/>
              <w:bottom w:val="single" w:color="auto" w:sz="4" w:space="0"/>
              <w:right w:val="single" w:color="auto" w:sz="4" w:space="0"/>
            </w:tcBorders>
            <w:vAlign w:val="bottom"/>
          </w:tcPr>
          <w:p w14:paraId="144CD4E9">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45A974E1">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34E59CEE">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5E76D602">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r>
      <w:tr w14:paraId="3B2EF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right w:val="single" w:color="auto" w:sz="4" w:space="0"/>
            </w:tcBorders>
            <w:shd w:val="clear" w:color="auto" w:fill="A4A4A4" w:themeFill="background1" w:themeFillShade="A5"/>
            <w:vAlign w:val="center"/>
          </w:tcPr>
          <w:p w14:paraId="061DECC0">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680D19C">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0.47 (0.18–1.25)</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CA8CCE5">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0.52 (0.25–1.04)</w:t>
            </w:r>
          </w:p>
        </w:tc>
        <w:tc>
          <w:tcPr>
            <w:tcW w:w="0" w:type="auto"/>
            <w:tcBorders>
              <w:top w:val="single" w:color="auto" w:sz="4" w:space="0"/>
              <w:left w:val="single" w:color="auto" w:sz="4" w:space="0"/>
              <w:bottom w:val="single" w:color="auto" w:sz="4" w:space="0"/>
              <w:right w:val="single" w:color="auto" w:sz="4" w:space="0"/>
            </w:tcBorders>
            <w:vAlign w:val="bottom"/>
          </w:tcPr>
          <w:p w14:paraId="1B1E2586">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47A7C394">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6F96FFCE">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r>
      <w:tr w14:paraId="20F9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0" w:type="auto"/>
            <w:tcBorders>
              <w:right w:val="single" w:color="auto" w:sz="4" w:space="0"/>
            </w:tcBorders>
            <w:shd w:val="clear" w:color="auto" w:fill="A4A4A4" w:themeFill="background1" w:themeFillShade="A5"/>
            <w:vAlign w:val="center"/>
          </w:tcPr>
          <w:p w14:paraId="0C929B9A">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8C3E6BF">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0.36 (0.05–2.73)</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326AD89">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0.39 (0.06–2.66)</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A68C59">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0.76 (0.12–5.02)</w:t>
            </w:r>
          </w:p>
        </w:tc>
        <w:tc>
          <w:tcPr>
            <w:tcW w:w="0" w:type="auto"/>
            <w:tcBorders>
              <w:top w:val="single" w:color="auto" w:sz="4" w:space="0"/>
              <w:left w:val="single" w:color="auto" w:sz="4" w:space="0"/>
              <w:bottom w:val="single" w:color="auto" w:sz="4" w:space="0"/>
              <w:right w:val="single" w:color="auto" w:sz="4" w:space="0"/>
            </w:tcBorders>
            <w:vAlign w:val="bottom"/>
          </w:tcPr>
          <w:p w14:paraId="54B3A2C5">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bottom"/>
          </w:tcPr>
          <w:p w14:paraId="25CCA2D1">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r>
      <w:tr w14:paraId="4703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0" w:type="auto"/>
            <w:tcBorders>
              <w:right w:val="single" w:color="auto" w:sz="4" w:space="0"/>
            </w:tcBorders>
            <w:shd w:val="clear" w:color="auto" w:fill="A4A4A4" w:themeFill="background1" w:themeFillShade="A5"/>
            <w:vAlign w:val="center"/>
          </w:tcPr>
          <w:p w14:paraId="4871A3AA">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FIFA 11+ Kids</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6C6220A">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0.67 (0.23–1.94)</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7688651">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0.73 (0.32–1.67)</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58486FE">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1.41 (0.65–3.05)</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807CF6F">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1.85 (0.27–12.84)</w:t>
            </w:r>
          </w:p>
        </w:tc>
        <w:tc>
          <w:tcPr>
            <w:tcW w:w="0" w:type="auto"/>
            <w:tcBorders>
              <w:top w:val="single" w:color="auto" w:sz="4" w:space="0"/>
              <w:left w:val="single" w:color="auto" w:sz="4" w:space="0"/>
              <w:bottom w:val="single" w:color="auto" w:sz="4" w:space="0"/>
              <w:right w:val="single" w:color="auto" w:sz="4" w:space="0"/>
            </w:tcBorders>
            <w:vAlign w:val="bottom"/>
          </w:tcPr>
          <w:p w14:paraId="7642A801">
            <w:pPr>
              <w:jc w:val="both"/>
              <w:rPr>
                <w:rFonts w:hint="default" w:ascii="Times New Roman" w:hAnsi="Times New Roman" w:cs="Times New Roman"/>
                <w:color w:val="000000" w:themeColor="text1"/>
                <w:sz w:val="20"/>
                <w:szCs w:val="20"/>
                <w:vertAlign w:val="baseline"/>
                <w:lang w:eastAsia="zh-CN"/>
                <w14:textFill>
                  <w14:solidFill>
                    <w14:schemeClr w14:val="tx1"/>
                  </w14:solidFill>
                </w14:textFill>
              </w:rPr>
            </w:pPr>
          </w:p>
        </w:tc>
      </w:tr>
      <w:tr w14:paraId="0E92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right w:val="single" w:color="auto" w:sz="4" w:space="0"/>
            </w:tcBorders>
            <w:shd w:val="clear" w:color="auto" w:fill="A4A4A4" w:themeFill="background1" w:themeFillShade="A5"/>
            <w:vAlign w:val="center"/>
          </w:tcPr>
          <w:p w14:paraId="684AA18E">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NHE</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59F58BD">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0.85 (0.36–2.01)</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DA2919D">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0.92 (0.53–1.60)</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6FE923D">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b/>
                <w:bCs/>
                <w:i w:val="0"/>
                <w:iCs w:val="0"/>
                <w:color w:val="000000" w:themeColor="text1"/>
                <w:kern w:val="0"/>
                <w:sz w:val="20"/>
                <w:szCs w:val="20"/>
                <w:u w:val="none"/>
                <w:lang w:val="en-US" w:eastAsia="zh-CN" w:bidi="ar"/>
                <w14:textFill>
                  <w14:solidFill>
                    <w14:schemeClr w14:val="tx1"/>
                  </w14:solidFill>
                </w14:textFill>
              </w:rPr>
              <w:t>1.79 (1.14–2.80)</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A9A2BB9">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2.35 (0.38–14.70)</w:t>
            </w:r>
          </w:p>
        </w:tc>
        <w:tc>
          <w:tcPr>
            <w:tcW w:w="0" w:type="auto"/>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E5624A0">
            <w:pPr>
              <w:keepNext w:val="0"/>
              <w:keepLines w:val="0"/>
              <w:widowControl/>
              <w:suppressLineNumbers w:val="0"/>
              <w:jc w:val="center"/>
              <w:textAlignment w:val="center"/>
              <w:rPr>
                <w:rFonts w:hint="default" w:ascii="Times New Roman" w:hAnsi="Times New Roman" w:cs="Times New Roman"/>
                <w:color w:val="000000" w:themeColor="text1"/>
                <w:sz w:val="20"/>
                <w:szCs w:val="20"/>
                <w:vertAlign w:val="baseline"/>
                <w:lang w:eastAsia="zh-CN"/>
                <w14:textFill>
                  <w14:solidFill>
                    <w14:schemeClr w14:val="tx1"/>
                  </w14:solidFill>
                </w14:textFill>
              </w:rPr>
            </w:pPr>
            <w:r>
              <w:rPr>
                <w:rFonts w:hint="default" w:ascii="Times New Roman" w:hAnsi="Times New Roman" w:eastAsia="微软雅黑" w:cs="Times New Roman"/>
                <w:i w:val="0"/>
                <w:iCs w:val="0"/>
                <w:color w:val="000000" w:themeColor="text1"/>
                <w:kern w:val="0"/>
                <w:sz w:val="20"/>
                <w:szCs w:val="20"/>
                <w:u w:val="none"/>
                <w:lang w:val="en-US" w:eastAsia="zh-CN" w:bidi="ar"/>
                <w14:textFill>
                  <w14:solidFill>
                    <w14:schemeClr w14:val="tx1"/>
                  </w14:solidFill>
                </w14:textFill>
              </w:rPr>
              <w:t>1.27 (0.68–2.38)</w:t>
            </w:r>
          </w:p>
        </w:tc>
      </w:tr>
    </w:tbl>
    <w:p w14:paraId="1B70BD27">
      <w:pPr>
        <w:tabs>
          <w:tab w:val="left" w:pos="3915"/>
        </w:tabs>
        <w:bidi w:val="0"/>
        <w:jc w:val="both"/>
        <w:rPr>
          <w:rFonts w:hint="default" w:ascii="Times New Roman" w:hAnsi="Times New Roman" w:eastAsia="宋体" w:cs="Times New Roman"/>
          <w:sz w:val="20"/>
          <w:szCs w:val="20"/>
          <w:lang w:val="en-US" w:eastAsia="zh-CN"/>
        </w:rPr>
        <w:sectPr>
          <w:pgSz w:w="11920" w:h="16850"/>
          <w:pgMar w:top="1220" w:right="560" w:bottom="280" w:left="700" w:header="720" w:footer="720" w:gutter="0"/>
          <w:cols w:space="720" w:num="1"/>
        </w:sectPr>
      </w:pPr>
    </w:p>
    <w:p w14:paraId="6EDE362C">
      <w:pPr>
        <w:spacing w:before="68"/>
        <w:ind w:left="1539" w:right="1682"/>
        <w:jc w:val="center"/>
        <w:rPr>
          <w:sz w:val="24"/>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11.</w:t>
      </w:r>
      <w:r>
        <w:rPr>
          <w:b/>
          <w:spacing w:val="-5"/>
          <w:sz w:val="24"/>
        </w:rPr>
        <w:t xml:space="preserve"> </w:t>
      </w:r>
      <w:r>
        <w:rPr>
          <w:sz w:val="24"/>
        </w:rPr>
        <w:t>Statistical</w:t>
      </w:r>
      <w:r>
        <w:rPr>
          <w:spacing w:val="-2"/>
          <w:sz w:val="24"/>
        </w:rPr>
        <w:t xml:space="preserve"> </w:t>
      </w:r>
      <w:r>
        <w:rPr>
          <w:sz w:val="24"/>
        </w:rPr>
        <w:t>data</w:t>
      </w:r>
      <w:r>
        <w:rPr>
          <w:spacing w:val="-8"/>
          <w:sz w:val="24"/>
        </w:rPr>
        <w:t xml:space="preserve"> </w:t>
      </w:r>
      <w:r>
        <w:rPr>
          <w:sz w:val="24"/>
        </w:rPr>
        <w:t>on</w:t>
      </w:r>
      <w:r>
        <w:rPr>
          <w:spacing w:val="-4"/>
          <w:sz w:val="24"/>
        </w:rPr>
        <w:t xml:space="preserve"> </w:t>
      </w:r>
      <w:r>
        <w:rPr>
          <w:sz w:val="24"/>
        </w:rPr>
        <w:t>random</w:t>
      </w:r>
      <w:r>
        <w:rPr>
          <w:spacing w:val="-7"/>
          <w:sz w:val="24"/>
        </w:rPr>
        <w:t xml:space="preserve"> </w:t>
      </w:r>
      <w:r>
        <w:rPr>
          <w:sz w:val="24"/>
        </w:rPr>
        <w:t>effects</w:t>
      </w:r>
      <w:r>
        <w:rPr>
          <w:spacing w:val="-2"/>
          <w:sz w:val="24"/>
        </w:rPr>
        <w:t xml:space="preserve"> </w:t>
      </w:r>
      <w:r>
        <w:rPr>
          <w:sz w:val="24"/>
        </w:rPr>
        <w:t>model</w:t>
      </w:r>
      <w:r>
        <w:rPr>
          <w:spacing w:val="-6"/>
          <w:sz w:val="24"/>
        </w:rPr>
        <w:t xml:space="preserve"> </w:t>
      </w:r>
      <w:r>
        <w:rPr>
          <w:sz w:val="24"/>
        </w:rPr>
        <w:t>in</w:t>
      </w:r>
      <w:r>
        <w:rPr>
          <w:spacing w:val="-2"/>
          <w:sz w:val="24"/>
        </w:rPr>
        <w:t xml:space="preserve"> </w:t>
      </w:r>
      <w:r>
        <w:rPr>
          <w:sz w:val="24"/>
        </w:rPr>
        <w:t>males</w:t>
      </w:r>
    </w:p>
    <w:tbl>
      <w:tblPr>
        <w:tblStyle w:val="11"/>
        <w:tblpPr w:leftFromText="180" w:rightFromText="180" w:vertAnchor="text" w:horzAnchor="page" w:tblpX="2336" w:tblpY="261"/>
        <w:tblOverlap w:val="never"/>
        <w:tblW w:w="0" w:type="auto"/>
        <w:tblInd w:w="0" w:type="dxa"/>
        <w:tblLayout w:type="fixed"/>
        <w:tblCellMar>
          <w:top w:w="0" w:type="dxa"/>
          <w:left w:w="0" w:type="dxa"/>
          <w:bottom w:w="0" w:type="dxa"/>
          <w:right w:w="0" w:type="dxa"/>
        </w:tblCellMar>
      </w:tblPr>
      <w:tblGrid>
        <w:gridCol w:w="989"/>
        <w:gridCol w:w="3044"/>
        <w:gridCol w:w="2185"/>
        <w:gridCol w:w="1150"/>
      </w:tblGrid>
      <w:tr w14:paraId="18D635E6">
        <w:tblPrEx>
          <w:tblCellMar>
            <w:top w:w="0" w:type="dxa"/>
            <w:left w:w="0" w:type="dxa"/>
            <w:bottom w:w="0" w:type="dxa"/>
            <w:right w:w="0" w:type="dxa"/>
          </w:tblCellMar>
        </w:tblPrEx>
        <w:trPr>
          <w:trHeight w:val="239" w:hRule="atLeast"/>
        </w:trPr>
        <w:tc>
          <w:tcPr>
            <w:tcW w:w="989" w:type="dxa"/>
            <w:tcBorders>
              <w:top w:val="single" w:color="000000" w:sz="12" w:space="0"/>
              <w:left w:val="nil"/>
              <w:bottom w:val="single" w:color="000000" w:sz="4" w:space="0"/>
              <w:right w:val="nil"/>
              <w:tl2br w:val="nil"/>
            </w:tcBorders>
            <w:shd w:val="clear" w:color="auto" w:fill="FFFFFF"/>
          </w:tcPr>
          <w:p w14:paraId="5F270DC4">
            <w:pPr>
              <w:pStyle w:val="13"/>
              <w:spacing w:beforeAutospacing="0" w:line="220" w:lineRule="exact"/>
              <w:ind w:left="104" w:right="103"/>
              <w:rPr>
                <w:b w:val="0"/>
                <w:color w:val="000000"/>
                <w:sz w:val="20"/>
              </w:rPr>
            </w:pPr>
            <w:r>
              <w:rPr>
                <w:b w:val="0"/>
                <w:color w:val="000000"/>
                <w:sz w:val="20"/>
              </w:rPr>
              <w:t>Ránking</w:t>
            </w:r>
          </w:p>
        </w:tc>
        <w:tc>
          <w:tcPr>
            <w:tcW w:w="3044" w:type="dxa"/>
            <w:tcBorders>
              <w:top w:val="single" w:color="000000" w:sz="12" w:space="0"/>
              <w:left w:val="nil"/>
              <w:bottom w:val="single" w:color="000000" w:sz="4" w:space="0"/>
              <w:right w:val="nil"/>
            </w:tcBorders>
            <w:shd w:val="clear" w:color="auto" w:fill="FFFFFF"/>
          </w:tcPr>
          <w:p w14:paraId="248EB8C0">
            <w:pPr>
              <w:pStyle w:val="13"/>
              <w:spacing w:line="220" w:lineRule="exact"/>
              <w:ind w:left="71" w:right="141"/>
              <w:rPr>
                <w:b w:val="0"/>
                <w:color w:val="000000"/>
                <w:sz w:val="20"/>
              </w:rPr>
            </w:pPr>
            <w:r>
              <w:rPr>
                <w:b w:val="0"/>
                <w:color w:val="000000"/>
                <w:sz w:val="20"/>
              </w:rPr>
              <w:t>Intervention</w:t>
            </w:r>
          </w:p>
        </w:tc>
        <w:tc>
          <w:tcPr>
            <w:tcW w:w="2185" w:type="dxa"/>
            <w:tcBorders>
              <w:top w:val="single" w:color="000000" w:sz="12" w:space="0"/>
              <w:left w:val="nil"/>
              <w:bottom w:val="single" w:color="000000" w:sz="4" w:space="0"/>
              <w:right w:val="nil"/>
            </w:tcBorders>
            <w:shd w:val="clear" w:color="auto" w:fill="FFFFFF"/>
          </w:tcPr>
          <w:p w14:paraId="7F90103C">
            <w:pPr>
              <w:pStyle w:val="13"/>
              <w:spacing w:line="220" w:lineRule="exact"/>
              <w:ind w:left="142" w:right="232"/>
              <w:rPr>
                <w:b w:val="0"/>
                <w:color w:val="000000"/>
                <w:sz w:val="20"/>
              </w:rPr>
            </w:pPr>
            <w:r>
              <w:rPr>
                <w:b w:val="0"/>
                <w:color w:val="000000"/>
                <w:sz w:val="20"/>
              </w:rPr>
              <w:t>Incidence Rate Ratio</w:t>
            </w:r>
          </w:p>
        </w:tc>
        <w:tc>
          <w:tcPr>
            <w:tcW w:w="1150" w:type="dxa"/>
            <w:tcBorders>
              <w:top w:val="single" w:color="000000" w:sz="12" w:space="0"/>
              <w:left w:val="nil"/>
              <w:bottom w:val="single" w:color="000000" w:sz="4" w:space="0"/>
              <w:right w:val="nil"/>
            </w:tcBorders>
            <w:shd w:val="clear" w:color="auto" w:fill="FFFFFF"/>
          </w:tcPr>
          <w:p w14:paraId="7A09B8CD">
            <w:pPr>
              <w:pStyle w:val="13"/>
              <w:spacing w:line="220" w:lineRule="exact"/>
              <w:ind w:left="303"/>
              <w:jc w:val="left"/>
              <w:rPr>
                <w:b w:val="0"/>
                <w:color w:val="000000"/>
                <w:sz w:val="20"/>
              </w:rPr>
            </w:pPr>
            <w:r>
              <w:rPr>
                <w:b w:val="0"/>
                <w:color w:val="000000"/>
                <w:sz w:val="20"/>
              </w:rPr>
              <w:t>95%</w:t>
            </w:r>
            <w:r>
              <w:rPr>
                <w:b w:val="0"/>
                <w:color w:val="000000"/>
                <w:spacing w:val="-1"/>
                <w:sz w:val="20"/>
              </w:rPr>
              <w:t xml:space="preserve"> </w:t>
            </w:r>
            <w:r>
              <w:rPr>
                <w:b w:val="0"/>
                <w:color w:val="000000"/>
                <w:sz w:val="20"/>
              </w:rPr>
              <w:t>CI</w:t>
            </w:r>
          </w:p>
        </w:tc>
      </w:tr>
      <w:tr w14:paraId="64B9961E">
        <w:tblPrEx>
          <w:tblCellMar>
            <w:top w:w="0" w:type="dxa"/>
            <w:left w:w="0" w:type="dxa"/>
            <w:bottom w:w="0" w:type="dxa"/>
            <w:right w:w="0" w:type="dxa"/>
          </w:tblCellMar>
        </w:tblPrEx>
        <w:trPr>
          <w:trHeight w:val="227" w:hRule="atLeast"/>
        </w:trPr>
        <w:tc>
          <w:tcPr>
            <w:tcW w:w="989" w:type="dxa"/>
            <w:tcBorders>
              <w:top w:val="single" w:color="000000" w:sz="4" w:space="0"/>
              <w:left w:val="nil"/>
              <w:bottom w:val="nil"/>
              <w:right w:val="nil"/>
            </w:tcBorders>
            <w:shd w:val="clear" w:color="auto" w:fill="FFFFFF"/>
          </w:tcPr>
          <w:p w14:paraId="7AC20BE9">
            <w:pPr>
              <w:pStyle w:val="13"/>
              <w:spacing w:line="208" w:lineRule="exact"/>
              <w:ind w:left="104" w:right="104"/>
              <w:rPr>
                <w:b w:val="0"/>
                <w:color w:val="000000"/>
                <w:sz w:val="20"/>
              </w:rPr>
            </w:pPr>
            <w:r>
              <w:rPr>
                <w:b w:val="0"/>
                <w:color w:val="000000"/>
                <w:sz w:val="20"/>
              </w:rPr>
              <w:t>1º</w:t>
            </w:r>
          </w:p>
        </w:tc>
        <w:tc>
          <w:tcPr>
            <w:tcW w:w="3044" w:type="dxa"/>
            <w:tcBorders>
              <w:top w:val="single" w:color="000000" w:sz="4" w:space="0"/>
              <w:left w:val="nil"/>
              <w:bottom w:val="nil"/>
              <w:right w:val="nil"/>
            </w:tcBorders>
            <w:shd w:val="clear" w:color="auto" w:fill="FFFFFF"/>
          </w:tcPr>
          <w:p w14:paraId="7E49590A">
            <w:pPr>
              <w:pStyle w:val="13"/>
              <w:spacing w:line="208" w:lineRule="exact"/>
              <w:ind w:left="121" w:right="139"/>
              <w:rPr>
                <w:b w:val="0"/>
                <w:color w:val="000000"/>
                <w:sz w:val="20"/>
              </w:rPr>
            </w:pPr>
            <w:r>
              <w:rPr>
                <w:b w:val="0"/>
                <w:color w:val="000000"/>
                <w:sz w:val="20"/>
              </w:rPr>
              <w:t>Knäkontroll</w:t>
            </w:r>
          </w:p>
        </w:tc>
        <w:tc>
          <w:tcPr>
            <w:tcW w:w="2185" w:type="dxa"/>
            <w:tcBorders>
              <w:top w:val="single" w:color="000000" w:sz="4" w:space="0"/>
              <w:left w:val="nil"/>
              <w:bottom w:val="nil"/>
              <w:right w:val="nil"/>
            </w:tcBorders>
            <w:shd w:val="clear" w:color="auto" w:fill="FFFFFF"/>
          </w:tcPr>
          <w:p w14:paraId="416C03F6">
            <w:pPr>
              <w:pStyle w:val="13"/>
              <w:spacing w:line="208" w:lineRule="exact"/>
              <w:ind w:left="142" w:right="160"/>
              <w:rPr>
                <w:b w:val="0"/>
                <w:color w:val="000000"/>
                <w:sz w:val="20"/>
              </w:rPr>
            </w:pPr>
            <w:r>
              <w:rPr>
                <w:b w:val="0"/>
                <w:color w:val="000000"/>
                <w:sz w:val="20"/>
              </w:rPr>
              <w:t>-0.58</w:t>
            </w:r>
          </w:p>
        </w:tc>
        <w:tc>
          <w:tcPr>
            <w:tcW w:w="1150" w:type="dxa"/>
            <w:tcBorders>
              <w:top w:val="single" w:color="000000" w:sz="4" w:space="0"/>
              <w:left w:val="nil"/>
              <w:bottom w:val="nil"/>
              <w:right w:val="nil"/>
            </w:tcBorders>
            <w:shd w:val="clear" w:color="auto" w:fill="FFFFFF"/>
          </w:tcPr>
          <w:p w14:paraId="03A57263">
            <w:pPr>
              <w:pStyle w:val="13"/>
              <w:spacing w:line="208" w:lineRule="exact"/>
              <w:ind w:left="252"/>
              <w:jc w:val="left"/>
              <w:rPr>
                <w:b w:val="0"/>
                <w:color w:val="000000"/>
                <w:sz w:val="20"/>
              </w:rPr>
            </w:pPr>
            <w:r>
              <w:rPr>
                <w:b w:val="0"/>
                <w:color w:val="000000"/>
                <w:sz w:val="20"/>
              </w:rPr>
              <w:t>-1.61,</w:t>
            </w:r>
            <w:r>
              <w:rPr>
                <w:b w:val="0"/>
                <w:color w:val="000000"/>
                <w:spacing w:val="-1"/>
                <w:sz w:val="20"/>
              </w:rPr>
              <w:t xml:space="preserve"> </w:t>
            </w:r>
            <w:r>
              <w:rPr>
                <w:b w:val="0"/>
                <w:color w:val="000000"/>
                <w:sz w:val="20"/>
              </w:rPr>
              <w:t>0.43</w:t>
            </w:r>
          </w:p>
        </w:tc>
      </w:tr>
      <w:tr w14:paraId="2E484673">
        <w:tblPrEx>
          <w:tblCellMar>
            <w:top w:w="0" w:type="dxa"/>
            <w:left w:w="0" w:type="dxa"/>
            <w:bottom w:w="0" w:type="dxa"/>
            <w:right w:w="0" w:type="dxa"/>
          </w:tblCellMar>
        </w:tblPrEx>
        <w:trPr>
          <w:trHeight w:val="230" w:hRule="atLeast"/>
        </w:trPr>
        <w:tc>
          <w:tcPr>
            <w:tcW w:w="989" w:type="dxa"/>
            <w:tcBorders>
              <w:top w:val="nil"/>
              <w:left w:val="nil"/>
              <w:bottom w:val="nil"/>
              <w:right w:val="nil"/>
            </w:tcBorders>
            <w:shd w:val="clear" w:color="auto" w:fill="FFFFFF"/>
          </w:tcPr>
          <w:p w14:paraId="44921733">
            <w:pPr>
              <w:pStyle w:val="13"/>
              <w:spacing w:line="210" w:lineRule="exact"/>
              <w:ind w:left="104" w:right="104"/>
              <w:rPr>
                <w:b w:val="0"/>
                <w:color w:val="000000"/>
                <w:sz w:val="20"/>
              </w:rPr>
            </w:pPr>
            <w:r>
              <w:rPr>
                <w:b w:val="0"/>
                <w:color w:val="000000"/>
                <w:sz w:val="20"/>
              </w:rPr>
              <w:t>2º</w:t>
            </w:r>
          </w:p>
        </w:tc>
        <w:tc>
          <w:tcPr>
            <w:tcW w:w="3044" w:type="dxa"/>
            <w:tcBorders>
              <w:top w:val="nil"/>
              <w:left w:val="nil"/>
              <w:bottom w:val="nil"/>
              <w:right w:val="nil"/>
            </w:tcBorders>
            <w:shd w:val="clear" w:color="auto" w:fill="FFFFFF"/>
          </w:tcPr>
          <w:p w14:paraId="1A0CD790">
            <w:pPr>
              <w:pStyle w:val="13"/>
              <w:spacing w:line="210" w:lineRule="exact"/>
              <w:ind w:left="121" w:right="140"/>
              <w:rPr>
                <w:b w:val="0"/>
                <w:color w:val="000000"/>
                <w:sz w:val="20"/>
              </w:rPr>
            </w:pPr>
            <w:r>
              <w:rPr>
                <w:b w:val="0"/>
                <w:color w:val="000000"/>
                <w:sz w:val="20"/>
              </w:rPr>
              <w:t>CORE</w:t>
            </w:r>
            <w:r>
              <w:rPr>
                <w:b w:val="0"/>
                <w:color w:val="000000"/>
                <w:spacing w:val="-3"/>
                <w:sz w:val="20"/>
              </w:rPr>
              <w:t xml:space="preserve"> </w:t>
            </w:r>
            <w:r>
              <w:rPr>
                <w:b w:val="0"/>
                <w:color w:val="000000"/>
                <w:sz w:val="20"/>
              </w:rPr>
              <w:t>training</w:t>
            </w:r>
          </w:p>
        </w:tc>
        <w:tc>
          <w:tcPr>
            <w:tcW w:w="2185" w:type="dxa"/>
            <w:tcBorders>
              <w:top w:val="nil"/>
              <w:left w:val="nil"/>
              <w:bottom w:val="nil"/>
              <w:right w:val="nil"/>
            </w:tcBorders>
            <w:shd w:val="clear" w:color="auto" w:fill="FFFFFF"/>
          </w:tcPr>
          <w:p w14:paraId="5D77F2E4">
            <w:pPr>
              <w:pStyle w:val="13"/>
              <w:spacing w:line="210" w:lineRule="exact"/>
              <w:ind w:left="142" w:right="160"/>
              <w:rPr>
                <w:b w:val="0"/>
                <w:color w:val="000000"/>
                <w:sz w:val="20"/>
              </w:rPr>
            </w:pPr>
            <w:r>
              <w:rPr>
                <w:b w:val="0"/>
                <w:color w:val="000000"/>
                <w:sz w:val="20"/>
              </w:rPr>
              <w:t>-0.45</w:t>
            </w:r>
          </w:p>
        </w:tc>
        <w:tc>
          <w:tcPr>
            <w:tcW w:w="1150" w:type="dxa"/>
            <w:tcBorders>
              <w:top w:val="nil"/>
              <w:left w:val="nil"/>
              <w:bottom w:val="nil"/>
              <w:right w:val="nil"/>
            </w:tcBorders>
            <w:shd w:val="clear" w:color="auto" w:fill="FFFFFF"/>
          </w:tcPr>
          <w:p w14:paraId="38571BB6">
            <w:pPr>
              <w:pStyle w:val="13"/>
              <w:spacing w:line="210" w:lineRule="exact"/>
              <w:ind w:left="252"/>
              <w:jc w:val="left"/>
              <w:rPr>
                <w:b w:val="0"/>
                <w:color w:val="000000"/>
                <w:sz w:val="20"/>
              </w:rPr>
            </w:pPr>
            <w:r>
              <w:rPr>
                <w:b w:val="0"/>
                <w:color w:val="000000"/>
                <w:sz w:val="20"/>
              </w:rPr>
              <w:t>-2.12,</w:t>
            </w:r>
            <w:r>
              <w:rPr>
                <w:b w:val="0"/>
                <w:color w:val="000000"/>
                <w:spacing w:val="-1"/>
                <w:sz w:val="20"/>
              </w:rPr>
              <w:t xml:space="preserve"> </w:t>
            </w:r>
            <w:r>
              <w:rPr>
                <w:b w:val="0"/>
                <w:color w:val="000000"/>
                <w:sz w:val="20"/>
              </w:rPr>
              <w:t>1.19</w:t>
            </w:r>
          </w:p>
        </w:tc>
      </w:tr>
      <w:tr w14:paraId="397573D2">
        <w:tblPrEx>
          <w:tblCellMar>
            <w:top w:w="0" w:type="dxa"/>
            <w:left w:w="0" w:type="dxa"/>
            <w:bottom w:w="0" w:type="dxa"/>
            <w:right w:w="0" w:type="dxa"/>
          </w:tblCellMar>
        </w:tblPrEx>
        <w:trPr>
          <w:trHeight w:val="230" w:hRule="atLeast"/>
        </w:trPr>
        <w:tc>
          <w:tcPr>
            <w:tcW w:w="989" w:type="dxa"/>
            <w:tcBorders>
              <w:top w:val="nil"/>
              <w:left w:val="nil"/>
              <w:bottom w:val="nil"/>
              <w:right w:val="nil"/>
            </w:tcBorders>
            <w:shd w:val="clear" w:color="auto" w:fill="FFFFFF"/>
          </w:tcPr>
          <w:p w14:paraId="48F55547">
            <w:pPr>
              <w:pStyle w:val="13"/>
              <w:spacing w:line="210" w:lineRule="exact"/>
              <w:ind w:left="104" w:right="104"/>
              <w:rPr>
                <w:b w:val="0"/>
                <w:color w:val="000000"/>
                <w:sz w:val="20"/>
              </w:rPr>
            </w:pPr>
            <w:r>
              <w:rPr>
                <w:b w:val="0"/>
                <w:color w:val="000000"/>
                <w:sz w:val="20"/>
              </w:rPr>
              <w:t>3º</w:t>
            </w:r>
          </w:p>
        </w:tc>
        <w:tc>
          <w:tcPr>
            <w:tcW w:w="3044" w:type="dxa"/>
            <w:tcBorders>
              <w:top w:val="nil"/>
              <w:left w:val="nil"/>
              <w:bottom w:val="nil"/>
              <w:right w:val="nil"/>
            </w:tcBorders>
            <w:shd w:val="clear" w:color="auto" w:fill="FFFFFF"/>
          </w:tcPr>
          <w:p w14:paraId="54189450">
            <w:pPr>
              <w:pStyle w:val="13"/>
              <w:spacing w:line="210" w:lineRule="exact"/>
              <w:ind w:left="121" w:right="139"/>
              <w:rPr>
                <w:b w:val="0"/>
                <w:color w:val="000000"/>
                <w:sz w:val="20"/>
              </w:rPr>
            </w:pPr>
            <w:r>
              <w:rPr>
                <w:b w:val="0"/>
                <w:color w:val="000000"/>
                <w:sz w:val="20"/>
              </w:rPr>
              <w:t>FIFA</w:t>
            </w:r>
            <w:r>
              <w:rPr>
                <w:b w:val="0"/>
                <w:color w:val="000000"/>
                <w:spacing w:val="-2"/>
                <w:sz w:val="20"/>
              </w:rPr>
              <w:t xml:space="preserve"> </w:t>
            </w:r>
            <w:r>
              <w:rPr>
                <w:b w:val="0"/>
                <w:color w:val="000000"/>
                <w:sz w:val="20"/>
              </w:rPr>
              <w:t>11+</w:t>
            </w:r>
          </w:p>
        </w:tc>
        <w:tc>
          <w:tcPr>
            <w:tcW w:w="2185" w:type="dxa"/>
            <w:tcBorders>
              <w:top w:val="nil"/>
              <w:left w:val="nil"/>
              <w:bottom w:val="nil"/>
              <w:right w:val="nil"/>
            </w:tcBorders>
            <w:shd w:val="clear" w:color="auto" w:fill="FFFFFF"/>
          </w:tcPr>
          <w:p w14:paraId="399FE471">
            <w:pPr>
              <w:pStyle w:val="13"/>
              <w:spacing w:line="210" w:lineRule="exact"/>
              <w:ind w:left="142" w:right="160"/>
              <w:rPr>
                <w:b w:val="0"/>
                <w:color w:val="000000"/>
                <w:sz w:val="20"/>
              </w:rPr>
            </w:pPr>
            <w:r>
              <w:rPr>
                <w:b w:val="0"/>
                <w:color w:val="000000"/>
                <w:sz w:val="20"/>
              </w:rPr>
              <w:t>-0.43</w:t>
            </w:r>
          </w:p>
        </w:tc>
        <w:tc>
          <w:tcPr>
            <w:tcW w:w="1150" w:type="dxa"/>
            <w:tcBorders>
              <w:top w:val="nil"/>
              <w:left w:val="nil"/>
              <w:bottom w:val="nil"/>
              <w:right w:val="nil"/>
            </w:tcBorders>
            <w:shd w:val="clear" w:color="auto" w:fill="FFFFFF"/>
          </w:tcPr>
          <w:p w14:paraId="2610BBC5">
            <w:pPr>
              <w:pStyle w:val="13"/>
              <w:spacing w:line="210" w:lineRule="exact"/>
              <w:ind w:left="252"/>
              <w:jc w:val="left"/>
              <w:rPr>
                <w:b w:val="0"/>
                <w:color w:val="000000"/>
                <w:sz w:val="20"/>
              </w:rPr>
            </w:pPr>
            <w:r>
              <w:rPr>
                <w:b w:val="0"/>
                <w:color w:val="000000"/>
                <w:sz w:val="20"/>
              </w:rPr>
              <w:t>-1.99,</w:t>
            </w:r>
            <w:r>
              <w:rPr>
                <w:b w:val="0"/>
                <w:color w:val="000000"/>
                <w:spacing w:val="-1"/>
                <w:sz w:val="20"/>
              </w:rPr>
              <w:t xml:space="preserve"> </w:t>
            </w:r>
            <w:r>
              <w:rPr>
                <w:b w:val="0"/>
                <w:color w:val="000000"/>
                <w:sz w:val="20"/>
              </w:rPr>
              <w:t>1.12</w:t>
            </w:r>
          </w:p>
        </w:tc>
      </w:tr>
      <w:tr w14:paraId="7AC7C162">
        <w:tblPrEx>
          <w:tblCellMar>
            <w:top w:w="0" w:type="dxa"/>
            <w:left w:w="0" w:type="dxa"/>
            <w:bottom w:w="0" w:type="dxa"/>
            <w:right w:w="0" w:type="dxa"/>
          </w:tblCellMar>
        </w:tblPrEx>
        <w:trPr>
          <w:trHeight w:val="230" w:hRule="atLeast"/>
        </w:trPr>
        <w:tc>
          <w:tcPr>
            <w:tcW w:w="989" w:type="dxa"/>
            <w:tcBorders>
              <w:top w:val="nil"/>
              <w:left w:val="nil"/>
              <w:bottom w:val="nil"/>
              <w:right w:val="nil"/>
            </w:tcBorders>
            <w:shd w:val="clear" w:color="auto" w:fill="FFFFFF"/>
          </w:tcPr>
          <w:p w14:paraId="0FF0824D">
            <w:pPr>
              <w:pStyle w:val="13"/>
              <w:spacing w:line="210" w:lineRule="exact"/>
              <w:ind w:left="104" w:right="104"/>
              <w:rPr>
                <w:b w:val="0"/>
                <w:color w:val="000000"/>
                <w:sz w:val="20"/>
              </w:rPr>
            </w:pPr>
            <w:r>
              <w:rPr>
                <w:b w:val="0"/>
                <w:color w:val="000000"/>
                <w:sz w:val="20"/>
              </w:rPr>
              <w:t>4º</w:t>
            </w:r>
          </w:p>
        </w:tc>
        <w:tc>
          <w:tcPr>
            <w:tcW w:w="3044" w:type="dxa"/>
            <w:tcBorders>
              <w:top w:val="nil"/>
              <w:left w:val="nil"/>
              <w:bottom w:val="nil"/>
              <w:right w:val="nil"/>
            </w:tcBorders>
            <w:shd w:val="clear" w:color="auto" w:fill="FFFFFF"/>
          </w:tcPr>
          <w:p w14:paraId="7771CF18">
            <w:pPr>
              <w:pStyle w:val="13"/>
              <w:spacing w:line="210" w:lineRule="exact"/>
              <w:ind w:left="121" w:right="139"/>
              <w:rPr>
                <w:b w:val="0"/>
                <w:color w:val="000000"/>
                <w:sz w:val="20"/>
              </w:rPr>
            </w:pPr>
            <w:r>
              <w:rPr>
                <w:b w:val="0"/>
                <w:color w:val="000000"/>
                <w:sz w:val="20"/>
              </w:rPr>
              <w:t>PEP</w:t>
            </w:r>
            <w:r>
              <w:rPr>
                <w:b w:val="0"/>
                <w:color w:val="000000"/>
                <w:spacing w:val="-4"/>
                <w:sz w:val="20"/>
              </w:rPr>
              <w:t xml:space="preserve"> </w:t>
            </w:r>
            <w:r>
              <w:rPr>
                <w:b w:val="0"/>
                <w:color w:val="000000"/>
                <w:sz w:val="20"/>
              </w:rPr>
              <w:t>programme</w:t>
            </w:r>
          </w:p>
        </w:tc>
        <w:tc>
          <w:tcPr>
            <w:tcW w:w="2185" w:type="dxa"/>
            <w:tcBorders>
              <w:top w:val="nil"/>
              <w:left w:val="nil"/>
              <w:bottom w:val="nil"/>
              <w:right w:val="nil"/>
            </w:tcBorders>
            <w:shd w:val="clear" w:color="auto" w:fill="FFFFFF"/>
          </w:tcPr>
          <w:p w14:paraId="7BF76E85">
            <w:pPr>
              <w:pStyle w:val="13"/>
              <w:spacing w:line="210" w:lineRule="exact"/>
              <w:ind w:left="142" w:right="160"/>
              <w:rPr>
                <w:b w:val="0"/>
                <w:color w:val="000000"/>
                <w:sz w:val="20"/>
              </w:rPr>
            </w:pPr>
            <w:r>
              <w:rPr>
                <w:b w:val="0"/>
                <w:color w:val="000000"/>
                <w:sz w:val="20"/>
              </w:rPr>
              <w:t>-0.42</w:t>
            </w:r>
          </w:p>
        </w:tc>
        <w:tc>
          <w:tcPr>
            <w:tcW w:w="1150" w:type="dxa"/>
            <w:tcBorders>
              <w:top w:val="nil"/>
              <w:left w:val="nil"/>
              <w:bottom w:val="nil"/>
              <w:right w:val="nil"/>
            </w:tcBorders>
            <w:shd w:val="clear" w:color="auto" w:fill="FFFFFF"/>
          </w:tcPr>
          <w:p w14:paraId="7411620C">
            <w:pPr>
              <w:pStyle w:val="13"/>
              <w:spacing w:line="210" w:lineRule="exact"/>
              <w:ind w:left="252"/>
              <w:jc w:val="left"/>
              <w:rPr>
                <w:b w:val="0"/>
                <w:color w:val="000000"/>
                <w:sz w:val="20"/>
              </w:rPr>
            </w:pPr>
            <w:r>
              <w:rPr>
                <w:b w:val="0"/>
                <w:color w:val="000000"/>
                <w:sz w:val="20"/>
              </w:rPr>
              <w:t>-1.51,</w:t>
            </w:r>
            <w:r>
              <w:rPr>
                <w:b w:val="0"/>
                <w:color w:val="000000"/>
                <w:spacing w:val="-1"/>
                <w:sz w:val="20"/>
              </w:rPr>
              <w:t xml:space="preserve"> </w:t>
            </w:r>
            <w:r>
              <w:rPr>
                <w:b w:val="0"/>
                <w:color w:val="000000"/>
                <w:sz w:val="20"/>
              </w:rPr>
              <w:t>0.77</w:t>
            </w:r>
          </w:p>
        </w:tc>
      </w:tr>
      <w:tr w14:paraId="264DBC2C">
        <w:tblPrEx>
          <w:tblCellMar>
            <w:top w:w="0" w:type="dxa"/>
            <w:left w:w="0" w:type="dxa"/>
            <w:bottom w:w="0" w:type="dxa"/>
            <w:right w:w="0" w:type="dxa"/>
          </w:tblCellMar>
        </w:tblPrEx>
        <w:trPr>
          <w:trHeight w:val="230" w:hRule="atLeast"/>
        </w:trPr>
        <w:tc>
          <w:tcPr>
            <w:tcW w:w="989" w:type="dxa"/>
            <w:tcBorders>
              <w:top w:val="nil"/>
              <w:left w:val="nil"/>
              <w:bottom w:val="single" w:color="000000" w:sz="12" w:space="0"/>
              <w:right w:val="nil"/>
            </w:tcBorders>
            <w:shd w:val="clear" w:color="auto" w:fill="FFFFFF"/>
          </w:tcPr>
          <w:p w14:paraId="6F304BCD">
            <w:pPr>
              <w:pStyle w:val="13"/>
              <w:spacing w:line="210" w:lineRule="exact"/>
              <w:ind w:left="104" w:right="104"/>
              <w:rPr>
                <w:b w:val="0"/>
                <w:color w:val="000000"/>
                <w:sz w:val="20"/>
              </w:rPr>
            </w:pPr>
            <w:r>
              <w:rPr>
                <w:b w:val="0"/>
                <w:color w:val="000000"/>
                <w:sz w:val="20"/>
              </w:rPr>
              <w:t>5º</w:t>
            </w:r>
          </w:p>
        </w:tc>
        <w:tc>
          <w:tcPr>
            <w:tcW w:w="3044" w:type="dxa"/>
            <w:tcBorders>
              <w:top w:val="nil"/>
              <w:left w:val="nil"/>
              <w:bottom w:val="single" w:color="000000" w:sz="12" w:space="0"/>
              <w:right w:val="nil"/>
            </w:tcBorders>
            <w:shd w:val="clear" w:color="auto" w:fill="FFFFFF"/>
          </w:tcPr>
          <w:p w14:paraId="721F4305">
            <w:pPr>
              <w:pStyle w:val="13"/>
              <w:spacing w:line="210" w:lineRule="exact"/>
              <w:ind w:left="121" w:right="137"/>
              <w:rPr>
                <w:b w:val="0"/>
                <w:color w:val="000000"/>
                <w:sz w:val="20"/>
              </w:rPr>
            </w:pPr>
            <w:r>
              <w:rPr>
                <w:b w:val="0"/>
                <w:color w:val="000000"/>
                <w:sz w:val="20"/>
              </w:rPr>
              <w:t>FIFA</w:t>
            </w:r>
            <w:r>
              <w:rPr>
                <w:b w:val="0"/>
                <w:color w:val="000000"/>
                <w:spacing w:val="-2"/>
                <w:sz w:val="20"/>
              </w:rPr>
              <w:t xml:space="preserve"> </w:t>
            </w:r>
            <w:r>
              <w:rPr>
                <w:b w:val="0"/>
                <w:color w:val="000000"/>
                <w:sz w:val="20"/>
              </w:rPr>
              <w:t>11</w:t>
            </w:r>
          </w:p>
        </w:tc>
        <w:tc>
          <w:tcPr>
            <w:tcW w:w="2185" w:type="dxa"/>
            <w:tcBorders>
              <w:top w:val="nil"/>
              <w:left w:val="nil"/>
              <w:bottom w:val="single" w:color="000000" w:sz="12" w:space="0"/>
              <w:right w:val="nil"/>
            </w:tcBorders>
            <w:shd w:val="clear" w:color="auto" w:fill="FFFFFF"/>
          </w:tcPr>
          <w:p w14:paraId="2E68FF8C">
            <w:pPr>
              <w:pStyle w:val="13"/>
              <w:spacing w:line="210" w:lineRule="exact"/>
              <w:ind w:left="142" w:right="160"/>
              <w:rPr>
                <w:b w:val="0"/>
                <w:color w:val="000000"/>
                <w:sz w:val="20"/>
              </w:rPr>
            </w:pPr>
            <w:r>
              <w:rPr>
                <w:b w:val="0"/>
                <w:color w:val="000000"/>
                <w:sz w:val="20"/>
              </w:rPr>
              <w:t>-0.24</w:t>
            </w:r>
          </w:p>
        </w:tc>
        <w:tc>
          <w:tcPr>
            <w:tcW w:w="1150" w:type="dxa"/>
            <w:tcBorders>
              <w:top w:val="nil"/>
              <w:left w:val="nil"/>
              <w:bottom w:val="single" w:color="000000" w:sz="12" w:space="0"/>
              <w:right w:val="nil"/>
            </w:tcBorders>
            <w:shd w:val="clear" w:color="auto" w:fill="FFFFFF"/>
          </w:tcPr>
          <w:p w14:paraId="23C0FF82">
            <w:pPr>
              <w:pStyle w:val="13"/>
              <w:spacing w:line="210" w:lineRule="exact"/>
              <w:ind w:left="252"/>
              <w:jc w:val="left"/>
              <w:rPr>
                <w:b w:val="0"/>
                <w:color w:val="000000"/>
                <w:sz w:val="20"/>
              </w:rPr>
            </w:pPr>
            <w:r>
              <w:rPr>
                <w:b w:val="0"/>
                <w:color w:val="000000"/>
                <w:sz w:val="20"/>
              </w:rPr>
              <w:t>-1.47,</w:t>
            </w:r>
            <w:r>
              <w:rPr>
                <w:b w:val="0"/>
                <w:color w:val="000000"/>
                <w:spacing w:val="-1"/>
                <w:sz w:val="20"/>
              </w:rPr>
              <w:t xml:space="preserve"> </w:t>
            </w:r>
            <w:r>
              <w:rPr>
                <w:b w:val="0"/>
                <w:color w:val="000000"/>
                <w:sz w:val="20"/>
              </w:rPr>
              <w:t>1.00</w:t>
            </w:r>
          </w:p>
        </w:tc>
      </w:tr>
    </w:tbl>
    <w:p w14:paraId="4BAFAA28">
      <w:pPr>
        <w:spacing w:before="0" w:beforeLines="100" w:beforeAutospacing="0" w:line="213" w:lineRule="exact"/>
        <w:rPr>
          <w:rFonts w:hint="eastAsia" w:eastAsia="宋体"/>
          <w:sz w:val="20"/>
          <w:lang w:eastAsia="zh-CN"/>
        </w:rPr>
        <w:sectPr>
          <w:pgSz w:w="11920" w:h="16850"/>
          <w:pgMar w:top="1200" w:right="560" w:bottom="280" w:left="700" w:header="720" w:footer="720" w:gutter="0"/>
          <w:cols w:space="720" w:num="1"/>
        </w:sectPr>
      </w:pPr>
    </w:p>
    <w:p w14:paraId="48BDA40F">
      <w:pPr>
        <w:tabs>
          <w:tab w:val="left" w:pos="3915"/>
        </w:tabs>
        <w:bidi w:val="0"/>
        <w:jc w:val="center"/>
        <w:rPr>
          <w:rFonts w:ascii="Times New Roman" w:hAnsi="Times New Roman" w:eastAsia="Times New Roman" w:cs="Times New Roman"/>
          <w:b w:val="0"/>
          <w:bCs w:val="0"/>
          <w:kern w:val="0"/>
          <w:sz w:val="24"/>
          <w:szCs w:val="22"/>
          <w:lang w:val="en-US" w:eastAsia="en-US" w:bidi="ar-SA"/>
        </w:rPr>
      </w:pPr>
      <w:r>
        <w:rPr>
          <w:rFonts w:hint="eastAsia" w:eastAsia="宋体" w:cs="Times New Roman"/>
          <w:b w:val="0"/>
          <w:bCs w:val="0"/>
          <w:sz w:val="24"/>
          <w:szCs w:val="22"/>
          <w:lang w:val="en-US" w:eastAsia="zh-CN" w:bidi="ar-SA"/>
        </w:rPr>
        <w:t xml:space="preserve"> </w:t>
      </w: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 xml:space="preserve">12. </w:t>
      </w:r>
      <w:r>
        <w:rPr>
          <w:rFonts w:ascii="Times New Roman" w:hAnsi="Times New Roman" w:eastAsia="Times New Roman" w:cs="Times New Roman"/>
          <w:b w:val="0"/>
          <w:bCs w:val="0"/>
          <w:kern w:val="0"/>
          <w:sz w:val="24"/>
          <w:szCs w:val="22"/>
          <w:lang w:val="en-US" w:eastAsia="en-US" w:bidi="ar-SA"/>
        </w:rPr>
        <w:t>Age-stratified subgroup network meta-analyses</w:t>
      </w:r>
    </w:p>
    <w:p w14:paraId="4B0CA3ED">
      <w:pPr>
        <w:tabs>
          <w:tab w:val="left" w:pos="3915"/>
        </w:tabs>
        <w:bidi w:val="0"/>
        <w:jc w:val="center"/>
        <w:rPr>
          <w:rFonts w:ascii="Times New Roman" w:hAnsi="Times New Roman" w:eastAsia="Times New Roman" w:cs="Times New Roman"/>
          <w:b w:val="0"/>
          <w:bCs w:val="0"/>
          <w:kern w:val="0"/>
          <w:sz w:val="24"/>
          <w:szCs w:val="22"/>
          <w:lang w:val="en-US" w:eastAsia="en-US" w:bidi="ar-SA"/>
        </w:rPr>
      </w:pPr>
    </w:p>
    <w:tbl>
      <w:tblPr>
        <w:tblStyle w:val="8"/>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6"/>
        <w:gridCol w:w="1288"/>
        <w:gridCol w:w="1244"/>
        <w:gridCol w:w="1017"/>
        <w:gridCol w:w="721"/>
        <w:gridCol w:w="1415"/>
        <w:gridCol w:w="2929"/>
      </w:tblGrid>
      <w:tr w14:paraId="64B5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4" w:space="0"/>
              <w:right w:val="nil"/>
              <w:tl2br w:val="nil"/>
            </w:tcBorders>
            <w:shd w:val="clear" w:color="auto" w:fill="FFFFFF"/>
            <w:vAlign w:val="center"/>
          </w:tcPr>
          <w:p w14:paraId="22DBE5B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Age subgroup</w:t>
            </w:r>
          </w:p>
        </w:tc>
        <w:tc>
          <w:tcPr>
            <w:tcW w:w="0" w:type="auto"/>
            <w:tcBorders>
              <w:top w:val="single" w:color="000000" w:sz="12" w:space="0"/>
              <w:left w:val="nil"/>
              <w:bottom w:val="single" w:color="000000" w:sz="4" w:space="0"/>
              <w:right w:val="nil"/>
            </w:tcBorders>
            <w:shd w:val="clear" w:color="auto" w:fill="FFFFFF"/>
            <w:vAlign w:val="center"/>
          </w:tcPr>
          <w:p w14:paraId="6E5F1B9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Intervention</w:t>
            </w:r>
          </w:p>
        </w:tc>
        <w:tc>
          <w:tcPr>
            <w:tcW w:w="0" w:type="auto"/>
            <w:tcBorders>
              <w:top w:val="single" w:color="000000" w:sz="12" w:space="0"/>
              <w:left w:val="nil"/>
              <w:bottom w:val="single" w:color="000000" w:sz="4" w:space="0"/>
              <w:right w:val="nil"/>
            </w:tcBorders>
            <w:shd w:val="clear" w:color="auto" w:fill="FFFFFF"/>
            <w:vAlign w:val="center"/>
          </w:tcPr>
          <w:p w14:paraId="5F9FADE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IRR vs usual training</w:t>
            </w:r>
          </w:p>
        </w:tc>
        <w:tc>
          <w:tcPr>
            <w:tcW w:w="0" w:type="auto"/>
            <w:tcBorders>
              <w:top w:val="single" w:color="000000" w:sz="12" w:space="0"/>
              <w:left w:val="nil"/>
              <w:bottom w:val="single" w:color="000000" w:sz="4" w:space="0"/>
              <w:right w:val="nil"/>
            </w:tcBorders>
            <w:shd w:val="clear" w:color="auto" w:fill="FFFFFF"/>
            <w:vAlign w:val="center"/>
          </w:tcPr>
          <w:p w14:paraId="3DCF4E4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95% CI</w:t>
            </w:r>
          </w:p>
        </w:tc>
        <w:tc>
          <w:tcPr>
            <w:tcW w:w="0" w:type="auto"/>
            <w:tcBorders>
              <w:top w:val="single" w:color="000000" w:sz="12" w:space="0"/>
              <w:left w:val="nil"/>
              <w:bottom w:val="single" w:color="000000" w:sz="4" w:space="0"/>
              <w:right w:val="nil"/>
            </w:tcBorders>
            <w:shd w:val="clear" w:color="auto" w:fill="FFFFFF"/>
            <w:vAlign w:val="center"/>
          </w:tcPr>
          <w:p w14:paraId="551738D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P value</w:t>
            </w:r>
          </w:p>
        </w:tc>
        <w:tc>
          <w:tcPr>
            <w:tcW w:w="0" w:type="auto"/>
            <w:tcBorders>
              <w:top w:val="single" w:color="000000" w:sz="12" w:space="0"/>
              <w:left w:val="nil"/>
              <w:bottom w:val="single" w:color="000000" w:sz="4" w:space="0"/>
              <w:right w:val="nil"/>
            </w:tcBorders>
            <w:shd w:val="clear" w:color="auto" w:fill="FFFFFF"/>
            <w:vAlign w:val="center"/>
          </w:tcPr>
          <w:p w14:paraId="3E8AAFD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Best-rank probability</w:t>
            </w:r>
          </w:p>
        </w:tc>
        <w:tc>
          <w:tcPr>
            <w:tcW w:w="2929" w:type="dxa"/>
            <w:tcBorders>
              <w:top w:val="single" w:color="000000" w:sz="12" w:space="0"/>
              <w:left w:val="nil"/>
              <w:bottom w:val="single" w:color="000000" w:sz="4" w:space="0"/>
              <w:right w:val="nil"/>
            </w:tcBorders>
            <w:shd w:val="clear" w:color="auto" w:fill="FFFFFF"/>
            <w:vAlign w:val="center"/>
          </w:tcPr>
          <w:p w14:paraId="399EC7F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Interpretation</w:t>
            </w:r>
          </w:p>
        </w:tc>
      </w:tr>
      <w:tr w14:paraId="1EC0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nil"/>
              <w:bottom w:val="nil"/>
              <w:right w:val="nil"/>
            </w:tcBorders>
            <w:shd w:val="clear" w:color="auto" w:fill="FFFFFF"/>
            <w:vAlign w:val="center"/>
          </w:tcPr>
          <w:p w14:paraId="2D09CFC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Youth/adolescent</w:t>
            </w:r>
          </w:p>
        </w:tc>
        <w:tc>
          <w:tcPr>
            <w:tcW w:w="0" w:type="auto"/>
            <w:tcBorders>
              <w:top w:val="single" w:color="000000" w:sz="4" w:space="0"/>
              <w:left w:val="nil"/>
              <w:bottom w:val="nil"/>
              <w:right w:val="nil"/>
            </w:tcBorders>
            <w:shd w:val="clear" w:color="auto" w:fill="FFFFFF"/>
            <w:vAlign w:val="center"/>
          </w:tcPr>
          <w:p w14:paraId="55E1422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single" w:color="000000" w:sz="4" w:space="0"/>
              <w:left w:val="nil"/>
              <w:bottom w:val="nil"/>
              <w:right w:val="nil"/>
            </w:tcBorders>
            <w:shd w:val="clear" w:color="auto" w:fill="FFFFFF"/>
            <w:vAlign w:val="center"/>
          </w:tcPr>
          <w:p w14:paraId="4040C79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0.38</w:t>
            </w:r>
          </w:p>
        </w:tc>
        <w:tc>
          <w:tcPr>
            <w:tcW w:w="0" w:type="auto"/>
            <w:tcBorders>
              <w:top w:val="single" w:color="000000" w:sz="4" w:space="0"/>
              <w:left w:val="nil"/>
              <w:bottom w:val="nil"/>
              <w:right w:val="nil"/>
            </w:tcBorders>
            <w:shd w:val="clear" w:color="auto" w:fill="FFFFFF"/>
            <w:vAlign w:val="center"/>
          </w:tcPr>
          <w:p w14:paraId="05E6166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0.20–0.76</w:t>
            </w:r>
          </w:p>
        </w:tc>
        <w:tc>
          <w:tcPr>
            <w:tcW w:w="0" w:type="auto"/>
            <w:tcBorders>
              <w:top w:val="single" w:color="000000" w:sz="4" w:space="0"/>
              <w:left w:val="nil"/>
              <w:bottom w:val="nil"/>
              <w:right w:val="nil"/>
            </w:tcBorders>
            <w:shd w:val="clear" w:color="auto" w:fill="FFFFFF"/>
            <w:vAlign w:val="center"/>
          </w:tcPr>
          <w:p w14:paraId="65B859B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0.006</w:t>
            </w:r>
          </w:p>
        </w:tc>
        <w:tc>
          <w:tcPr>
            <w:tcW w:w="0" w:type="auto"/>
            <w:tcBorders>
              <w:top w:val="single" w:color="000000" w:sz="4" w:space="0"/>
              <w:left w:val="nil"/>
              <w:bottom w:val="nil"/>
              <w:right w:val="nil"/>
            </w:tcBorders>
            <w:shd w:val="clear" w:color="auto" w:fill="FFFFFF"/>
            <w:vAlign w:val="center"/>
          </w:tcPr>
          <w:p w14:paraId="4F422E3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0.1%</w:t>
            </w:r>
          </w:p>
        </w:tc>
        <w:tc>
          <w:tcPr>
            <w:tcW w:w="2929" w:type="dxa"/>
            <w:tcBorders>
              <w:top w:val="single" w:color="000000" w:sz="4" w:space="0"/>
              <w:left w:val="nil"/>
              <w:bottom w:val="nil"/>
              <w:right w:val="nil"/>
            </w:tcBorders>
            <w:shd w:val="clear" w:color="auto" w:fill="FFFFFF"/>
            <w:vAlign w:val="center"/>
          </w:tcPr>
          <w:p w14:paraId="6568375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Statistically significant estimate; interpretation limited by sparse age-specific evidence</w:t>
            </w:r>
          </w:p>
        </w:tc>
      </w:tr>
      <w:tr w14:paraId="35AE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5A9F3F2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Youth/adolescent</w:t>
            </w:r>
          </w:p>
        </w:tc>
        <w:tc>
          <w:tcPr>
            <w:tcW w:w="0" w:type="auto"/>
            <w:tcBorders>
              <w:top w:val="nil"/>
              <w:left w:val="nil"/>
              <w:bottom w:val="nil"/>
              <w:right w:val="nil"/>
            </w:tcBorders>
            <w:shd w:val="clear" w:color="auto" w:fill="FFFFFF"/>
            <w:vAlign w:val="center"/>
          </w:tcPr>
          <w:p w14:paraId="4F27DDD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nil"/>
              <w:left w:val="nil"/>
              <w:bottom w:val="nil"/>
              <w:right w:val="nil"/>
            </w:tcBorders>
            <w:shd w:val="clear" w:color="auto" w:fill="FFFFFF"/>
            <w:vAlign w:val="center"/>
          </w:tcPr>
          <w:p w14:paraId="13B877F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0.34</w:t>
            </w:r>
          </w:p>
        </w:tc>
        <w:tc>
          <w:tcPr>
            <w:tcW w:w="0" w:type="auto"/>
            <w:tcBorders>
              <w:top w:val="nil"/>
              <w:left w:val="nil"/>
              <w:bottom w:val="nil"/>
              <w:right w:val="nil"/>
            </w:tcBorders>
            <w:shd w:val="clear" w:color="auto" w:fill="FFFFFF"/>
            <w:vAlign w:val="center"/>
          </w:tcPr>
          <w:p w14:paraId="073B6D8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0.06–2.00</w:t>
            </w:r>
          </w:p>
        </w:tc>
        <w:tc>
          <w:tcPr>
            <w:tcW w:w="0" w:type="auto"/>
            <w:tcBorders>
              <w:top w:val="nil"/>
              <w:left w:val="nil"/>
              <w:bottom w:val="nil"/>
              <w:right w:val="nil"/>
            </w:tcBorders>
            <w:shd w:val="clear" w:color="auto" w:fill="FFFFFF"/>
            <w:vAlign w:val="center"/>
          </w:tcPr>
          <w:p w14:paraId="1BED18A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0.230</w:t>
            </w:r>
          </w:p>
        </w:tc>
        <w:tc>
          <w:tcPr>
            <w:tcW w:w="0" w:type="auto"/>
            <w:tcBorders>
              <w:top w:val="nil"/>
              <w:left w:val="nil"/>
              <w:bottom w:val="nil"/>
              <w:right w:val="nil"/>
            </w:tcBorders>
            <w:shd w:val="clear" w:color="auto" w:fill="FFFFFF"/>
            <w:vAlign w:val="center"/>
          </w:tcPr>
          <w:p w14:paraId="6C10AA2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34.3%</w:t>
            </w:r>
          </w:p>
        </w:tc>
        <w:tc>
          <w:tcPr>
            <w:tcW w:w="2929" w:type="dxa"/>
            <w:tcBorders>
              <w:top w:val="nil"/>
              <w:left w:val="nil"/>
              <w:bottom w:val="nil"/>
              <w:right w:val="nil"/>
            </w:tcBorders>
            <w:shd w:val="clear" w:color="auto" w:fill="FFFFFF"/>
            <w:vAlign w:val="center"/>
          </w:tcPr>
          <w:p w14:paraId="357464D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Favourable but highly imprecise</w:t>
            </w:r>
          </w:p>
        </w:tc>
      </w:tr>
      <w:tr w14:paraId="6E50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724CF0B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Youth/adolescent</w:t>
            </w:r>
          </w:p>
        </w:tc>
        <w:tc>
          <w:tcPr>
            <w:tcW w:w="0" w:type="auto"/>
            <w:tcBorders>
              <w:top w:val="nil"/>
              <w:left w:val="nil"/>
              <w:bottom w:val="nil"/>
              <w:right w:val="nil"/>
            </w:tcBorders>
            <w:shd w:val="clear" w:color="auto" w:fill="FFFFFF"/>
            <w:vAlign w:val="center"/>
          </w:tcPr>
          <w:p w14:paraId="2C5437C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FIFA 11+ Kids</w:t>
            </w:r>
          </w:p>
        </w:tc>
        <w:tc>
          <w:tcPr>
            <w:tcW w:w="0" w:type="auto"/>
            <w:tcBorders>
              <w:top w:val="nil"/>
              <w:left w:val="nil"/>
              <w:bottom w:val="nil"/>
              <w:right w:val="nil"/>
            </w:tcBorders>
            <w:shd w:val="clear" w:color="auto" w:fill="FFFFFF"/>
            <w:vAlign w:val="center"/>
          </w:tcPr>
          <w:p w14:paraId="0A8AF1F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0.34</w:t>
            </w:r>
          </w:p>
        </w:tc>
        <w:tc>
          <w:tcPr>
            <w:tcW w:w="0" w:type="auto"/>
            <w:tcBorders>
              <w:top w:val="nil"/>
              <w:left w:val="nil"/>
              <w:bottom w:val="nil"/>
              <w:right w:val="nil"/>
            </w:tcBorders>
            <w:shd w:val="clear" w:color="auto" w:fill="FFFFFF"/>
            <w:vAlign w:val="center"/>
          </w:tcPr>
          <w:p w14:paraId="17C05CC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0.06–2.02</w:t>
            </w:r>
          </w:p>
        </w:tc>
        <w:tc>
          <w:tcPr>
            <w:tcW w:w="0" w:type="auto"/>
            <w:tcBorders>
              <w:top w:val="nil"/>
              <w:left w:val="nil"/>
              <w:bottom w:val="nil"/>
              <w:right w:val="nil"/>
            </w:tcBorders>
            <w:shd w:val="clear" w:color="auto" w:fill="FFFFFF"/>
            <w:vAlign w:val="center"/>
          </w:tcPr>
          <w:p w14:paraId="2657DDD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0.240</w:t>
            </w:r>
          </w:p>
        </w:tc>
        <w:tc>
          <w:tcPr>
            <w:tcW w:w="0" w:type="auto"/>
            <w:tcBorders>
              <w:top w:val="nil"/>
              <w:left w:val="nil"/>
              <w:bottom w:val="nil"/>
              <w:right w:val="nil"/>
            </w:tcBorders>
            <w:shd w:val="clear" w:color="auto" w:fill="FFFFFF"/>
            <w:vAlign w:val="center"/>
          </w:tcPr>
          <w:p w14:paraId="4B82BF5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51.5%</w:t>
            </w:r>
          </w:p>
        </w:tc>
        <w:tc>
          <w:tcPr>
            <w:tcW w:w="2929" w:type="dxa"/>
            <w:tcBorders>
              <w:top w:val="nil"/>
              <w:left w:val="nil"/>
              <w:bottom w:val="nil"/>
              <w:right w:val="nil"/>
            </w:tcBorders>
            <w:shd w:val="clear" w:color="auto" w:fill="FFFFFF"/>
            <w:vAlign w:val="center"/>
          </w:tcPr>
          <w:p w14:paraId="208DD94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Favourable but highly imprecise; single child trial</w:t>
            </w:r>
          </w:p>
        </w:tc>
      </w:tr>
      <w:tr w14:paraId="5BD0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542EA4D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Youth/adolescent</w:t>
            </w:r>
          </w:p>
        </w:tc>
        <w:tc>
          <w:tcPr>
            <w:tcW w:w="0" w:type="auto"/>
            <w:tcBorders>
              <w:top w:val="nil"/>
              <w:left w:val="nil"/>
              <w:bottom w:val="nil"/>
              <w:right w:val="nil"/>
            </w:tcBorders>
            <w:shd w:val="clear" w:color="auto" w:fill="FFFFFF"/>
            <w:vAlign w:val="center"/>
          </w:tcPr>
          <w:p w14:paraId="5FF16E4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NHE</w:t>
            </w:r>
          </w:p>
        </w:tc>
        <w:tc>
          <w:tcPr>
            <w:tcW w:w="0" w:type="auto"/>
            <w:tcBorders>
              <w:top w:val="nil"/>
              <w:left w:val="nil"/>
              <w:bottom w:val="nil"/>
              <w:right w:val="nil"/>
            </w:tcBorders>
            <w:shd w:val="clear" w:color="auto" w:fill="FFFFFF"/>
            <w:vAlign w:val="center"/>
          </w:tcPr>
          <w:p w14:paraId="0704CC0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0.69</w:t>
            </w:r>
          </w:p>
        </w:tc>
        <w:tc>
          <w:tcPr>
            <w:tcW w:w="0" w:type="auto"/>
            <w:tcBorders>
              <w:top w:val="nil"/>
              <w:left w:val="nil"/>
              <w:bottom w:val="nil"/>
              <w:right w:val="nil"/>
            </w:tcBorders>
            <w:shd w:val="clear" w:color="auto" w:fill="FFFFFF"/>
            <w:vAlign w:val="center"/>
          </w:tcPr>
          <w:p w14:paraId="70D9997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0.14–3.34</w:t>
            </w:r>
          </w:p>
        </w:tc>
        <w:tc>
          <w:tcPr>
            <w:tcW w:w="0" w:type="auto"/>
            <w:tcBorders>
              <w:top w:val="nil"/>
              <w:left w:val="nil"/>
              <w:bottom w:val="nil"/>
              <w:right w:val="nil"/>
            </w:tcBorders>
            <w:shd w:val="clear" w:color="auto" w:fill="FFFFFF"/>
            <w:vAlign w:val="center"/>
          </w:tcPr>
          <w:p w14:paraId="2B1EF2B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0.650</w:t>
            </w:r>
          </w:p>
        </w:tc>
        <w:tc>
          <w:tcPr>
            <w:tcW w:w="0" w:type="auto"/>
            <w:tcBorders>
              <w:top w:val="nil"/>
              <w:left w:val="nil"/>
              <w:bottom w:val="nil"/>
              <w:right w:val="nil"/>
            </w:tcBorders>
            <w:shd w:val="clear" w:color="auto" w:fill="FFFFFF"/>
            <w:vAlign w:val="center"/>
          </w:tcPr>
          <w:p w14:paraId="43FD632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14.1%</w:t>
            </w:r>
          </w:p>
        </w:tc>
        <w:tc>
          <w:tcPr>
            <w:tcW w:w="2929" w:type="dxa"/>
            <w:tcBorders>
              <w:top w:val="nil"/>
              <w:left w:val="nil"/>
              <w:bottom w:val="nil"/>
              <w:right w:val="nil"/>
            </w:tcBorders>
            <w:shd w:val="clear" w:color="auto" w:fill="FFFFFF"/>
            <w:vAlign w:val="center"/>
          </w:tcPr>
          <w:p w14:paraId="7180565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Favourable but imprecise</w:t>
            </w:r>
          </w:p>
        </w:tc>
      </w:tr>
      <w:tr w14:paraId="3C73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6609F2E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Adult/senior</w:t>
            </w:r>
          </w:p>
        </w:tc>
        <w:tc>
          <w:tcPr>
            <w:tcW w:w="0" w:type="auto"/>
            <w:tcBorders>
              <w:top w:val="nil"/>
              <w:left w:val="nil"/>
              <w:bottom w:val="nil"/>
              <w:right w:val="nil"/>
            </w:tcBorders>
            <w:shd w:val="clear" w:color="auto" w:fill="FFFFFF"/>
            <w:vAlign w:val="center"/>
          </w:tcPr>
          <w:p w14:paraId="23C400B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BEP</w:t>
            </w:r>
          </w:p>
        </w:tc>
        <w:tc>
          <w:tcPr>
            <w:tcW w:w="0" w:type="auto"/>
            <w:tcBorders>
              <w:top w:val="nil"/>
              <w:left w:val="nil"/>
              <w:bottom w:val="nil"/>
              <w:right w:val="nil"/>
            </w:tcBorders>
            <w:shd w:val="clear" w:color="auto" w:fill="FFFFFF"/>
            <w:vAlign w:val="center"/>
          </w:tcPr>
          <w:p w14:paraId="5CCF366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1.18</w:t>
            </w:r>
          </w:p>
        </w:tc>
        <w:tc>
          <w:tcPr>
            <w:tcW w:w="0" w:type="auto"/>
            <w:tcBorders>
              <w:top w:val="nil"/>
              <w:left w:val="nil"/>
              <w:bottom w:val="nil"/>
              <w:right w:val="nil"/>
            </w:tcBorders>
            <w:shd w:val="clear" w:color="auto" w:fill="FFFFFF"/>
            <w:vAlign w:val="center"/>
          </w:tcPr>
          <w:p w14:paraId="35375B1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0.28–4.93</w:t>
            </w:r>
          </w:p>
        </w:tc>
        <w:tc>
          <w:tcPr>
            <w:tcW w:w="0" w:type="auto"/>
            <w:tcBorders>
              <w:top w:val="nil"/>
              <w:left w:val="nil"/>
              <w:bottom w:val="nil"/>
              <w:right w:val="nil"/>
            </w:tcBorders>
            <w:shd w:val="clear" w:color="auto" w:fill="FFFFFF"/>
            <w:vAlign w:val="center"/>
          </w:tcPr>
          <w:p w14:paraId="6E939ED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0.820</w:t>
            </w:r>
          </w:p>
        </w:tc>
        <w:tc>
          <w:tcPr>
            <w:tcW w:w="0" w:type="auto"/>
            <w:tcBorders>
              <w:top w:val="nil"/>
              <w:left w:val="nil"/>
              <w:bottom w:val="nil"/>
              <w:right w:val="nil"/>
            </w:tcBorders>
            <w:shd w:val="clear" w:color="auto" w:fill="FFFFFF"/>
            <w:vAlign w:val="center"/>
          </w:tcPr>
          <w:p w14:paraId="6360075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11.2%</w:t>
            </w:r>
          </w:p>
        </w:tc>
        <w:tc>
          <w:tcPr>
            <w:tcW w:w="2929" w:type="dxa"/>
            <w:tcBorders>
              <w:top w:val="nil"/>
              <w:left w:val="nil"/>
              <w:bottom w:val="nil"/>
              <w:right w:val="nil"/>
            </w:tcBorders>
            <w:shd w:val="clear" w:color="auto" w:fill="FFFFFF"/>
            <w:vAlign w:val="center"/>
          </w:tcPr>
          <w:p w14:paraId="60AF93F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No clear benefit</w:t>
            </w:r>
          </w:p>
        </w:tc>
      </w:tr>
      <w:tr w14:paraId="749C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5542B4E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Adult/senior</w:t>
            </w:r>
          </w:p>
        </w:tc>
        <w:tc>
          <w:tcPr>
            <w:tcW w:w="0" w:type="auto"/>
            <w:tcBorders>
              <w:top w:val="nil"/>
              <w:left w:val="nil"/>
              <w:bottom w:val="nil"/>
              <w:right w:val="nil"/>
            </w:tcBorders>
            <w:shd w:val="clear" w:color="auto" w:fill="FFFFFF"/>
            <w:vAlign w:val="center"/>
          </w:tcPr>
          <w:p w14:paraId="76F9069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nil"/>
              <w:left w:val="nil"/>
              <w:bottom w:val="nil"/>
              <w:right w:val="nil"/>
            </w:tcBorders>
            <w:shd w:val="clear" w:color="auto" w:fill="FFFFFF"/>
            <w:vAlign w:val="center"/>
          </w:tcPr>
          <w:p w14:paraId="3682A92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0.99</w:t>
            </w:r>
          </w:p>
        </w:tc>
        <w:tc>
          <w:tcPr>
            <w:tcW w:w="0" w:type="auto"/>
            <w:tcBorders>
              <w:top w:val="nil"/>
              <w:left w:val="nil"/>
              <w:bottom w:val="nil"/>
              <w:right w:val="nil"/>
            </w:tcBorders>
            <w:shd w:val="clear" w:color="auto" w:fill="FFFFFF"/>
            <w:vAlign w:val="center"/>
          </w:tcPr>
          <w:p w14:paraId="526E47A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0.26–3.81</w:t>
            </w:r>
          </w:p>
        </w:tc>
        <w:tc>
          <w:tcPr>
            <w:tcW w:w="0" w:type="auto"/>
            <w:tcBorders>
              <w:top w:val="nil"/>
              <w:left w:val="nil"/>
              <w:bottom w:val="nil"/>
              <w:right w:val="nil"/>
            </w:tcBorders>
            <w:shd w:val="clear" w:color="auto" w:fill="FFFFFF"/>
            <w:vAlign w:val="center"/>
          </w:tcPr>
          <w:p w14:paraId="01EA736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0.990</w:t>
            </w:r>
          </w:p>
        </w:tc>
        <w:tc>
          <w:tcPr>
            <w:tcW w:w="0" w:type="auto"/>
            <w:tcBorders>
              <w:top w:val="nil"/>
              <w:left w:val="nil"/>
              <w:bottom w:val="nil"/>
              <w:right w:val="nil"/>
            </w:tcBorders>
            <w:shd w:val="clear" w:color="auto" w:fill="FFFFFF"/>
            <w:vAlign w:val="center"/>
          </w:tcPr>
          <w:p w14:paraId="6C1D198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17.1%</w:t>
            </w:r>
          </w:p>
        </w:tc>
        <w:tc>
          <w:tcPr>
            <w:tcW w:w="2929" w:type="dxa"/>
            <w:tcBorders>
              <w:top w:val="nil"/>
              <w:left w:val="nil"/>
              <w:bottom w:val="nil"/>
              <w:right w:val="nil"/>
            </w:tcBorders>
            <w:shd w:val="clear" w:color="auto" w:fill="FFFFFF"/>
            <w:vAlign w:val="center"/>
          </w:tcPr>
          <w:p w14:paraId="4349328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No clear benefit</w:t>
            </w:r>
          </w:p>
        </w:tc>
      </w:tr>
      <w:tr w14:paraId="7A49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0EFF13C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Adult/senior</w:t>
            </w:r>
          </w:p>
        </w:tc>
        <w:tc>
          <w:tcPr>
            <w:tcW w:w="0" w:type="auto"/>
            <w:tcBorders>
              <w:top w:val="nil"/>
              <w:left w:val="nil"/>
              <w:bottom w:val="nil"/>
              <w:right w:val="nil"/>
            </w:tcBorders>
            <w:shd w:val="clear" w:color="auto" w:fill="FFFFFF"/>
            <w:vAlign w:val="center"/>
          </w:tcPr>
          <w:p w14:paraId="00D8742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nil"/>
              <w:left w:val="nil"/>
              <w:bottom w:val="nil"/>
              <w:right w:val="nil"/>
            </w:tcBorders>
            <w:shd w:val="clear" w:color="auto" w:fill="FFFFFF"/>
            <w:vAlign w:val="center"/>
          </w:tcPr>
          <w:p w14:paraId="1FCC02E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0.60</w:t>
            </w:r>
          </w:p>
        </w:tc>
        <w:tc>
          <w:tcPr>
            <w:tcW w:w="0" w:type="auto"/>
            <w:tcBorders>
              <w:top w:val="nil"/>
              <w:left w:val="nil"/>
              <w:bottom w:val="nil"/>
              <w:right w:val="nil"/>
            </w:tcBorders>
            <w:shd w:val="clear" w:color="auto" w:fill="FFFFFF"/>
            <w:vAlign w:val="center"/>
          </w:tcPr>
          <w:p w14:paraId="08DFCB9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0.22–1.64</w:t>
            </w:r>
          </w:p>
        </w:tc>
        <w:tc>
          <w:tcPr>
            <w:tcW w:w="0" w:type="auto"/>
            <w:tcBorders>
              <w:top w:val="nil"/>
              <w:left w:val="nil"/>
              <w:bottom w:val="nil"/>
              <w:right w:val="nil"/>
            </w:tcBorders>
            <w:shd w:val="clear" w:color="auto" w:fill="FFFFFF"/>
            <w:vAlign w:val="center"/>
          </w:tcPr>
          <w:p w14:paraId="35C6621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0.320</w:t>
            </w:r>
          </w:p>
        </w:tc>
        <w:tc>
          <w:tcPr>
            <w:tcW w:w="0" w:type="auto"/>
            <w:tcBorders>
              <w:top w:val="nil"/>
              <w:left w:val="nil"/>
              <w:bottom w:val="nil"/>
              <w:right w:val="nil"/>
            </w:tcBorders>
            <w:shd w:val="clear" w:color="auto" w:fill="FFFFFF"/>
            <w:vAlign w:val="center"/>
          </w:tcPr>
          <w:p w14:paraId="4025FBC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41.8%</w:t>
            </w:r>
          </w:p>
        </w:tc>
        <w:tc>
          <w:tcPr>
            <w:tcW w:w="2929" w:type="dxa"/>
            <w:tcBorders>
              <w:top w:val="nil"/>
              <w:left w:val="nil"/>
              <w:bottom w:val="nil"/>
              <w:right w:val="nil"/>
            </w:tcBorders>
            <w:shd w:val="clear" w:color="auto" w:fill="FFFFFF"/>
            <w:vAlign w:val="center"/>
          </w:tcPr>
          <w:p w14:paraId="4EEB849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Highest best-rank probability but not statistically significant</w:t>
            </w:r>
          </w:p>
        </w:tc>
      </w:tr>
      <w:tr w14:paraId="43C9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16" w:type="dxa"/>
            <w:tcBorders>
              <w:top w:val="nil"/>
              <w:left w:val="nil"/>
              <w:bottom w:val="single" w:color="000000" w:sz="12" w:space="0"/>
              <w:right w:val="nil"/>
            </w:tcBorders>
            <w:shd w:val="clear" w:color="auto" w:fill="FFFFFF"/>
            <w:vAlign w:val="center"/>
          </w:tcPr>
          <w:p w14:paraId="383DF8C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Adult/senior</w:t>
            </w:r>
          </w:p>
        </w:tc>
        <w:tc>
          <w:tcPr>
            <w:tcW w:w="1288" w:type="dxa"/>
            <w:tcBorders>
              <w:top w:val="nil"/>
              <w:left w:val="nil"/>
              <w:bottom w:val="single" w:color="000000" w:sz="12" w:space="0"/>
              <w:right w:val="nil"/>
            </w:tcBorders>
            <w:shd w:val="clear" w:color="auto" w:fill="FFFFFF"/>
            <w:vAlign w:val="center"/>
          </w:tcPr>
          <w:p w14:paraId="1678B98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NHE</w:t>
            </w:r>
          </w:p>
        </w:tc>
        <w:tc>
          <w:tcPr>
            <w:tcW w:w="1244" w:type="dxa"/>
            <w:tcBorders>
              <w:top w:val="nil"/>
              <w:left w:val="nil"/>
              <w:bottom w:val="single" w:color="000000" w:sz="12" w:space="0"/>
              <w:right w:val="nil"/>
            </w:tcBorders>
            <w:shd w:val="clear" w:color="auto" w:fill="FFFFFF"/>
            <w:vAlign w:val="center"/>
          </w:tcPr>
          <w:p w14:paraId="609B037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0.76</w:t>
            </w:r>
          </w:p>
        </w:tc>
        <w:tc>
          <w:tcPr>
            <w:tcW w:w="1017" w:type="dxa"/>
            <w:tcBorders>
              <w:top w:val="nil"/>
              <w:left w:val="nil"/>
              <w:bottom w:val="single" w:color="000000" w:sz="12" w:space="0"/>
              <w:right w:val="nil"/>
            </w:tcBorders>
            <w:shd w:val="clear" w:color="auto" w:fill="FFFFFF"/>
            <w:vAlign w:val="center"/>
          </w:tcPr>
          <w:p w14:paraId="260A824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0.25–2.18</w:t>
            </w:r>
          </w:p>
        </w:tc>
        <w:tc>
          <w:tcPr>
            <w:tcW w:w="721" w:type="dxa"/>
            <w:tcBorders>
              <w:top w:val="nil"/>
              <w:left w:val="nil"/>
              <w:bottom w:val="single" w:color="000000" w:sz="12" w:space="0"/>
              <w:right w:val="nil"/>
            </w:tcBorders>
            <w:shd w:val="clear" w:color="auto" w:fill="FFFFFF"/>
            <w:vAlign w:val="center"/>
          </w:tcPr>
          <w:p w14:paraId="0BA8BD7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0.610</w:t>
            </w:r>
          </w:p>
        </w:tc>
        <w:tc>
          <w:tcPr>
            <w:tcW w:w="1415" w:type="dxa"/>
            <w:tcBorders>
              <w:top w:val="nil"/>
              <w:left w:val="nil"/>
              <w:bottom w:val="single" w:color="000000" w:sz="12" w:space="0"/>
              <w:right w:val="nil"/>
            </w:tcBorders>
            <w:shd w:val="clear" w:color="auto" w:fill="FFFFFF"/>
            <w:vAlign w:val="center"/>
          </w:tcPr>
          <w:p w14:paraId="10A0041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28.4%</w:t>
            </w:r>
          </w:p>
        </w:tc>
        <w:tc>
          <w:tcPr>
            <w:tcW w:w="2929" w:type="dxa"/>
            <w:tcBorders>
              <w:top w:val="nil"/>
              <w:left w:val="nil"/>
              <w:bottom w:val="single" w:color="000000" w:sz="12" w:space="0"/>
              <w:right w:val="nil"/>
            </w:tcBorders>
            <w:shd w:val="clear" w:color="auto" w:fill="FFFFFF"/>
            <w:vAlign w:val="center"/>
          </w:tcPr>
          <w:p w14:paraId="1A59637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color w:val="000000"/>
                <w:kern w:val="0"/>
                <w:sz w:val="20"/>
                <w:szCs w:val="20"/>
                <w:lang w:val="en-US" w:eastAsia="en-US" w:bidi="ar"/>
              </w:rPr>
            </w:pPr>
            <w:r>
              <w:rPr>
                <w:rFonts w:hint="default" w:ascii="Times New Roman" w:hAnsi="Times New Roman" w:eastAsia="宋体" w:cs="Times New Roman"/>
                <w:b w:val="0"/>
                <w:color w:val="000000"/>
                <w:kern w:val="0"/>
                <w:sz w:val="20"/>
                <w:szCs w:val="20"/>
                <w:lang w:val="en-US" w:eastAsia="zh-CN" w:bidi="ar"/>
              </w:rPr>
              <w:t>Favourable but imprecise</w:t>
            </w:r>
          </w:p>
        </w:tc>
      </w:tr>
    </w:tbl>
    <w:p w14:paraId="2392908E">
      <w:pPr>
        <w:tabs>
          <w:tab w:val="left" w:pos="3915"/>
        </w:tabs>
        <w:bidi w:val="0"/>
        <w:jc w:val="both"/>
        <w:rPr>
          <w:rFonts w:hint="eastAsia" w:eastAsia="宋体" w:cs="Times New Roman"/>
          <w:sz w:val="20"/>
          <w:szCs w:val="20"/>
          <w:lang w:val="en-US" w:eastAsia="zh-CN"/>
        </w:rPr>
        <w:sectPr>
          <w:pgSz w:w="11920" w:h="16850"/>
          <w:pgMar w:top="1200" w:right="560" w:bottom="280" w:left="700" w:header="720" w:footer="720" w:gutter="0"/>
          <w:cols w:space="720" w:num="1"/>
        </w:sectPr>
      </w:pPr>
      <w:r>
        <w:rPr>
          <w:rFonts w:hint="default" w:ascii="Times New Roman" w:hAnsi="Times New Roman" w:eastAsia="宋体" w:cs="Times New Roman"/>
          <w:b/>
          <w:bCs/>
          <w:sz w:val="20"/>
          <w:szCs w:val="20"/>
        </w:rPr>
        <w:t>Note:</w:t>
      </w:r>
      <w:r>
        <w:rPr>
          <w:rFonts w:hint="default" w:ascii="Times New Roman" w:hAnsi="Times New Roman" w:eastAsia="宋体" w:cs="Times New Roman"/>
          <w:sz w:val="20"/>
          <w:szCs w:val="20"/>
        </w:rPr>
        <w:t xml:space="preserve"> Age subgroups were defined using reported mean age or explicit population description. Studies enrolling children, adolescents, youth players, or participants with a mean age &lt;18 years were classified as youth/adolescent studies. Studies enrolling adult or senior competitive players, or participants with a mean age ≥18 years, were classified as adult/senior studies. Engebretsen et al. did not report age but was classified as adult/senior because it enrolled players from the top national divisions. Hammes et al. was included in the adult/senior subgroup but was also examined separately in the population-validity sensitivity analysis because it enrolled veteran players with a mean age in the mid-40s. Both subgroup networks were connected and contained no closed loops; therefore, formal inconsistency testing was not applicable. Youth/adolescent heterogeneity was negligible (τ² ≈ 0.000; I² ≈ 0%; H² ≈ 1.00; Q = 0.129, p &gt; 0.99), whereas adult/senior heterogeneity was substantial (τ² = 0.464; I² = 84.7%; H² = 6.52; Q = 13.03, p = 0.001).</w:t>
      </w:r>
    </w:p>
    <w:p w14:paraId="3266AA7F">
      <w:pPr>
        <w:pStyle w:val="2"/>
        <w:keepNext w:val="0"/>
        <w:keepLines w:val="0"/>
        <w:pageBreakBefore w:val="0"/>
        <w:kinsoku/>
        <w:wordWrap/>
        <w:overflowPunct/>
        <w:topLinePunct w:val="0"/>
        <w:autoSpaceDE w:val="0"/>
        <w:autoSpaceDN w:val="0"/>
        <w:bidi w:val="0"/>
        <w:adjustRightInd/>
        <w:spacing w:afterAutospacing="0"/>
        <w:ind w:left="0" w:leftChars="0" w:firstLine="0" w:firstLineChars="0"/>
        <w:jc w:val="center"/>
        <w:textAlignment w:val="auto"/>
        <w:rPr>
          <w:rFonts w:ascii="Times New Roman" w:hAnsi="Times New Roman" w:eastAsia="Times New Roman" w:cs="Times New Roman"/>
          <w:b w:val="0"/>
          <w:bCs w:val="0"/>
          <w:sz w:val="24"/>
          <w:szCs w:val="22"/>
          <w:lang w:val="en-US" w:eastAsia="en-US"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 xml:space="preserve">13. </w:t>
      </w:r>
      <w:r>
        <w:rPr>
          <w:rFonts w:ascii="Times New Roman" w:hAnsi="Times New Roman" w:eastAsia="Times New Roman" w:cs="Times New Roman"/>
          <w:b w:val="0"/>
          <w:bCs w:val="0"/>
          <w:sz w:val="24"/>
          <w:szCs w:val="22"/>
          <w:lang w:val="en-US" w:eastAsia="en-US" w:bidi="ar-SA"/>
        </w:rPr>
        <w:t>Sensitivity analysis restricted to time-loss/Fuller-compatible injury definitions</w:t>
      </w:r>
    </w:p>
    <w:p w14:paraId="75FFB4D6">
      <w:pPr>
        <w:pStyle w:val="2"/>
        <w:keepNext w:val="0"/>
        <w:keepLines w:val="0"/>
        <w:pageBreakBefore w:val="0"/>
        <w:kinsoku/>
        <w:wordWrap/>
        <w:overflowPunct/>
        <w:topLinePunct w:val="0"/>
        <w:autoSpaceDE w:val="0"/>
        <w:autoSpaceDN w:val="0"/>
        <w:bidi w:val="0"/>
        <w:adjustRightInd/>
        <w:spacing w:before="0" w:beforeAutospacing="0" w:afterAutospacing="0"/>
        <w:ind w:left="0" w:leftChars="0" w:firstLine="0" w:firstLineChars="0"/>
        <w:jc w:val="center"/>
        <w:textAlignment w:val="auto"/>
        <w:rPr>
          <w:rFonts w:ascii="Times New Roman" w:hAnsi="Times New Roman" w:eastAsia="Times New Roman" w:cs="Times New Roman"/>
          <w:b w:val="0"/>
          <w:bCs w:val="0"/>
          <w:sz w:val="24"/>
          <w:szCs w:val="22"/>
          <w:lang w:val="en-US" w:eastAsia="en-US" w:bidi="ar-SA"/>
        </w:rPr>
      </w:pPr>
    </w:p>
    <w:tbl>
      <w:tblPr>
        <w:tblStyle w:val="8"/>
        <w:tblpPr w:leftFromText="180" w:rightFromText="180" w:vertAnchor="text" w:horzAnchor="page" w:tblpX="1319" w:tblpY="278"/>
        <w:tblOverlap w:val="never"/>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1422"/>
        <w:gridCol w:w="1543"/>
        <w:gridCol w:w="1416"/>
        <w:gridCol w:w="895"/>
        <w:gridCol w:w="2616"/>
      </w:tblGrid>
      <w:tr w14:paraId="747C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0" w:type="auto"/>
            <w:tcBorders>
              <w:top w:val="single" w:color="000000" w:sz="12" w:space="0"/>
              <w:left w:val="nil"/>
              <w:bottom w:val="single" w:color="000000" w:sz="4" w:space="0"/>
              <w:right w:val="nil"/>
              <w:tl2br w:val="nil"/>
            </w:tcBorders>
            <w:shd w:val="clear" w:color="auto" w:fill="FFFFFF"/>
            <w:vAlign w:val="center"/>
          </w:tcPr>
          <w:p w14:paraId="455B8F55">
            <w:pPr>
              <w:keepNext w:val="0"/>
              <w:keepLines w:val="0"/>
              <w:pageBreakBefore w:val="0"/>
              <w:widowControl/>
              <w:suppressLineNumbers w:val="0"/>
              <w:kinsoku/>
              <w:wordWrap/>
              <w:overflowPunct/>
              <w:topLinePunct w:val="0"/>
              <w:autoSpaceDE w:val="0"/>
              <w:autoSpaceDN w:val="0"/>
              <w:bidi w:val="0"/>
              <w:adjustRightInd/>
              <w:snapToGrid w:val="0"/>
              <w:spacing w:beforeAutospacing="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Intervention</w:t>
            </w:r>
          </w:p>
        </w:tc>
        <w:tc>
          <w:tcPr>
            <w:tcW w:w="0" w:type="auto"/>
            <w:tcBorders>
              <w:top w:val="single" w:color="000000" w:sz="12" w:space="0"/>
              <w:left w:val="nil"/>
              <w:bottom w:val="single" w:color="000000" w:sz="4" w:space="0"/>
              <w:right w:val="nil"/>
            </w:tcBorders>
            <w:shd w:val="clear" w:color="auto" w:fill="FFFFFF"/>
            <w:vAlign w:val="center"/>
          </w:tcPr>
          <w:p w14:paraId="0B6978A5">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No. of studies</w:t>
            </w:r>
          </w:p>
        </w:tc>
        <w:tc>
          <w:tcPr>
            <w:tcW w:w="0" w:type="auto"/>
            <w:tcBorders>
              <w:top w:val="single" w:color="000000" w:sz="12" w:space="0"/>
              <w:left w:val="nil"/>
              <w:bottom w:val="single" w:color="000000" w:sz="4" w:space="0"/>
              <w:right w:val="nil"/>
            </w:tcBorders>
            <w:shd w:val="clear" w:color="auto" w:fill="FFFFFF"/>
            <w:vAlign w:val="center"/>
          </w:tcPr>
          <w:p w14:paraId="6803979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IRR vs usual training</w:t>
            </w:r>
          </w:p>
        </w:tc>
        <w:tc>
          <w:tcPr>
            <w:tcW w:w="1416" w:type="dxa"/>
            <w:tcBorders>
              <w:top w:val="single" w:color="000000" w:sz="12" w:space="0"/>
              <w:left w:val="nil"/>
              <w:bottom w:val="single" w:color="000000" w:sz="4" w:space="0"/>
              <w:right w:val="nil"/>
            </w:tcBorders>
            <w:shd w:val="clear" w:color="auto" w:fill="FFFFFF"/>
            <w:vAlign w:val="center"/>
          </w:tcPr>
          <w:p w14:paraId="1193060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95% CI</w:t>
            </w:r>
          </w:p>
        </w:tc>
        <w:tc>
          <w:tcPr>
            <w:tcW w:w="895" w:type="dxa"/>
            <w:tcBorders>
              <w:top w:val="single" w:color="000000" w:sz="12" w:space="0"/>
              <w:left w:val="nil"/>
              <w:bottom w:val="single" w:color="000000" w:sz="4" w:space="0"/>
              <w:right w:val="nil"/>
            </w:tcBorders>
            <w:shd w:val="clear" w:color="auto" w:fill="FFFFFF"/>
            <w:vAlign w:val="center"/>
          </w:tcPr>
          <w:p w14:paraId="166A0477">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P-score</w:t>
            </w:r>
          </w:p>
        </w:tc>
        <w:tc>
          <w:tcPr>
            <w:tcW w:w="2616" w:type="dxa"/>
            <w:tcBorders>
              <w:top w:val="single" w:color="000000" w:sz="12" w:space="0"/>
              <w:left w:val="nil"/>
              <w:bottom w:val="single" w:color="000000" w:sz="4" w:space="0"/>
              <w:right w:val="nil"/>
            </w:tcBorders>
            <w:shd w:val="clear" w:color="auto" w:fill="FFFFFF"/>
            <w:vAlign w:val="center"/>
          </w:tcPr>
          <w:p w14:paraId="5EED5C1D">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bCs/>
                <w:color w:val="000000"/>
                <w:kern w:val="0"/>
                <w:sz w:val="20"/>
                <w:szCs w:val="20"/>
                <w:lang w:val="en-US" w:eastAsia="zh-CN" w:bidi="ar"/>
              </w:rPr>
              <w:t>Interpretation</w:t>
            </w:r>
          </w:p>
        </w:tc>
      </w:tr>
      <w:tr w14:paraId="792C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op w:val="single" w:color="000000" w:sz="4" w:space="0"/>
              <w:left w:val="nil"/>
              <w:bottom w:val="nil"/>
              <w:right w:val="nil"/>
            </w:tcBorders>
            <w:shd w:val="clear" w:color="auto" w:fill="FFFFFF"/>
            <w:vAlign w:val="center"/>
          </w:tcPr>
          <w:p w14:paraId="277C0441">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 Kids</w:t>
            </w:r>
          </w:p>
        </w:tc>
        <w:tc>
          <w:tcPr>
            <w:tcW w:w="0" w:type="auto"/>
            <w:tcBorders>
              <w:top w:val="single" w:color="000000" w:sz="4" w:space="0"/>
              <w:left w:val="nil"/>
              <w:bottom w:val="nil"/>
              <w:right w:val="nil"/>
            </w:tcBorders>
            <w:shd w:val="clear" w:color="auto" w:fill="FFFFFF"/>
            <w:vAlign w:val="center"/>
          </w:tcPr>
          <w:p w14:paraId="03561D0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w:t>
            </w:r>
          </w:p>
        </w:tc>
        <w:tc>
          <w:tcPr>
            <w:tcW w:w="0" w:type="auto"/>
            <w:tcBorders>
              <w:top w:val="single" w:color="000000" w:sz="4" w:space="0"/>
              <w:left w:val="nil"/>
              <w:bottom w:val="nil"/>
              <w:right w:val="nil"/>
            </w:tcBorders>
            <w:shd w:val="clear" w:color="auto" w:fill="FFFFFF"/>
            <w:vAlign w:val="center"/>
          </w:tcPr>
          <w:p w14:paraId="04640B6C">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0.43</w:t>
            </w:r>
          </w:p>
        </w:tc>
        <w:tc>
          <w:tcPr>
            <w:tcW w:w="1416" w:type="dxa"/>
            <w:tcBorders>
              <w:top w:val="single" w:color="000000" w:sz="4" w:space="0"/>
              <w:left w:val="nil"/>
              <w:bottom w:val="nil"/>
              <w:right w:val="nil"/>
            </w:tcBorders>
            <w:shd w:val="clear" w:color="auto" w:fill="FFFFFF"/>
            <w:vAlign w:val="center"/>
          </w:tcPr>
          <w:p w14:paraId="79CB72E3">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0.08–2.32</w:t>
            </w:r>
          </w:p>
        </w:tc>
        <w:tc>
          <w:tcPr>
            <w:tcW w:w="895" w:type="dxa"/>
            <w:tcBorders>
              <w:top w:val="single" w:color="000000" w:sz="4" w:space="0"/>
              <w:left w:val="nil"/>
              <w:bottom w:val="nil"/>
              <w:right w:val="nil"/>
            </w:tcBorders>
            <w:shd w:val="clear" w:color="auto" w:fill="FFFFFF"/>
            <w:vAlign w:val="center"/>
          </w:tcPr>
          <w:p w14:paraId="0DD3667C">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0.83</w:t>
            </w:r>
          </w:p>
        </w:tc>
        <w:tc>
          <w:tcPr>
            <w:tcW w:w="2616" w:type="dxa"/>
            <w:tcBorders>
              <w:top w:val="single" w:color="000000" w:sz="4" w:space="0"/>
              <w:left w:val="nil"/>
              <w:bottom w:val="nil"/>
              <w:right w:val="nil"/>
            </w:tcBorders>
            <w:shd w:val="clear" w:color="auto" w:fill="FFFFFF"/>
            <w:vAlign w:val="center"/>
          </w:tcPr>
          <w:p w14:paraId="76CF9721">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Favourable but highly imprecise</w:t>
            </w:r>
          </w:p>
        </w:tc>
      </w:tr>
      <w:tr w14:paraId="4A88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op w:val="nil"/>
              <w:left w:val="nil"/>
              <w:bottom w:val="nil"/>
              <w:right w:val="nil"/>
            </w:tcBorders>
            <w:shd w:val="clear" w:color="auto" w:fill="FFFFFF"/>
            <w:vAlign w:val="center"/>
          </w:tcPr>
          <w:p w14:paraId="2D6A0ED6">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nil"/>
              <w:left w:val="nil"/>
              <w:bottom w:val="nil"/>
              <w:right w:val="nil"/>
            </w:tcBorders>
            <w:shd w:val="clear" w:color="auto" w:fill="FFFFFF"/>
            <w:vAlign w:val="center"/>
          </w:tcPr>
          <w:p w14:paraId="686A96EC">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3</w:t>
            </w:r>
          </w:p>
        </w:tc>
        <w:tc>
          <w:tcPr>
            <w:tcW w:w="0" w:type="auto"/>
            <w:tcBorders>
              <w:top w:val="nil"/>
              <w:left w:val="nil"/>
              <w:bottom w:val="nil"/>
              <w:right w:val="nil"/>
            </w:tcBorders>
            <w:shd w:val="clear" w:color="auto" w:fill="FFFFFF"/>
            <w:vAlign w:val="center"/>
          </w:tcPr>
          <w:p w14:paraId="13F81BA5">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0.65</w:t>
            </w:r>
          </w:p>
        </w:tc>
        <w:tc>
          <w:tcPr>
            <w:tcW w:w="1416" w:type="dxa"/>
            <w:tcBorders>
              <w:top w:val="nil"/>
              <w:left w:val="nil"/>
              <w:bottom w:val="nil"/>
              <w:right w:val="nil"/>
            </w:tcBorders>
            <w:shd w:val="clear" w:color="auto" w:fill="FFFFFF"/>
            <w:vAlign w:val="center"/>
          </w:tcPr>
          <w:p w14:paraId="24A1AF21">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0.37–1.12</w:t>
            </w:r>
          </w:p>
        </w:tc>
        <w:tc>
          <w:tcPr>
            <w:tcW w:w="895" w:type="dxa"/>
            <w:tcBorders>
              <w:top w:val="nil"/>
              <w:left w:val="nil"/>
              <w:bottom w:val="nil"/>
              <w:right w:val="nil"/>
            </w:tcBorders>
            <w:shd w:val="clear" w:color="auto" w:fill="FFFFFF"/>
            <w:vAlign w:val="center"/>
          </w:tcPr>
          <w:p w14:paraId="263ED8D2">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0.82</w:t>
            </w:r>
          </w:p>
        </w:tc>
        <w:tc>
          <w:tcPr>
            <w:tcW w:w="2616" w:type="dxa"/>
            <w:tcBorders>
              <w:top w:val="nil"/>
              <w:left w:val="nil"/>
              <w:bottom w:val="nil"/>
              <w:right w:val="nil"/>
            </w:tcBorders>
            <w:shd w:val="clear" w:color="auto" w:fill="FFFFFF"/>
            <w:vAlign w:val="center"/>
          </w:tcPr>
          <w:p w14:paraId="74BE5A37">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Directionally favourable, no longer statistically significant</w:t>
            </w:r>
          </w:p>
        </w:tc>
      </w:tr>
      <w:tr w14:paraId="03A8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op w:val="nil"/>
              <w:left w:val="nil"/>
              <w:bottom w:val="nil"/>
              <w:right w:val="nil"/>
            </w:tcBorders>
            <w:shd w:val="clear" w:color="auto" w:fill="FFFFFF"/>
            <w:vAlign w:val="center"/>
          </w:tcPr>
          <w:p w14:paraId="587C47F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BEP</w:t>
            </w:r>
          </w:p>
        </w:tc>
        <w:tc>
          <w:tcPr>
            <w:tcW w:w="0" w:type="auto"/>
            <w:tcBorders>
              <w:top w:val="nil"/>
              <w:left w:val="nil"/>
              <w:bottom w:val="nil"/>
              <w:right w:val="nil"/>
            </w:tcBorders>
            <w:shd w:val="clear" w:color="auto" w:fill="FFFFFF"/>
            <w:vAlign w:val="center"/>
          </w:tcPr>
          <w:p w14:paraId="7413A408">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w:t>
            </w:r>
          </w:p>
        </w:tc>
        <w:tc>
          <w:tcPr>
            <w:tcW w:w="0" w:type="auto"/>
            <w:tcBorders>
              <w:top w:val="nil"/>
              <w:left w:val="nil"/>
              <w:bottom w:val="nil"/>
              <w:right w:val="nil"/>
            </w:tcBorders>
            <w:shd w:val="clear" w:color="auto" w:fill="FFFFFF"/>
            <w:vAlign w:val="center"/>
          </w:tcPr>
          <w:p w14:paraId="54DDA19F">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1.18</w:t>
            </w:r>
          </w:p>
        </w:tc>
        <w:tc>
          <w:tcPr>
            <w:tcW w:w="1416" w:type="dxa"/>
            <w:tcBorders>
              <w:top w:val="nil"/>
              <w:left w:val="nil"/>
              <w:bottom w:val="nil"/>
              <w:right w:val="nil"/>
            </w:tcBorders>
            <w:shd w:val="clear" w:color="auto" w:fill="FFFFFF"/>
            <w:vAlign w:val="center"/>
          </w:tcPr>
          <w:p w14:paraId="37937E6C">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0.70–1.99</w:t>
            </w:r>
          </w:p>
        </w:tc>
        <w:tc>
          <w:tcPr>
            <w:tcW w:w="895" w:type="dxa"/>
            <w:tcBorders>
              <w:top w:val="nil"/>
              <w:left w:val="nil"/>
              <w:bottom w:val="nil"/>
              <w:right w:val="nil"/>
            </w:tcBorders>
            <w:shd w:val="clear" w:color="auto" w:fill="FFFFFF"/>
            <w:vAlign w:val="center"/>
          </w:tcPr>
          <w:p w14:paraId="59189CD5">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0.32</w:t>
            </w:r>
          </w:p>
        </w:tc>
        <w:tc>
          <w:tcPr>
            <w:tcW w:w="2616" w:type="dxa"/>
            <w:tcBorders>
              <w:top w:val="nil"/>
              <w:left w:val="nil"/>
              <w:bottom w:val="nil"/>
              <w:right w:val="nil"/>
            </w:tcBorders>
            <w:shd w:val="clear" w:color="auto" w:fill="FFFFFF"/>
            <w:vAlign w:val="center"/>
          </w:tcPr>
          <w:p w14:paraId="71EDBA12">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No clear benefit</w:t>
            </w:r>
          </w:p>
        </w:tc>
      </w:tr>
      <w:tr w14:paraId="6823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op w:val="nil"/>
              <w:left w:val="nil"/>
              <w:bottom w:val="nil"/>
              <w:right w:val="nil"/>
            </w:tcBorders>
            <w:shd w:val="clear" w:color="auto" w:fill="FFFFFF"/>
            <w:vAlign w:val="center"/>
          </w:tcPr>
          <w:p w14:paraId="680D71BE">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FIFA 11</w:t>
            </w:r>
          </w:p>
        </w:tc>
        <w:tc>
          <w:tcPr>
            <w:tcW w:w="0" w:type="auto"/>
            <w:tcBorders>
              <w:top w:val="nil"/>
              <w:left w:val="nil"/>
              <w:bottom w:val="nil"/>
              <w:right w:val="nil"/>
            </w:tcBorders>
            <w:shd w:val="clear" w:color="auto" w:fill="FFFFFF"/>
            <w:vAlign w:val="center"/>
          </w:tcPr>
          <w:p w14:paraId="2A75A984">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w:t>
            </w:r>
          </w:p>
        </w:tc>
        <w:tc>
          <w:tcPr>
            <w:tcW w:w="0" w:type="auto"/>
            <w:tcBorders>
              <w:top w:val="nil"/>
              <w:left w:val="nil"/>
              <w:bottom w:val="nil"/>
              <w:right w:val="nil"/>
            </w:tcBorders>
            <w:shd w:val="clear" w:color="auto" w:fill="FFFFFF"/>
            <w:vAlign w:val="center"/>
          </w:tcPr>
          <w:p w14:paraId="6D29CF3F">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1.24</w:t>
            </w:r>
          </w:p>
        </w:tc>
        <w:tc>
          <w:tcPr>
            <w:tcW w:w="1416" w:type="dxa"/>
            <w:tcBorders>
              <w:top w:val="nil"/>
              <w:left w:val="nil"/>
              <w:bottom w:val="nil"/>
              <w:right w:val="nil"/>
            </w:tcBorders>
            <w:shd w:val="clear" w:color="auto" w:fill="FFFFFF"/>
            <w:vAlign w:val="center"/>
          </w:tcPr>
          <w:p w14:paraId="2A8BD531">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0.75–2.03</w:t>
            </w:r>
          </w:p>
        </w:tc>
        <w:tc>
          <w:tcPr>
            <w:tcW w:w="895" w:type="dxa"/>
            <w:tcBorders>
              <w:top w:val="nil"/>
              <w:left w:val="nil"/>
              <w:bottom w:val="nil"/>
              <w:right w:val="nil"/>
            </w:tcBorders>
            <w:shd w:val="clear" w:color="auto" w:fill="FFFFFF"/>
            <w:vAlign w:val="center"/>
          </w:tcPr>
          <w:p w14:paraId="788B187C">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0.28</w:t>
            </w:r>
          </w:p>
        </w:tc>
        <w:tc>
          <w:tcPr>
            <w:tcW w:w="2616" w:type="dxa"/>
            <w:tcBorders>
              <w:top w:val="nil"/>
              <w:left w:val="nil"/>
              <w:bottom w:val="nil"/>
              <w:right w:val="nil"/>
            </w:tcBorders>
            <w:shd w:val="clear" w:color="auto" w:fill="FFFFFF"/>
            <w:vAlign w:val="center"/>
          </w:tcPr>
          <w:p w14:paraId="706B7423">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No clear benefit</w:t>
            </w:r>
          </w:p>
        </w:tc>
      </w:tr>
      <w:tr w14:paraId="7F4B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op w:val="nil"/>
              <w:left w:val="nil"/>
              <w:bottom w:val="nil"/>
              <w:right w:val="nil"/>
            </w:tcBorders>
            <w:shd w:val="clear" w:color="auto" w:fill="FFFFFF"/>
            <w:vAlign w:val="center"/>
          </w:tcPr>
          <w:p w14:paraId="1C8195BF">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NHE</w:t>
            </w:r>
          </w:p>
        </w:tc>
        <w:tc>
          <w:tcPr>
            <w:tcW w:w="0" w:type="auto"/>
            <w:tcBorders>
              <w:top w:val="nil"/>
              <w:left w:val="nil"/>
              <w:bottom w:val="nil"/>
              <w:right w:val="nil"/>
            </w:tcBorders>
            <w:shd w:val="clear" w:color="auto" w:fill="FFFFFF"/>
            <w:vAlign w:val="center"/>
          </w:tcPr>
          <w:p w14:paraId="1A113BDE">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w:t>
            </w:r>
          </w:p>
        </w:tc>
        <w:tc>
          <w:tcPr>
            <w:tcW w:w="0" w:type="auto"/>
            <w:tcBorders>
              <w:top w:val="nil"/>
              <w:left w:val="nil"/>
              <w:bottom w:val="nil"/>
              <w:right w:val="nil"/>
            </w:tcBorders>
            <w:shd w:val="clear" w:color="auto" w:fill="FFFFFF"/>
            <w:vAlign w:val="center"/>
          </w:tcPr>
          <w:p w14:paraId="1502410B">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1.32</w:t>
            </w:r>
          </w:p>
        </w:tc>
        <w:tc>
          <w:tcPr>
            <w:tcW w:w="1416" w:type="dxa"/>
            <w:tcBorders>
              <w:top w:val="nil"/>
              <w:left w:val="nil"/>
              <w:bottom w:val="nil"/>
              <w:right w:val="nil"/>
            </w:tcBorders>
            <w:shd w:val="clear" w:color="auto" w:fill="FFFFFF"/>
            <w:vAlign w:val="center"/>
          </w:tcPr>
          <w:p w14:paraId="024ECCC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0.71–2.48</w:t>
            </w:r>
          </w:p>
        </w:tc>
        <w:tc>
          <w:tcPr>
            <w:tcW w:w="895" w:type="dxa"/>
            <w:tcBorders>
              <w:top w:val="nil"/>
              <w:left w:val="nil"/>
              <w:bottom w:val="nil"/>
              <w:right w:val="nil"/>
            </w:tcBorders>
            <w:shd w:val="clear" w:color="auto" w:fill="FFFFFF"/>
            <w:vAlign w:val="center"/>
          </w:tcPr>
          <w:p w14:paraId="42D2CFD5">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0.23</w:t>
            </w:r>
          </w:p>
        </w:tc>
        <w:tc>
          <w:tcPr>
            <w:tcW w:w="2616" w:type="dxa"/>
            <w:tcBorders>
              <w:top w:val="nil"/>
              <w:left w:val="nil"/>
              <w:bottom w:val="nil"/>
              <w:right w:val="nil"/>
            </w:tcBorders>
            <w:shd w:val="clear" w:color="auto" w:fill="FFFFFF"/>
            <w:vAlign w:val="center"/>
          </w:tcPr>
          <w:p w14:paraId="2683B817">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No clear benefit; supported by one study only</w:t>
            </w:r>
          </w:p>
        </w:tc>
      </w:tr>
      <w:tr w14:paraId="7034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38" w:type="dxa"/>
            <w:tcBorders>
              <w:top w:val="nil"/>
              <w:left w:val="nil"/>
              <w:bottom w:val="single" w:color="000000" w:sz="12" w:space="0"/>
              <w:right w:val="nil"/>
            </w:tcBorders>
            <w:shd w:val="clear" w:color="auto" w:fill="FFFFFF"/>
            <w:vAlign w:val="center"/>
          </w:tcPr>
          <w:p w14:paraId="2941CE2A">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Usual training</w:t>
            </w:r>
          </w:p>
        </w:tc>
        <w:tc>
          <w:tcPr>
            <w:tcW w:w="1422" w:type="dxa"/>
            <w:tcBorders>
              <w:top w:val="nil"/>
              <w:left w:val="nil"/>
              <w:bottom w:val="single" w:color="000000" w:sz="12" w:space="0"/>
              <w:right w:val="nil"/>
            </w:tcBorders>
            <w:shd w:val="clear" w:color="auto" w:fill="FFFFFF"/>
            <w:vAlign w:val="center"/>
          </w:tcPr>
          <w:p w14:paraId="1263F4C0">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Reference</w:t>
            </w:r>
          </w:p>
        </w:tc>
        <w:tc>
          <w:tcPr>
            <w:tcW w:w="1543" w:type="dxa"/>
            <w:tcBorders>
              <w:top w:val="nil"/>
              <w:left w:val="nil"/>
              <w:bottom w:val="single" w:color="000000" w:sz="12" w:space="0"/>
              <w:right w:val="nil"/>
            </w:tcBorders>
            <w:shd w:val="clear" w:color="auto" w:fill="FFFFFF"/>
            <w:vAlign w:val="center"/>
          </w:tcPr>
          <w:p w14:paraId="7081B238">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1.00</w:t>
            </w:r>
          </w:p>
        </w:tc>
        <w:tc>
          <w:tcPr>
            <w:tcW w:w="1416" w:type="dxa"/>
            <w:tcBorders>
              <w:top w:val="nil"/>
              <w:left w:val="nil"/>
              <w:bottom w:val="single" w:color="000000" w:sz="12" w:space="0"/>
              <w:right w:val="nil"/>
            </w:tcBorders>
            <w:shd w:val="clear" w:color="auto" w:fill="FFFFFF"/>
            <w:vAlign w:val="center"/>
          </w:tcPr>
          <w:p w14:paraId="7E31CE5D">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Reference</w:t>
            </w:r>
          </w:p>
        </w:tc>
        <w:tc>
          <w:tcPr>
            <w:tcW w:w="895" w:type="dxa"/>
            <w:tcBorders>
              <w:top w:val="nil"/>
              <w:left w:val="nil"/>
              <w:bottom w:val="single" w:color="000000" w:sz="12" w:space="0"/>
              <w:right w:val="nil"/>
            </w:tcBorders>
            <w:shd w:val="clear" w:color="auto" w:fill="FFFFFF"/>
            <w:vAlign w:val="center"/>
          </w:tcPr>
          <w:p w14:paraId="66240127">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0.51</w:t>
            </w:r>
          </w:p>
        </w:tc>
        <w:tc>
          <w:tcPr>
            <w:tcW w:w="2616" w:type="dxa"/>
            <w:tcBorders>
              <w:top w:val="nil"/>
              <w:left w:val="nil"/>
              <w:bottom w:val="single" w:color="000000" w:sz="12" w:space="0"/>
              <w:right w:val="nil"/>
            </w:tcBorders>
            <w:shd w:val="clear" w:color="auto" w:fill="FFFFFF"/>
            <w:vAlign w:val="center"/>
          </w:tcPr>
          <w:p w14:paraId="72D0FD6A">
            <w:pPr>
              <w:keepNext w:val="0"/>
              <w:keepLines w:val="0"/>
              <w:pageBreakBefore w:val="0"/>
              <w:widowControl/>
              <w:suppressLineNumbers w:val="0"/>
              <w:kinsoku/>
              <w:wordWrap/>
              <w:overflowPunct/>
              <w:topLinePunct w:val="0"/>
              <w:autoSpaceDE w:val="0"/>
              <w:autoSpaceDN w:val="0"/>
              <w:bidi w:val="0"/>
              <w:adjustRightInd/>
              <w:snapToGrid w:val="0"/>
              <w:ind w:left="0" w:leftChars="0" w:right="0" w:rightChars="0" w:firstLine="0" w:firstLineChars="0"/>
              <w:jc w:val="center"/>
              <w:textAlignment w:val="auto"/>
              <w:rPr>
                <w:rFonts w:hint="default" w:ascii="Times New Roman" w:hAnsi="Times New Roman" w:eastAsia="宋体" w:cs="Times New Roman"/>
                <w:b w:val="0"/>
                <w:bCs w:val="0"/>
                <w:color w:val="000000"/>
                <w:sz w:val="20"/>
                <w:szCs w:val="20"/>
                <w:vertAlign w:val="baseline"/>
                <w:lang w:val="en-US" w:eastAsia="en-US" w:bidi="ar-SA"/>
              </w:rPr>
            </w:pPr>
            <w:r>
              <w:rPr>
                <w:rFonts w:hint="default" w:ascii="Times New Roman" w:hAnsi="Times New Roman" w:eastAsia="宋体" w:cs="Times New Roman"/>
                <w:b w:val="0"/>
                <w:color w:val="000000"/>
                <w:kern w:val="0"/>
                <w:sz w:val="20"/>
                <w:szCs w:val="20"/>
                <w:lang w:val="en-US" w:eastAsia="zh-CN" w:bidi="ar"/>
              </w:rPr>
              <w:t>Reference</w:t>
            </w:r>
          </w:p>
        </w:tc>
      </w:tr>
    </w:tbl>
    <w:p w14:paraId="11F4C6AA">
      <w:pPr>
        <w:pStyle w:val="2"/>
        <w:ind w:left="0" w:leftChars="0" w:firstLine="0" w:firstLineChars="0"/>
        <w:jc w:val="both"/>
        <w:rPr>
          <w:rFonts w:hint="default" w:ascii="Times New Roman" w:hAnsi="Times New Roman" w:eastAsia="Times New Roman" w:cs="Times New Roman"/>
          <w:b w:val="0"/>
          <w:bCs w:val="0"/>
          <w:sz w:val="24"/>
          <w:szCs w:val="22"/>
          <w:lang w:val="en-US" w:eastAsia="zh-CN" w:bidi="ar-SA"/>
        </w:rPr>
        <w:sectPr>
          <w:pgSz w:w="11920" w:h="16850"/>
          <w:pgMar w:top="1200" w:right="560" w:bottom="280" w:left="700" w:header="720" w:footer="720" w:gutter="0"/>
          <w:cols w:space="720" w:num="1"/>
        </w:sectPr>
      </w:pPr>
    </w:p>
    <w:p w14:paraId="5E43A1F3">
      <w:pPr>
        <w:tabs>
          <w:tab w:val="left" w:pos="3915"/>
        </w:tabs>
        <w:bidi w:val="0"/>
        <w:jc w:val="center"/>
        <w:rPr>
          <w:rFonts w:ascii="Times New Roman" w:hAnsi="Times New Roman" w:eastAsia="Times New Roman" w:cs="Times New Roman"/>
          <w:b w:val="0"/>
          <w:bCs w:val="0"/>
          <w:kern w:val="0"/>
          <w:sz w:val="24"/>
          <w:szCs w:val="22"/>
          <w:lang w:val="en-US" w:eastAsia="en-US" w:bidi="ar-SA"/>
        </w:rPr>
      </w:pPr>
      <w:r>
        <w:rPr>
          <w:b/>
          <w:sz w:val="24"/>
        </w:rPr>
        <w:t>Supplementary</w:t>
      </w:r>
      <w:r>
        <w:rPr>
          <w:b/>
          <w:spacing w:val="-10"/>
          <w:sz w:val="24"/>
        </w:rPr>
        <w:t xml:space="preserve"> </w:t>
      </w:r>
      <w:r>
        <w:rPr>
          <w:b/>
          <w:sz w:val="24"/>
        </w:rPr>
        <w:t>Table</w:t>
      </w:r>
      <w:r>
        <w:rPr>
          <w:b/>
          <w:spacing w:val="-4"/>
          <w:sz w:val="24"/>
        </w:rPr>
        <w:t xml:space="preserve"> </w:t>
      </w:r>
      <w:r>
        <w:rPr>
          <w:rFonts w:hint="eastAsia" w:eastAsia="宋体"/>
          <w:b/>
          <w:spacing w:val="-4"/>
          <w:sz w:val="24"/>
          <w:lang w:val="en-US" w:eastAsia="zh-CN"/>
        </w:rPr>
        <w:t>14</w:t>
      </w:r>
      <w:bookmarkStart w:id="0" w:name="_GoBack"/>
      <w:bookmarkEnd w:id="0"/>
      <w:r>
        <w:rPr>
          <w:rFonts w:hint="eastAsia" w:eastAsia="宋体"/>
          <w:b/>
          <w:spacing w:val="-4"/>
          <w:sz w:val="24"/>
          <w:lang w:val="en-US" w:eastAsia="zh-CN"/>
        </w:rPr>
        <w:t xml:space="preserve">. </w:t>
      </w:r>
      <w:r>
        <w:rPr>
          <w:rFonts w:ascii="Times New Roman" w:hAnsi="Times New Roman" w:eastAsia="Times New Roman" w:cs="Times New Roman"/>
          <w:b w:val="0"/>
          <w:bCs w:val="0"/>
          <w:kern w:val="0"/>
          <w:sz w:val="24"/>
          <w:szCs w:val="22"/>
          <w:lang w:val="en-US" w:eastAsia="en-US" w:bidi="ar-SA"/>
        </w:rPr>
        <w:t>Sensitivity analysis excluding Hammes et al.</w:t>
      </w:r>
    </w:p>
    <w:tbl>
      <w:tblPr>
        <w:tblStyle w:val="8"/>
        <w:tblpPr w:leftFromText="180" w:rightFromText="180" w:vertAnchor="text" w:horzAnchor="page" w:tblpX="817" w:tblpY="274"/>
        <w:tblOverlap w:val="never"/>
        <w:tblW w:w="10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1"/>
        <w:gridCol w:w="1010"/>
        <w:gridCol w:w="2069"/>
        <w:gridCol w:w="1310"/>
        <w:gridCol w:w="872"/>
        <w:gridCol w:w="3793"/>
      </w:tblGrid>
      <w:tr w14:paraId="3466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551" w:type="dxa"/>
            <w:tcBorders>
              <w:top w:val="single" w:color="000000" w:sz="12" w:space="0"/>
              <w:left w:val="nil"/>
              <w:bottom w:val="single" w:color="000000" w:sz="4" w:space="0"/>
              <w:right w:val="nil"/>
              <w:tl2br w:val="nil"/>
            </w:tcBorders>
            <w:shd w:val="clear" w:color="auto" w:fill="FFFFFF"/>
            <w:vAlign w:val="center"/>
          </w:tcPr>
          <w:p w14:paraId="5195D37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Intervention</w:t>
            </w:r>
          </w:p>
        </w:tc>
        <w:tc>
          <w:tcPr>
            <w:tcW w:w="1010" w:type="dxa"/>
            <w:tcBorders>
              <w:top w:val="single" w:color="000000" w:sz="12" w:space="0"/>
              <w:left w:val="nil"/>
              <w:bottom w:val="single" w:color="000000" w:sz="4" w:space="0"/>
              <w:right w:val="nil"/>
            </w:tcBorders>
            <w:shd w:val="clear" w:color="auto" w:fill="FFFFFF"/>
            <w:vAlign w:val="center"/>
          </w:tcPr>
          <w:p w14:paraId="3EEE1A6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log(IRR)</w:t>
            </w:r>
          </w:p>
        </w:tc>
        <w:tc>
          <w:tcPr>
            <w:tcW w:w="2069" w:type="dxa"/>
            <w:tcBorders>
              <w:top w:val="single" w:color="000000" w:sz="12" w:space="0"/>
              <w:left w:val="nil"/>
              <w:bottom w:val="single" w:color="000000" w:sz="4" w:space="0"/>
              <w:right w:val="nil"/>
            </w:tcBorders>
            <w:shd w:val="clear" w:color="auto" w:fill="FFFFFF"/>
            <w:vAlign w:val="center"/>
          </w:tcPr>
          <w:p w14:paraId="698F696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IRR vs usual training</w:t>
            </w:r>
          </w:p>
        </w:tc>
        <w:tc>
          <w:tcPr>
            <w:tcW w:w="1310" w:type="dxa"/>
            <w:tcBorders>
              <w:top w:val="single" w:color="000000" w:sz="12" w:space="0"/>
              <w:left w:val="nil"/>
              <w:bottom w:val="single" w:color="000000" w:sz="4" w:space="0"/>
              <w:right w:val="nil"/>
            </w:tcBorders>
            <w:shd w:val="clear" w:color="auto" w:fill="FFFFFF"/>
            <w:vAlign w:val="center"/>
          </w:tcPr>
          <w:p w14:paraId="1D4BB51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95% CI</w:t>
            </w:r>
          </w:p>
        </w:tc>
        <w:tc>
          <w:tcPr>
            <w:tcW w:w="872" w:type="dxa"/>
            <w:tcBorders>
              <w:top w:val="single" w:color="000000" w:sz="12" w:space="0"/>
              <w:left w:val="nil"/>
              <w:bottom w:val="single" w:color="000000" w:sz="4" w:space="0"/>
              <w:right w:val="nil"/>
            </w:tcBorders>
            <w:shd w:val="clear" w:color="auto" w:fill="FFFFFF"/>
            <w:vAlign w:val="center"/>
          </w:tcPr>
          <w:p w14:paraId="33A32D4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P value</w:t>
            </w:r>
          </w:p>
        </w:tc>
        <w:tc>
          <w:tcPr>
            <w:tcW w:w="3793" w:type="dxa"/>
            <w:tcBorders>
              <w:top w:val="single" w:color="000000" w:sz="12" w:space="0"/>
              <w:left w:val="nil"/>
              <w:bottom w:val="single" w:color="000000" w:sz="4" w:space="0"/>
              <w:right w:val="nil"/>
            </w:tcBorders>
            <w:shd w:val="clear" w:color="auto" w:fill="FFFFFF"/>
            <w:vAlign w:val="center"/>
          </w:tcPr>
          <w:p w14:paraId="338395E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Interpretation</w:t>
            </w:r>
          </w:p>
        </w:tc>
      </w:tr>
      <w:tr w14:paraId="43BC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51" w:type="dxa"/>
            <w:tcBorders>
              <w:top w:val="single" w:color="000000" w:sz="4" w:space="0"/>
              <w:left w:val="nil"/>
              <w:bottom w:val="nil"/>
              <w:right w:val="nil"/>
            </w:tcBorders>
            <w:shd w:val="clear" w:color="auto" w:fill="FFFFFF"/>
            <w:vAlign w:val="center"/>
          </w:tcPr>
          <w:p w14:paraId="29C11AD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 Kids</w:t>
            </w:r>
          </w:p>
        </w:tc>
        <w:tc>
          <w:tcPr>
            <w:tcW w:w="1010" w:type="dxa"/>
            <w:tcBorders>
              <w:top w:val="single" w:color="000000" w:sz="4" w:space="0"/>
              <w:left w:val="nil"/>
              <w:bottom w:val="nil"/>
              <w:right w:val="nil"/>
            </w:tcBorders>
            <w:shd w:val="clear" w:color="auto" w:fill="FFFFFF"/>
            <w:vAlign w:val="center"/>
          </w:tcPr>
          <w:p w14:paraId="78A0557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-0.855</w:t>
            </w:r>
          </w:p>
        </w:tc>
        <w:tc>
          <w:tcPr>
            <w:tcW w:w="2069" w:type="dxa"/>
            <w:tcBorders>
              <w:top w:val="single" w:color="000000" w:sz="4" w:space="0"/>
              <w:left w:val="nil"/>
              <w:bottom w:val="nil"/>
              <w:right w:val="nil"/>
            </w:tcBorders>
            <w:shd w:val="clear" w:color="auto" w:fill="FFFFFF"/>
            <w:vAlign w:val="center"/>
          </w:tcPr>
          <w:p w14:paraId="560294A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0.425</w:t>
            </w:r>
          </w:p>
        </w:tc>
        <w:tc>
          <w:tcPr>
            <w:tcW w:w="1310" w:type="dxa"/>
            <w:tcBorders>
              <w:top w:val="single" w:color="000000" w:sz="4" w:space="0"/>
              <w:left w:val="nil"/>
              <w:bottom w:val="nil"/>
              <w:right w:val="nil"/>
            </w:tcBorders>
            <w:shd w:val="clear" w:color="auto" w:fill="FFFFFF"/>
            <w:vAlign w:val="center"/>
          </w:tcPr>
          <w:p w14:paraId="6B82289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0.075–2.402</w:t>
            </w:r>
          </w:p>
        </w:tc>
        <w:tc>
          <w:tcPr>
            <w:tcW w:w="872" w:type="dxa"/>
            <w:tcBorders>
              <w:top w:val="single" w:color="000000" w:sz="4" w:space="0"/>
              <w:left w:val="nil"/>
              <w:bottom w:val="nil"/>
              <w:right w:val="nil"/>
            </w:tcBorders>
            <w:shd w:val="clear" w:color="auto" w:fill="FFFFFF"/>
            <w:vAlign w:val="center"/>
          </w:tcPr>
          <w:p w14:paraId="3A1A1F0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0.333</w:t>
            </w:r>
          </w:p>
        </w:tc>
        <w:tc>
          <w:tcPr>
            <w:tcW w:w="3793" w:type="dxa"/>
            <w:tcBorders>
              <w:top w:val="single" w:color="000000" w:sz="4" w:space="0"/>
              <w:left w:val="nil"/>
              <w:bottom w:val="nil"/>
              <w:right w:val="nil"/>
            </w:tcBorders>
            <w:shd w:val="clear" w:color="auto" w:fill="FFFFFF"/>
            <w:vAlign w:val="center"/>
          </w:tcPr>
          <w:p w14:paraId="2815B98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Favourable but highly imprecise; single trial</w:t>
            </w:r>
          </w:p>
        </w:tc>
      </w:tr>
      <w:tr w14:paraId="5E3D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51" w:type="dxa"/>
            <w:tcBorders>
              <w:top w:val="nil"/>
              <w:left w:val="nil"/>
              <w:bottom w:val="nil"/>
              <w:right w:val="nil"/>
            </w:tcBorders>
            <w:shd w:val="clear" w:color="auto" w:fill="FFFFFF"/>
            <w:vAlign w:val="center"/>
          </w:tcPr>
          <w:p w14:paraId="527ED59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w:t>
            </w:r>
          </w:p>
        </w:tc>
        <w:tc>
          <w:tcPr>
            <w:tcW w:w="1010" w:type="dxa"/>
            <w:tcBorders>
              <w:top w:val="nil"/>
              <w:left w:val="nil"/>
              <w:bottom w:val="nil"/>
              <w:right w:val="nil"/>
            </w:tcBorders>
            <w:shd w:val="clear" w:color="auto" w:fill="FFFFFF"/>
            <w:vAlign w:val="center"/>
          </w:tcPr>
          <w:p w14:paraId="4668D54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-0.835</w:t>
            </w:r>
          </w:p>
        </w:tc>
        <w:tc>
          <w:tcPr>
            <w:tcW w:w="2069" w:type="dxa"/>
            <w:tcBorders>
              <w:top w:val="nil"/>
              <w:left w:val="nil"/>
              <w:bottom w:val="nil"/>
              <w:right w:val="nil"/>
            </w:tcBorders>
            <w:shd w:val="clear" w:color="auto" w:fill="FFFFFF"/>
            <w:vAlign w:val="center"/>
          </w:tcPr>
          <w:p w14:paraId="7FA129D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0.434</w:t>
            </w:r>
          </w:p>
        </w:tc>
        <w:tc>
          <w:tcPr>
            <w:tcW w:w="1310" w:type="dxa"/>
            <w:tcBorders>
              <w:top w:val="nil"/>
              <w:left w:val="nil"/>
              <w:bottom w:val="nil"/>
              <w:right w:val="nil"/>
            </w:tcBorders>
            <w:shd w:val="clear" w:color="auto" w:fill="FFFFFF"/>
            <w:vAlign w:val="center"/>
          </w:tcPr>
          <w:p w14:paraId="396F6F3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0.296–0.636</w:t>
            </w:r>
          </w:p>
        </w:tc>
        <w:tc>
          <w:tcPr>
            <w:tcW w:w="872" w:type="dxa"/>
            <w:tcBorders>
              <w:top w:val="nil"/>
              <w:left w:val="nil"/>
              <w:bottom w:val="nil"/>
              <w:right w:val="nil"/>
            </w:tcBorders>
            <w:shd w:val="clear" w:color="auto" w:fill="FFFFFF"/>
            <w:vAlign w:val="center"/>
          </w:tcPr>
          <w:p w14:paraId="5608248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&lt;0.001</w:t>
            </w:r>
          </w:p>
        </w:tc>
        <w:tc>
          <w:tcPr>
            <w:tcW w:w="3793" w:type="dxa"/>
            <w:tcBorders>
              <w:top w:val="nil"/>
              <w:left w:val="nil"/>
              <w:bottom w:val="nil"/>
              <w:right w:val="nil"/>
            </w:tcBorders>
            <w:shd w:val="clear" w:color="auto" w:fill="FFFFFF"/>
            <w:vAlign w:val="center"/>
          </w:tcPr>
          <w:p w14:paraId="786BB8C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Clear protective effect</w:t>
            </w:r>
          </w:p>
        </w:tc>
      </w:tr>
      <w:tr w14:paraId="6C9B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51" w:type="dxa"/>
            <w:tcBorders>
              <w:top w:val="nil"/>
              <w:left w:val="nil"/>
              <w:bottom w:val="nil"/>
              <w:right w:val="nil"/>
            </w:tcBorders>
            <w:shd w:val="clear" w:color="auto" w:fill="FFFFFF"/>
            <w:vAlign w:val="center"/>
          </w:tcPr>
          <w:p w14:paraId="1F85C22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NHE</w:t>
            </w:r>
          </w:p>
        </w:tc>
        <w:tc>
          <w:tcPr>
            <w:tcW w:w="1010" w:type="dxa"/>
            <w:tcBorders>
              <w:top w:val="nil"/>
              <w:left w:val="nil"/>
              <w:bottom w:val="nil"/>
              <w:right w:val="nil"/>
            </w:tcBorders>
            <w:shd w:val="clear" w:color="auto" w:fill="FFFFFF"/>
            <w:vAlign w:val="center"/>
          </w:tcPr>
          <w:p w14:paraId="227D5284">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-0.224</w:t>
            </w:r>
          </w:p>
        </w:tc>
        <w:tc>
          <w:tcPr>
            <w:tcW w:w="2069" w:type="dxa"/>
            <w:tcBorders>
              <w:top w:val="nil"/>
              <w:left w:val="nil"/>
              <w:bottom w:val="nil"/>
              <w:right w:val="nil"/>
            </w:tcBorders>
            <w:shd w:val="clear" w:color="auto" w:fill="FFFFFF"/>
            <w:vAlign w:val="center"/>
          </w:tcPr>
          <w:p w14:paraId="556C545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0.799</w:t>
            </w:r>
          </w:p>
        </w:tc>
        <w:tc>
          <w:tcPr>
            <w:tcW w:w="1310" w:type="dxa"/>
            <w:tcBorders>
              <w:top w:val="nil"/>
              <w:left w:val="nil"/>
              <w:bottom w:val="nil"/>
              <w:right w:val="nil"/>
            </w:tcBorders>
            <w:shd w:val="clear" w:color="auto" w:fill="FFFFFF"/>
            <w:vAlign w:val="center"/>
          </w:tcPr>
          <w:p w14:paraId="57E7EA4D">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0.485–1.318</w:t>
            </w:r>
          </w:p>
        </w:tc>
        <w:tc>
          <w:tcPr>
            <w:tcW w:w="872" w:type="dxa"/>
            <w:tcBorders>
              <w:top w:val="nil"/>
              <w:left w:val="nil"/>
              <w:bottom w:val="nil"/>
              <w:right w:val="nil"/>
            </w:tcBorders>
            <w:shd w:val="clear" w:color="auto" w:fill="FFFFFF"/>
            <w:vAlign w:val="center"/>
          </w:tcPr>
          <w:p w14:paraId="7BF53708">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0.380</w:t>
            </w:r>
          </w:p>
        </w:tc>
        <w:tc>
          <w:tcPr>
            <w:tcW w:w="3793" w:type="dxa"/>
            <w:tcBorders>
              <w:top w:val="nil"/>
              <w:left w:val="nil"/>
              <w:bottom w:val="nil"/>
              <w:right w:val="nil"/>
            </w:tcBorders>
            <w:shd w:val="clear" w:color="auto" w:fill="FFFFFF"/>
            <w:vAlign w:val="center"/>
          </w:tcPr>
          <w:p w14:paraId="439AEF6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Favourable but not statistically significant</w:t>
            </w:r>
          </w:p>
        </w:tc>
      </w:tr>
      <w:tr w14:paraId="14DF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51" w:type="dxa"/>
            <w:tcBorders>
              <w:top w:val="nil"/>
              <w:left w:val="nil"/>
              <w:bottom w:val="nil"/>
              <w:right w:val="nil"/>
            </w:tcBorders>
            <w:shd w:val="clear" w:color="auto" w:fill="FFFFFF"/>
            <w:vAlign w:val="center"/>
          </w:tcPr>
          <w:p w14:paraId="64A1CBD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FIFA 11</w:t>
            </w:r>
          </w:p>
        </w:tc>
        <w:tc>
          <w:tcPr>
            <w:tcW w:w="1010" w:type="dxa"/>
            <w:tcBorders>
              <w:top w:val="nil"/>
              <w:left w:val="nil"/>
              <w:bottom w:val="nil"/>
              <w:right w:val="nil"/>
            </w:tcBorders>
            <w:shd w:val="clear" w:color="auto" w:fill="FFFFFF"/>
            <w:vAlign w:val="center"/>
          </w:tcPr>
          <w:p w14:paraId="110FDD7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0.053</w:t>
            </w:r>
          </w:p>
        </w:tc>
        <w:tc>
          <w:tcPr>
            <w:tcW w:w="2069" w:type="dxa"/>
            <w:tcBorders>
              <w:top w:val="nil"/>
              <w:left w:val="nil"/>
              <w:bottom w:val="nil"/>
              <w:right w:val="nil"/>
            </w:tcBorders>
            <w:shd w:val="clear" w:color="auto" w:fill="FFFFFF"/>
            <w:vAlign w:val="center"/>
          </w:tcPr>
          <w:p w14:paraId="6B36CBC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1.055</w:t>
            </w:r>
          </w:p>
        </w:tc>
        <w:tc>
          <w:tcPr>
            <w:tcW w:w="1310" w:type="dxa"/>
            <w:tcBorders>
              <w:top w:val="nil"/>
              <w:left w:val="nil"/>
              <w:bottom w:val="nil"/>
              <w:right w:val="nil"/>
            </w:tcBorders>
            <w:shd w:val="clear" w:color="auto" w:fill="FFFFFF"/>
            <w:vAlign w:val="center"/>
          </w:tcPr>
          <w:p w14:paraId="10210A4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0.759–1.465</w:t>
            </w:r>
          </w:p>
        </w:tc>
        <w:tc>
          <w:tcPr>
            <w:tcW w:w="872" w:type="dxa"/>
            <w:tcBorders>
              <w:top w:val="nil"/>
              <w:left w:val="nil"/>
              <w:bottom w:val="nil"/>
              <w:right w:val="nil"/>
            </w:tcBorders>
            <w:shd w:val="clear" w:color="auto" w:fill="FFFFFF"/>
            <w:vAlign w:val="center"/>
          </w:tcPr>
          <w:p w14:paraId="17CB1AD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0.751</w:t>
            </w:r>
          </w:p>
        </w:tc>
        <w:tc>
          <w:tcPr>
            <w:tcW w:w="3793" w:type="dxa"/>
            <w:tcBorders>
              <w:top w:val="nil"/>
              <w:left w:val="nil"/>
              <w:bottom w:val="nil"/>
              <w:right w:val="nil"/>
            </w:tcBorders>
            <w:shd w:val="clear" w:color="auto" w:fill="FFFFFF"/>
            <w:vAlign w:val="center"/>
          </w:tcPr>
          <w:p w14:paraId="429FBF47">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 clear benefit</w:t>
            </w:r>
          </w:p>
        </w:tc>
      </w:tr>
      <w:tr w14:paraId="1E98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51" w:type="dxa"/>
            <w:tcBorders>
              <w:top w:val="nil"/>
              <w:left w:val="nil"/>
              <w:bottom w:val="single" w:color="000000" w:sz="12" w:space="0"/>
              <w:right w:val="nil"/>
            </w:tcBorders>
            <w:shd w:val="clear" w:color="auto" w:fill="FFFFFF"/>
            <w:vAlign w:val="center"/>
          </w:tcPr>
          <w:p w14:paraId="19251A39">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BEP</w:t>
            </w:r>
          </w:p>
        </w:tc>
        <w:tc>
          <w:tcPr>
            <w:tcW w:w="1010" w:type="dxa"/>
            <w:tcBorders>
              <w:top w:val="nil"/>
              <w:left w:val="nil"/>
              <w:bottom w:val="single" w:color="000000" w:sz="12" w:space="0"/>
              <w:right w:val="nil"/>
            </w:tcBorders>
            <w:shd w:val="clear" w:color="auto" w:fill="FFFFFF"/>
            <w:vAlign w:val="center"/>
          </w:tcPr>
          <w:p w14:paraId="65ECEF76">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0.165</w:t>
            </w:r>
          </w:p>
        </w:tc>
        <w:tc>
          <w:tcPr>
            <w:tcW w:w="2069" w:type="dxa"/>
            <w:tcBorders>
              <w:top w:val="nil"/>
              <w:left w:val="nil"/>
              <w:bottom w:val="single" w:color="000000" w:sz="12" w:space="0"/>
              <w:right w:val="nil"/>
            </w:tcBorders>
            <w:shd w:val="clear" w:color="auto" w:fill="FFFFFF"/>
            <w:vAlign w:val="center"/>
          </w:tcPr>
          <w:p w14:paraId="5905DB4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1.180</w:t>
            </w:r>
          </w:p>
        </w:tc>
        <w:tc>
          <w:tcPr>
            <w:tcW w:w="1310" w:type="dxa"/>
            <w:tcBorders>
              <w:top w:val="nil"/>
              <w:left w:val="nil"/>
              <w:bottom w:val="single" w:color="000000" w:sz="12" w:space="0"/>
              <w:right w:val="nil"/>
            </w:tcBorders>
            <w:shd w:val="clear" w:color="auto" w:fill="FFFFFF"/>
            <w:vAlign w:val="center"/>
          </w:tcPr>
          <w:p w14:paraId="6E560F9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0.632–2.201</w:t>
            </w:r>
          </w:p>
        </w:tc>
        <w:tc>
          <w:tcPr>
            <w:tcW w:w="872" w:type="dxa"/>
            <w:tcBorders>
              <w:top w:val="nil"/>
              <w:left w:val="nil"/>
              <w:bottom w:val="single" w:color="000000" w:sz="12" w:space="0"/>
              <w:right w:val="nil"/>
            </w:tcBorders>
            <w:shd w:val="clear" w:color="auto" w:fill="FFFFFF"/>
            <w:vAlign w:val="center"/>
          </w:tcPr>
          <w:p w14:paraId="6CDC69B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0.603</w:t>
            </w:r>
          </w:p>
        </w:tc>
        <w:tc>
          <w:tcPr>
            <w:tcW w:w="3793" w:type="dxa"/>
            <w:tcBorders>
              <w:top w:val="nil"/>
              <w:left w:val="nil"/>
              <w:bottom w:val="single" w:color="000000" w:sz="12" w:space="0"/>
              <w:right w:val="nil"/>
            </w:tcBorders>
            <w:shd w:val="clear" w:color="auto" w:fill="FFFFFF"/>
            <w:vAlign w:val="center"/>
          </w:tcPr>
          <w:p w14:paraId="4C2FB57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val="0"/>
                <w:bCs w:val="0"/>
                <w:color w:val="000000"/>
                <w:kern w:val="0"/>
                <w:sz w:val="20"/>
                <w:szCs w:val="22"/>
                <w:vertAlign w:val="baseline"/>
                <w:lang w:val="en-US" w:eastAsia="zh-CN" w:bidi="ar-SA"/>
              </w:rPr>
            </w:pPr>
            <w:r>
              <w:rPr>
                <w:rFonts w:hint="default" w:ascii="Times New Roman" w:hAnsi="Times New Roman" w:eastAsia="宋体" w:cs="Times New Roman"/>
                <w:b w:val="0"/>
                <w:color w:val="000000"/>
                <w:kern w:val="0"/>
                <w:sz w:val="20"/>
                <w:szCs w:val="20"/>
                <w:lang w:val="en-US" w:eastAsia="zh-CN" w:bidi="ar"/>
              </w:rPr>
              <w:t>No clear benefit</w:t>
            </w:r>
          </w:p>
        </w:tc>
      </w:tr>
    </w:tbl>
    <w:p w14:paraId="5FD91152">
      <w:pPr>
        <w:tabs>
          <w:tab w:val="left" w:pos="3915"/>
        </w:tabs>
        <w:bidi w:val="0"/>
        <w:jc w:val="both"/>
        <w:rPr>
          <w:rFonts w:hint="default" w:ascii="Times New Roman" w:hAnsi="Times New Roman" w:eastAsia="宋体" w:cs="Times New Roman"/>
          <w:sz w:val="20"/>
          <w:szCs w:val="20"/>
        </w:rPr>
      </w:pPr>
    </w:p>
    <w:p w14:paraId="52B9C2E0">
      <w:pPr>
        <w:tabs>
          <w:tab w:val="left" w:pos="3915"/>
        </w:tabs>
        <w:bidi w:val="0"/>
        <w:jc w:val="both"/>
        <w:rPr>
          <w:rFonts w:hint="eastAsia" w:eastAsia="宋体" w:cs="Times New Roman"/>
          <w:sz w:val="20"/>
          <w:szCs w:val="20"/>
          <w:lang w:val="en-US" w:eastAsia="zh-CN"/>
        </w:rPr>
        <w:sectPr>
          <w:pgSz w:w="11920" w:h="16850"/>
          <w:pgMar w:top="1200" w:right="560" w:bottom="280" w:left="700" w:header="720" w:footer="720" w:gutter="0"/>
          <w:cols w:space="720" w:num="1"/>
        </w:sectPr>
      </w:pPr>
      <w:r>
        <w:rPr>
          <w:rFonts w:hint="default" w:ascii="Times New Roman" w:hAnsi="Times New Roman" w:eastAsia="宋体" w:cs="Times New Roman"/>
          <w:b/>
          <w:bCs/>
          <w:sz w:val="20"/>
          <w:szCs w:val="20"/>
        </w:rPr>
        <w:t xml:space="preserve">Note: </w:t>
      </w:r>
      <w:r>
        <w:rPr>
          <w:rFonts w:hint="default" w:ascii="Times New Roman" w:hAnsi="Times New Roman" w:eastAsia="宋体" w:cs="Times New Roman"/>
          <w:sz w:val="20"/>
          <w:szCs w:val="20"/>
        </w:rPr>
        <w:t>This sensitivity analysis excluded Hammes et al. because the trial enrolled male veteran football players with a mean age in the mid-40s. Veteran players may differ from adolescent and younger adult football players in sprint exposure, recovery capacity, baseline injury risk, training frequency, feasible intervention dose, and injury mechanisms. The analysis was conducted to examine whether inclusion of this clinically distinct population materially influenced the IRR estimates and treatment hierarchy. Residual heterogeneity was low-to-moderate after exclusion of Hammes et al. (τ² = 0.0305; I² = 26.6%; H² = 1.36; Qres = 6.86, p = 0.231). Ranking should be interpreted cautiously because the network remained star-shaped and several nodes were supported by single trials</w:t>
      </w:r>
      <w:r>
        <w:rPr>
          <w:rFonts w:hint="eastAsia" w:eastAsia="宋体" w:cs="Times New Roman"/>
          <w:sz w:val="20"/>
          <w:szCs w:val="20"/>
          <w:lang w:val="en-US" w:eastAsia="zh-CN"/>
        </w:rPr>
        <w:t>.</w:t>
      </w:r>
    </w:p>
    <w:p w14:paraId="222324B1">
      <w:pPr>
        <w:pStyle w:val="2"/>
        <w:ind w:left="0" w:leftChars="0" w:firstLine="480" w:firstLineChars="200"/>
      </w:pPr>
      <w:r>
        <w:t>Supplementary</w:t>
      </w:r>
      <w:r>
        <w:rPr>
          <w:spacing w:val="-3"/>
        </w:rPr>
        <w:t xml:space="preserve"> </w:t>
      </w:r>
      <w:r>
        <w:t>Figures</w:t>
      </w:r>
    </w:p>
    <w:p w14:paraId="06358B3F">
      <w:pPr>
        <w:pStyle w:val="2"/>
        <w:ind w:left="0" w:leftChars="0" w:firstLine="480" w:firstLineChars="200"/>
      </w:pPr>
    </w:p>
    <w:p w14:paraId="612AB46B">
      <w:pPr>
        <w:spacing w:before="9"/>
        <w:jc w:val="center"/>
        <w:rPr>
          <w:b/>
          <w:sz w:val="26"/>
        </w:rPr>
      </w:pPr>
      <w:r>
        <w:rPr>
          <w:rFonts w:hint="eastAsia" w:eastAsia="宋体"/>
          <w:b/>
          <w:sz w:val="12"/>
          <w:lang w:eastAsia="zh-CN"/>
        </w:rPr>
        <w:drawing>
          <wp:inline distT="0" distB="0" distL="114300" distR="114300">
            <wp:extent cx="5451475" cy="4620895"/>
            <wp:effectExtent l="0" t="0" r="6350" b="8255"/>
            <wp:docPr id="2" name="图片 2" descr="RO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B2"/>
                    <pic:cNvPicPr>
                      <a:picLocks noChangeAspect="1"/>
                    </pic:cNvPicPr>
                  </pic:nvPicPr>
                  <pic:blipFill>
                    <a:blip r:embed="rId4"/>
                    <a:stretch>
                      <a:fillRect/>
                    </a:stretch>
                  </pic:blipFill>
                  <pic:spPr>
                    <a:xfrm>
                      <a:off x="0" y="0"/>
                      <a:ext cx="5451475" cy="4620895"/>
                    </a:xfrm>
                    <a:prstGeom prst="rect">
                      <a:avLst/>
                    </a:prstGeom>
                  </pic:spPr>
                </pic:pic>
              </a:graphicData>
            </a:graphic>
          </wp:inline>
        </w:drawing>
      </w:r>
    </w:p>
    <w:p w14:paraId="68870D27">
      <w:pPr>
        <w:spacing w:before="198"/>
        <w:ind w:left="433"/>
        <w:jc w:val="center"/>
        <w:rPr>
          <w:sz w:val="24"/>
        </w:rPr>
        <w:sectPr>
          <w:pgSz w:w="11920" w:h="16850"/>
          <w:pgMar w:top="1200" w:right="560" w:bottom="280" w:left="700" w:header="720" w:footer="720" w:gutter="0"/>
          <w:cols w:space="720" w:num="1"/>
        </w:sectPr>
      </w:pPr>
      <w:r>
        <w:rPr>
          <w:b/>
          <w:sz w:val="24"/>
        </w:rPr>
        <w:t>Supplementary Figure</w:t>
      </w:r>
      <w:r>
        <w:rPr>
          <w:b/>
          <w:spacing w:val="2"/>
          <w:sz w:val="24"/>
        </w:rPr>
        <w:t xml:space="preserve"> </w:t>
      </w:r>
      <w:r>
        <w:rPr>
          <w:b/>
          <w:sz w:val="24"/>
        </w:rPr>
        <w:t>1.</w:t>
      </w:r>
      <w:r>
        <w:rPr>
          <w:b/>
          <w:spacing w:val="-2"/>
          <w:sz w:val="24"/>
        </w:rPr>
        <w:t xml:space="preserve"> </w:t>
      </w:r>
      <w:r>
        <w:rPr>
          <w:sz w:val="24"/>
        </w:rPr>
        <w:t>Risk of bias assessment of included studies</w:t>
      </w:r>
    </w:p>
    <w:p w14:paraId="6A99B492">
      <w:pPr>
        <w:ind w:left="374"/>
        <w:rPr>
          <w:rFonts w:hint="eastAsia" w:eastAsia="宋体"/>
          <w:sz w:val="20"/>
          <w:lang w:eastAsia="zh-CN"/>
        </w:rPr>
      </w:pPr>
      <w:r>
        <w:rPr>
          <w:rFonts w:hint="eastAsia" w:eastAsia="宋体"/>
          <w:sz w:val="20"/>
          <w:lang w:eastAsia="zh-CN"/>
        </w:rPr>
        <w:drawing>
          <wp:inline distT="0" distB="0" distL="114300" distR="114300">
            <wp:extent cx="6766560" cy="2038350"/>
            <wp:effectExtent l="0" t="0" r="5715" b="0"/>
            <wp:docPr id="3" name="图片 3" descr="ROB2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OB2汇总"/>
                    <pic:cNvPicPr>
                      <a:picLocks noChangeAspect="1"/>
                    </pic:cNvPicPr>
                  </pic:nvPicPr>
                  <pic:blipFill>
                    <a:blip r:embed="rId5"/>
                    <a:stretch>
                      <a:fillRect/>
                    </a:stretch>
                  </pic:blipFill>
                  <pic:spPr>
                    <a:xfrm>
                      <a:off x="0" y="0"/>
                      <a:ext cx="6766560" cy="2038350"/>
                    </a:xfrm>
                    <a:prstGeom prst="rect">
                      <a:avLst/>
                    </a:prstGeom>
                  </pic:spPr>
                </pic:pic>
              </a:graphicData>
            </a:graphic>
          </wp:inline>
        </w:drawing>
      </w:r>
    </w:p>
    <w:p w14:paraId="1A9AFE30">
      <w:pPr>
        <w:ind w:left="374"/>
        <w:rPr>
          <w:rFonts w:hint="eastAsia" w:eastAsia="宋体"/>
          <w:sz w:val="20"/>
          <w:lang w:eastAsia="zh-CN"/>
        </w:rPr>
      </w:pPr>
    </w:p>
    <w:p w14:paraId="5B4DA893">
      <w:pPr>
        <w:spacing w:before="90"/>
        <w:ind w:left="320"/>
        <w:jc w:val="center"/>
        <w:rPr>
          <w:sz w:val="24"/>
        </w:rPr>
      </w:pPr>
      <w:r>
        <w:rPr>
          <w:b/>
          <w:sz w:val="24"/>
        </w:rPr>
        <w:t>Supplementary</w:t>
      </w:r>
      <w:r>
        <w:rPr>
          <w:b/>
          <w:spacing w:val="2"/>
          <w:sz w:val="24"/>
        </w:rPr>
        <w:t xml:space="preserve"> </w:t>
      </w:r>
      <w:r>
        <w:rPr>
          <w:b/>
          <w:sz w:val="24"/>
        </w:rPr>
        <w:t>Figure</w:t>
      </w:r>
      <w:r>
        <w:rPr>
          <w:b/>
          <w:spacing w:val="1"/>
          <w:sz w:val="24"/>
        </w:rPr>
        <w:t xml:space="preserve"> </w:t>
      </w:r>
      <w:r>
        <w:rPr>
          <w:b/>
          <w:sz w:val="24"/>
        </w:rPr>
        <w:t>2.</w:t>
      </w:r>
      <w:r>
        <w:rPr>
          <w:b/>
          <w:spacing w:val="-2"/>
          <w:sz w:val="24"/>
        </w:rPr>
        <w:t xml:space="preserve"> </w:t>
      </w:r>
      <w:r>
        <w:rPr>
          <w:sz w:val="24"/>
        </w:rPr>
        <w:t>Summary of risk of bias judgments across included studies</w:t>
      </w:r>
    </w:p>
    <w:p w14:paraId="477AA5D4">
      <w:pPr>
        <w:spacing w:before="90"/>
        <w:ind w:left="320"/>
        <w:rPr>
          <w:sz w:val="24"/>
        </w:rPr>
        <w:sectPr>
          <w:pgSz w:w="11920" w:h="16850"/>
          <w:pgMar w:top="1600" w:right="560" w:bottom="280" w:left="700" w:header="720" w:footer="720" w:gutter="0"/>
          <w:cols w:space="720" w:num="1"/>
        </w:sectPr>
      </w:pPr>
    </w:p>
    <w:p w14:paraId="14FCC7E6">
      <w:pPr>
        <w:ind w:left="629"/>
        <w:rPr>
          <w:sz w:val="20"/>
        </w:rPr>
      </w:pPr>
    </w:p>
    <w:p w14:paraId="516921D9">
      <w:pPr>
        <w:rPr>
          <w:sz w:val="20"/>
        </w:rPr>
      </w:pPr>
    </w:p>
    <w:p w14:paraId="308D3DF3">
      <w:pPr>
        <w:rPr>
          <w:sz w:val="19"/>
        </w:rPr>
      </w:pPr>
      <w:r>
        <w:drawing>
          <wp:inline distT="0" distB="0" distL="114300" distR="114300">
            <wp:extent cx="6754495" cy="4140835"/>
            <wp:effectExtent l="0" t="0" r="825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6754495" cy="4140835"/>
                    </a:xfrm>
                    <a:prstGeom prst="rect">
                      <a:avLst/>
                    </a:prstGeom>
                    <a:noFill/>
                    <a:ln>
                      <a:noFill/>
                    </a:ln>
                  </pic:spPr>
                </pic:pic>
              </a:graphicData>
            </a:graphic>
          </wp:inline>
        </w:drawing>
      </w:r>
    </w:p>
    <w:p w14:paraId="26444AC7">
      <w:pPr>
        <w:spacing w:before="90"/>
        <w:ind w:left="320"/>
        <w:jc w:val="center"/>
        <w:rPr>
          <w:sz w:val="24"/>
        </w:rPr>
      </w:pPr>
      <w:r>
        <w:rPr>
          <w:b/>
          <w:sz w:val="24"/>
        </w:rPr>
        <w:t>Supplementary</w:t>
      </w:r>
      <w:r>
        <w:rPr>
          <w:b/>
          <w:spacing w:val="-1"/>
          <w:sz w:val="24"/>
        </w:rPr>
        <w:t xml:space="preserve"> </w:t>
      </w:r>
      <w:r>
        <w:rPr>
          <w:b/>
          <w:sz w:val="24"/>
        </w:rPr>
        <w:t>Figure</w:t>
      </w:r>
      <w:r>
        <w:rPr>
          <w:b/>
          <w:spacing w:val="-1"/>
          <w:sz w:val="24"/>
        </w:rPr>
        <w:t xml:space="preserve"> </w:t>
      </w:r>
      <w:r>
        <w:rPr>
          <w:b/>
          <w:sz w:val="24"/>
        </w:rPr>
        <w:t>3.</w:t>
      </w:r>
      <w:r>
        <w:rPr>
          <w:sz w:val="24"/>
        </w:rPr>
        <w:t xml:space="preserve"> Pairwise meta</w:t>
      </w:r>
      <w:r>
        <w:rPr>
          <w:sz w:val="24"/>
        </w:rPr>
        <w:noBreakHyphen/>
      </w:r>
      <w:r>
        <w:rPr>
          <w:sz w:val="24"/>
        </w:rPr>
        <w:t>analysis of hamstring injury incidence</w:t>
      </w:r>
    </w:p>
    <w:p w14:paraId="2E8B197C">
      <w:pPr>
        <w:spacing w:before="90"/>
        <w:ind w:left="320"/>
        <w:jc w:val="center"/>
        <w:rPr>
          <w:sz w:val="24"/>
        </w:rPr>
        <w:sectPr>
          <w:pgSz w:w="11920" w:h="16850"/>
          <w:pgMar w:top="1200" w:right="560" w:bottom="280" w:left="700" w:header="720" w:footer="720" w:gutter="0"/>
          <w:cols w:space="720" w:num="1"/>
        </w:sectPr>
      </w:pPr>
    </w:p>
    <w:p w14:paraId="53879ADA">
      <w:pPr>
        <w:ind w:left="340"/>
        <w:rPr>
          <w:sz w:val="20"/>
          <w:lang w:val="es-ES" w:eastAsia="es-ES"/>
        </w:rPr>
      </w:pPr>
      <w:r>
        <w:drawing>
          <wp:inline distT="0" distB="0" distL="114300" distR="114300">
            <wp:extent cx="6706870" cy="3751580"/>
            <wp:effectExtent l="0" t="0" r="8255" b="12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6706870" cy="3751580"/>
                    </a:xfrm>
                    <a:prstGeom prst="rect">
                      <a:avLst/>
                    </a:prstGeom>
                    <a:noFill/>
                    <a:ln>
                      <a:noFill/>
                    </a:ln>
                  </pic:spPr>
                </pic:pic>
              </a:graphicData>
            </a:graphic>
          </wp:inline>
        </w:drawing>
      </w:r>
    </w:p>
    <w:p w14:paraId="106FDA2A">
      <w:pPr>
        <w:ind w:left="340"/>
        <w:rPr>
          <w:sz w:val="20"/>
          <w:lang w:val="es-ES" w:eastAsia="es-ES"/>
        </w:rPr>
      </w:pPr>
    </w:p>
    <w:p w14:paraId="3A201543">
      <w:pPr>
        <w:ind w:left="340"/>
        <w:rPr>
          <w:sz w:val="20"/>
          <w:lang w:val="es-ES" w:eastAsia="es-ES"/>
        </w:rPr>
      </w:pPr>
    </w:p>
    <w:p w14:paraId="3A7223A3">
      <w:pPr>
        <w:ind w:left="1539" w:right="1675"/>
        <w:jc w:val="center"/>
        <w:rPr>
          <w:rFonts w:hint="eastAsia" w:eastAsia="宋体"/>
          <w:sz w:val="24"/>
          <w:lang w:val="en-US" w:eastAsia="zh-CN"/>
        </w:rPr>
      </w:pPr>
      <w:r>
        <w:rPr>
          <w:b/>
          <w:sz w:val="24"/>
        </w:rPr>
        <w:t>Supplementary</w:t>
      </w:r>
      <w:r>
        <w:rPr>
          <w:b/>
          <w:spacing w:val="-1"/>
          <w:sz w:val="24"/>
        </w:rPr>
        <w:t xml:space="preserve"> </w:t>
      </w:r>
      <w:r>
        <w:rPr>
          <w:b/>
          <w:sz w:val="24"/>
        </w:rPr>
        <w:t>Figure</w:t>
      </w:r>
      <w:r>
        <w:rPr>
          <w:b/>
          <w:spacing w:val="-3"/>
          <w:sz w:val="24"/>
        </w:rPr>
        <w:t xml:space="preserve"> </w:t>
      </w:r>
      <w:r>
        <w:rPr>
          <w:b/>
          <w:sz w:val="24"/>
        </w:rPr>
        <w:t>4.</w:t>
      </w:r>
      <w:r>
        <w:rPr>
          <w:b/>
          <w:spacing w:val="-4"/>
          <w:sz w:val="24"/>
        </w:rPr>
        <w:t xml:space="preserve"> </w:t>
      </w:r>
      <w:r>
        <w:rPr>
          <w:sz w:val="24"/>
        </w:rPr>
        <w:t>Pairwise meta</w:t>
      </w:r>
      <w:r>
        <w:rPr>
          <w:sz w:val="24"/>
        </w:rPr>
        <w:noBreakHyphen/>
      </w:r>
      <w:r>
        <w:rPr>
          <w:sz w:val="24"/>
        </w:rPr>
        <w:t>analysis of hamstring injury incidence</w:t>
      </w:r>
      <w:r>
        <w:rPr>
          <w:rFonts w:hint="eastAsia" w:eastAsia="宋体"/>
          <w:sz w:val="24"/>
          <w:lang w:val="en-US" w:eastAsia="zh-CN"/>
        </w:rPr>
        <w:t xml:space="preserve"> in males</w:t>
      </w:r>
    </w:p>
    <w:p w14:paraId="3AECF1BC">
      <w:pPr>
        <w:ind w:right="1675"/>
        <w:jc w:val="both"/>
        <w:rPr>
          <w:rFonts w:hint="eastAsia" w:eastAsia="宋体"/>
          <w:sz w:val="24"/>
          <w:lang w:val="en-US" w:eastAsia="zh-CN"/>
        </w:rPr>
        <w:sectPr>
          <w:pgSz w:w="11920" w:h="16850"/>
          <w:pgMar w:top="1300" w:right="560" w:bottom="280" w:left="700" w:header="720" w:footer="720" w:gutter="0"/>
          <w:cols w:space="720" w:num="1"/>
        </w:sectPr>
      </w:pPr>
    </w:p>
    <w:p w14:paraId="25F9E225">
      <w:pPr>
        <w:jc w:val="both"/>
        <w:rPr>
          <w:b/>
          <w:sz w:val="24"/>
        </w:rPr>
      </w:pPr>
    </w:p>
    <w:p w14:paraId="0A2D170F">
      <w:pPr>
        <w:jc w:val="both"/>
        <w:rPr>
          <w:b/>
          <w:sz w:val="24"/>
        </w:rPr>
      </w:pPr>
      <w:r>
        <w:rPr>
          <w:rFonts w:hint="eastAsia" w:eastAsia="宋体"/>
          <w:b/>
          <w:sz w:val="24"/>
          <w:lang w:eastAsia="zh-CN"/>
        </w:rPr>
        <w:drawing>
          <wp:inline distT="0" distB="0" distL="114300" distR="114300">
            <wp:extent cx="6766560" cy="3329940"/>
            <wp:effectExtent l="0" t="0" r="5715" b="3810"/>
            <wp:docPr id="8" name="图片 8" descr="1-主分析-敏感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主分析-敏感3"/>
                    <pic:cNvPicPr>
                      <a:picLocks noChangeAspect="1"/>
                    </pic:cNvPicPr>
                  </pic:nvPicPr>
                  <pic:blipFill>
                    <a:blip r:embed="rId8"/>
                    <a:stretch>
                      <a:fillRect/>
                    </a:stretch>
                  </pic:blipFill>
                  <pic:spPr>
                    <a:xfrm>
                      <a:off x="0" y="0"/>
                      <a:ext cx="6766560" cy="3329940"/>
                    </a:xfrm>
                    <a:prstGeom prst="rect">
                      <a:avLst/>
                    </a:prstGeom>
                  </pic:spPr>
                </pic:pic>
              </a:graphicData>
            </a:graphic>
          </wp:inline>
        </w:drawing>
      </w:r>
    </w:p>
    <w:p w14:paraId="074D8634">
      <w:pPr>
        <w:jc w:val="both"/>
        <w:rPr>
          <w:b/>
          <w:sz w:val="24"/>
        </w:rPr>
      </w:pPr>
    </w:p>
    <w:p w14:paraId="613A496F">
      <w:pPr>
        <w:jc w:val="center"/>
        <w:rPr>
          <w:rFonts w:hint="eastAsia" w:eastAsia="宋体"/>
          <w:lang w:val="en-US" w:eastAsia="zh-CN"/>
        </w:rPr>
      </w:pPr>
      <w:r>
        <w:rPr>
          <w:b/>
          <w:sz w:val="24"/>
        </w:rPr>
        <w:t>Supplementary</w:t>
      </w:r>
      <w:r>
        <w:rPr>
          <w:b/>
          <w:spacing w:val="-1"/>
          <w:sz w:val="24"/>
        </w:rPr>
        <w:t xml:space="preserve"> </w:t>
      </w:r>
      <w:r>
        <w:rPr>
          <w:b/>
          <w:sz w:val="24"/>
        </w:rPr>
        <w:t>Figure</w:t>
      </w:r>
      <w:r>
        <w:rPr>
          <w:b/>
          <w:spacing w:val="-3"/>
          <w:sz w:val="24"/>
        </w:rPr>
        <w:t xml:space="preserve"> </w:t>
      </w:r>
      <w:r>
        <w:rPr>
          <w:rFonts w:hint="eastAsia" w:eastAsia="宋体"/>
          <w:b/>
          <w:spacing w:val="-3"/>
          <w:sz w:val="24"/>
          <w:lang w:val="en-US" w:eastAsia="zh-CN"/>
        </w:rPr>
        <w:t>5</w:t>
      </w:r>
      <w:r>
        <w:rPr>
          <w:b/>
          <w:sz w:val="24"/>
        </w:rPr>
        <w:t>.</w:t>
      </w:r>
      <w:r>
        <w:rPr>
          <w:rFonts w:hint="eastAsia" w:eastAsia="宋体"/>
          <w:b/>
          <w:sz w:val="24"/>
          <w:lang w:val="en-US" w:eastAsia="zh-CN"/>
        </w:rPr>
        <w:t xml:space="preserve"> </w:t>
      </w:r>
      <w:r>
        <w:rPr>
          <w:rFonts w:ascii="Times New Roman" w:hAnsi="Times New Roman" w:eastAsia="Times New Roman" w:cs="Times New Roman"/>
          <w:b w:val="0"/>
          <w:bCs w:val="0"/>
          <w:sz w:val="24"/>
          <w:szCs w:val="22"/>
          <w:lang w:val="en-US" w:eastAsia="en-US" w:bidi="ar-SA"/>
        </w:rPr>
        <w:t>Leave-one-out sensitivity analysis for the network meta-analysi</w:t>
      </w:r>
      <w:r>
        <w:rPr>
          <w:rFonts w:hint="eastAsia" w:eastAsia="宋体" w:cs="Times New Roman"/>
          <w:b w:val="0"/>
          <w:bCs w:val="0"/>
          <w:sz w:val="24"/>
          <w:szCs w:val="22"/>
          <w:lang w:val="en-US" w:eastAsia="zh-CN" w:bidi="ar-SA"/>
        </w:rPr>
        <w:t>s</w:t>
      </w:r>
    </w:p>
    <w:sectPr>
      <w:pgSz w:w="11920" w:h="16850"/>
      <w:pgMar w:top="1420" w:right="560" w:bottom="280" w:left="7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
  <w:rsids>
    <w:rsidRoot w:val="008E4FB3"/>
    <w:rsid w:val="00234659"/>
    <w:rsid w:val="0025209A"/>
    <w:rsid w:val="00375F3F"/>
    <w:rsid w:val="00732121"/>
    <w:rsid w:val="00847367"/>
    <w:rsid w:val="00886D72"/>
    <w:rsid w:val="008E4FB3"/>
    <w:rsid w:val="00CA18F0"/>
    <w:rsid w:val="00D10C4A"/>
    <w:rsid w:val="00F714CA"/>
    <w:rsid w:val="01780EF9"/>
    <w:rsid w:val="017B5688"/>
    <w:rsid w:val="029C3145"/>
    <w:rsid w:val="03443858"/>
    <w:rsid w:val="03632085"/>
    <w:rsid w:val="03751C38"/>
    <w:rsid w:val="04B86DCC"/>
    <w:rsid w:val="052B1309"/>
    <w:rsid w:val="053B7608"/>
    <w:rsid w:val="05420F2F"/>
    <w:rsid w:val="05546CCB"/>
    <w:rsid w:val="064A228E"/>
    <w:rsid w:val="070036FD"/>
    <w:rsid w:val="073836D3"/>
    <w:rsid w:val="073F0F06"/>
    <w:rsid w:val="076C2B3D"/>
    <w:rsid w:val="07972AF0"/>
    <w:rsid w:val="084F54BD"/>
    <w:rsid w:val="09815806"/>
    <w:rsid w:val="098B2CC4"/>
    <w:rsid w:val="0A434869"/>
    <w:rsid w:val="0BB91659"/>
    <w:rsid w:val="0BD36947"/>
    <w:rsid w:val="0C621E43"/>
    <w:rsid w:val="0D1A078A"/>
    <w:rsid w:val="0E2A3A63"/>
    <w:rsid w:val="0E914B75"/>
    <w:rsid w:val="0EB5630C"/>
    <w:rsid w:val="105C75E2"/>
    <w:rsid w:val="10710382"/>
    <w:rsid w:val="110B3F03"/>
    <w:rsid w:val="11662604"/>
    <w:rsid w:val="118A2253"/>
    <w:rsid w:val="11E36C3A"/>
    <w:rsid w:val="1217313B"/>
    <w:rsid w:val="132F270C"/>
    <w:rsid w:val="1485600C"/>
    <w:rsid w:val="149A3C1F"/>
    <w:rsid w:val="14FD2EFF"/>
    <w:rsid w:val="151D59B2"/>
    <w:rsid w:val="16C31566"/>
    <w:rsid w:val="16D30CB2"/>
    <w:rsid w:val="179802C4"/>
    <w:rsid w:val="18134D67"/>
    <w:rsid w:val="184C35EB"/>
    <w:rsid w:val="18786866"/>
    <w:rsid w:val="19662322"/>
    <w:rsid w:val="19F10E3A"/>
    <w:rsid w:val="1B127276"/>
    <w:rsid w:val="1B8056AC"/>
    <w:rsid w:val="1C5E47EB"/>
    <w:rsid w:val="1C8361D3"/>
    <w:rsid w:val="1D083EAE"/>
    <w:rsid w:val="1E6C1577"/>
    <w:rsid w:val="1FF46650"/>
    <w:rsid w:val="2011123A"/>
    <w:rsid w:val="204F4F90"/>
    <w:rsid w:val="20F71F25"/>
    <w:rsid w:val="2136082C"/>
    <w:rsid w:val="219D5F36"/>
    <w:rsid w:val="224C6FD4"/>
    <w:rsid w:val="22A7378F"/>
    <w:rsid w:val="22F37464"/>
    <w:rsid w:val="24120EBE"/>
    <w:rsid w:val="24A713B1"/>
    <w:rsid w:val="24C543A1"/>
    <w:rsid w:val="25105A94"/>
    <w:rsid w:val="25381017"/>
    <w:rsid w:val="258C4EA7"/>
    <w:rsid w:val="25AB5160"/>
    <w:rsid w:val="25C654E9"/>
    <w:rsid w:val="25FB09DE"/>
    <w:rsid w:val="26567DF3"/>
    <w:rsid w:val="29454C43"/>
    <w:rsid w:val="29772E93"/>
    <w:rsid w:val="2B022A53"/>
    <w:rsid w:val="2B227EB1"/>
    <w:rsid w:val="2CBA651B"/>
    <w:rsid w:val="2DF9330D"/>
    <w:rsid w:val="2ECE479A"/>
    <w:rsid w:val="2ED035AB"/>
    <w:rsid w:val="2F5D7D41"/>
    <w:rsid w:val="2FB43990"/>
    <w:rsid w:val="33721B98"/>
    <w:rsid w:val="33A309C5"/>
    <w:rsid w:val="33B51F64"/>
    <w:rsid w:val="33CC276C"/>
    <w:rsid w:val="34833F4F"/>
    <w:rsid w:val="34BE410B"/>
    <w:rsid w:val="35585E1E"/>
    <w:rsid w:val="35F64414"/>
    <w:rsid w:val="37E2423D"/>
    <w:rsid w:val="395E3DBA"/>
    <w:rsid w:val="39B645E5"/>
    <w:rsid w:val="3A476F2A"/>
    <w:rsid w:val="3B9A1C8B"/>
    <w:rsid w:val="3C017F5D"/>
    <w:rsid w:val="3C8E4865"/>
    <w:rsid w:val="3DB7332E"/>
    <w:rsid w:val="3F2A2EB3"/>
    <w:rsid w:val="40E64F02"/>
    <w:rsid w:val="43077BF5"/>
    <w:rsid w:val="43182221"/>
    <w:rsid w:val="43C14C38"/>
    <w:rsid w:val="44C22253"/>
    <w:rsid w:val="458C01FC"/>
    <w:rsid w:val="47D209FF"/>
    <w:rsid w:val="489E3831"/>
    <w:rsid w:val="492139EC"/>
    <w:rsid w:val="4929464F"/>
    <w:rsid w:val="498B5A38"/>
    <w:rsid w:val="4B2C5164"/>
    <w:rsid w:val="4B2C5595"/>
    <w:rsid w:val="4B585BB2"/>
    <w:rsid w:val="4B683166"/>
    <w:rsid w:val="4C127068"/>
    <w:rsid w:val="4FCC3EF9"/>
    <w:rsid w:val="500B7261"/>
    <w:rsid w:val="506875FB"/>
    <w:rsid w:val="512E144B"/>
    <w:rsid w:val="51632C1A"/>
    <w:rsid w:val="525D48FE"/>
    <w:rsid w:val="532661FA"/>
    <w:rsid w:val="534F37BA"/>
    <w:rsid w:val="53A60C1E"/>
    <w:rsid w:val="53C8416A"/>
    <w:rsid w:val="547E2CEF"/>
    <w:rsid w:val="55530A4B"/>
    <w:rsid w:val="55733821"/>
    <w:rsid w:val="56162CC9"/>
    <w:rsid w:val="578B1598"/>
    <w:rsid w:val="57F131B7"/>
    <w:rsid w:val="5906339C"/>
    <w:rsid w:val="59442F30"/>
    <w:rsid w:val="5A165757"/>
    <w:rsid w:val="5A1B5462"/>
    <w:rsid w:val="5AB21A7A"/>
    <w:rsid w:val="5B295620"/>
    <w:rsid w:val="5CA4290E"/>
    <w:rsid w:val="5D0C57B5"/>
    <w:rsid w:val="5D296EBB"/>
    <w:rsid w:val="5D7967F9"/>
    <w:rsid w:val="5DB3780B"/>
    <w:rsid w:val="5ED00919"/>
    <w:rsid w:val="5EF32261"/>
    <w:rsid w:val="60983788"/>
    <w:rsid w:val="60C96203"/>
    <w:rsid w:val="61167757"/>
    <w:rsid w:val="61333EDB"/>
    <w:rsid w:val="61E70D16"/>
    <w:rsid w:val="64343F73"/>
    <w:rsid w:val="645D3269"/>
    <w:rsid w:val="645D5138"/>
    <w:rsid w:val="64BE0654"/>
    <w:rsid w:val="657A553B"/>
    <w:rsid w:val="65BD3F77"/>
    <w:rsid w:val="66AC566C"/>
    <w:rsid w:val="676663B4"/>
    <w:rsid w:val="68413EEA"/>
    <w:rsid w:val="69B76B7E"/>
    <w:rsid w:val="6AF13BD6"/>
    <w:rsid w:val="6B996D13"/>
    <w:rsid w:val="6C141DD0"/>
    <w:rsid w:val="6CC8224D"/>
    <w:rsid w:val="6D435308"/>
    <w:rsid w:val="6DD369BE"/>
    <w:rsid w:val="6E71421E"/>
    <w:rsid w:val="6F927898"/>
    <w:rsid w:val="70AF5273"/>
    <w:rsid w:val="71136A90"/>
    <w:rsid w:val="71390ECE"/>
    <w:rsid w:val="729A5612"/>
    <w:rsid w:val="7367064C"/>
    <w:rsid w:val="7380460B"/>
    <w:rsid w:val="73EB05CF"/>
    <w:rsid w:val="74152B15"/>
    <w:rsid w:val="745F1A7B"/>
    <w:rsid w:val="7489506C"/>
    <w:rsid w:val="748A4B39"/>
    <w:rsid w:val="74B10200"/>
    <w:rsid w:val="753D428C"/>
    <w:rsid w:val="75CF63FA"/>
    <w:rsid w:val="76015597"/>
    <w:rsid w:val="784B5AE0"/>
    <w:rsid w:val="794E3E11"/>
    <w:rsid w:val="79F109E5"/>
    <w:rsid w:val="7A8F4231"/>
    <w:rsid w:val="7B704D90"/>
    <w:rsid w:val="7C482875"/>
    <w:rsid w:val="7DEB18F7"/>
    <w:rsid w:val="7EA366EB"/>
    <w:rsid w:val="7FCE14D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spacing w:before="72"/>
      <w:ind w:left="433"/>
      <w:outlineLvl w:val="0"/>
    </w:pPr>
    <w:rPr>
      <w:b/>
      <w:bCs/>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b/>
      <w:bCs/>
      <w:i/>
      <w:iCs/>
      <w:sz w:val="24"/>
      <w:szCs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spacing w:before="151"/>
      <w:ind w:left="1258" w:hanging="118"/>
    </w:pPr>
  </w:style>
  <w:style w:type="paragraph" w:customStyle="1" w:styleId="13">
    <w:name w:val="Table Paragraph"/>
    <w:basedOn w:val="1"/>
    <w:qFormat/>
    <w:uiPriority w:val="1"/>
    <w:pPr>
      <w:jc w:val="center"/>
    </w:pPr>
  </w:style>
  <w:style w:type="character" w:customStyle="1" w:styleId="14">
    <w:name w:val="font11"/>
    <w:basedOn w:val="9"/>
    <w:qFormat/>
    <w:uiPriority w:val="0"/>
    <w:rPr>
      <w:rFonts w:hint="default" w:ascii="Times New Roman" w:hAnsi="Times New Roman" w:cs="Times New Roman"/>
      <w:color w:val="000000"/>
      <w:sz w:val="22"/>
      <w:szCs w:val="22"/>
      <w:u w:val="none"/>
    </w:rPr>
  </w:style>
  <w:style w:type="character" w:customStyle="1" w:styleId="15">
    <w:name w:val="font21"/>
    <w:basedOn w:val="9"/>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2256</Words>
  <Characters>14419</Characters>
  <Lines>115</Lines>
  <Paragraphs>32</Paragraphs>
  <TotalTime>0</TotalTime>
  <ScaleCrop>false</ScaleCrop>
  <LinksUpToDate>false</LinksUpToDate>
  <CharactersWithSpaces>16359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2023-12-23T09:34:00Z</dcterms:created>
  <dc:creator>79981</dc:creator>
  <cp:lastModifiedBy>7</cp:lastModifiedBy>
  <dcterms:modified xsi:type="dcterms:W3CDTF">2026-07-17T06:59:28Z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2023-12-23T00:00:00Z</vt:filetime>
  </property>
  <property fmtid="{D5CDD505-2E9C-101B-9397-08002B2CF9AE}" pid="3" name="KSOProductBuildVer">
    <vt:lpwstr>2052-12.1.0.26895</vt:lpwstr>
  </property>
  <property fmtid="{D5CDD505-2E9C-101B-9397-08002B2CF9AE}" pid="4" name="ICV">
    <vt:lpwstr>D5DAB22B349E44F6AF4DD09A59C17437_13</vt:lpwstr>
  </property>
  <property fmtid="{D5CDD505-2E9C-101B-9397-08002B2CF9AE}" pid="5" name="KSOTemplateDocerSaveRecord">
    <vt:lpwstr>eyJoZGlkIjoiMzEwNTM5NzYwMDRjMzkwZTVkZjY2ODkwMGIxNGU0OTUiLCJ1c2VySWQiOiI4MTM2NDM2NzEifQ==</vt:lpwstr>
  </property>
</Properties>
</file>