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B0" w:rsidRPr="001F6E41" w:rsidRDefault="00EB7AE3" w:rsidP="00230EB0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4E648F">
        <w:rPr>
          <w:rFonts w:ascii="Arial" w:hAnsi="Arial" w:cs="Arial"/>
          <w:b/>
          <w:noProof/>
          <w:sz w:val="20"/>
          <w:szCs w:val="20"/>
          <w:lang w:val="en-GB" w:eastAsia="fr-FR"/>
        </w:rPr>
        <w:t>Table</w:t>
      </w:r>
      <w:r w:rsidR="00182B91">
        <w:rPr>
          <w:rFonts w:ascii="Arial" w:hAnsi="Arial" w:cs="Arial"/>
          <w:b/>
          <w:noProof/>
          <w:sz w:val="20"/>
          <w:szCs w:val="20"/>
          <w:lang w:val="en-GB" w:eastAsia="fr-FR"/>
        </w:rPr>
        <w:t xml:space="preserve"> S1</w:t>
      </w:r>
      <w:r w:rsidR="00230EB0" w:rsidRPr="004E648F">
        <w:rPr>
          <w:rFonts w:ascii="Arial" w:hAnsi="Arial" w:cs="Arial"/>
          <w:b/>
          <w:lang w:val="en-GB"/>
        </w:rPr>
        <w:t xml:space="preserve">: </w:t>
      </w:r>
      <w:r w:rsidR="00230EB0" w:rsidRPr="004E648F">
        <w:rPr>
          <w:rFonts w:ascii="Arial" w:hAnsi="Arial" w:cs="Arial"/>
          <w:b/>
          <w:noProof/>
          <w:sz w:val="20"/>
          <w:szCs w:val="20"/>
          <w:lang w:val="en-GB" w:eastAsia="fr-FR"/>
        </w:rPr>
        <w:t xml:space="preserve">Definition and distribution of the explanatory variables used to assess the factors associated with the levels of growing-finshing performance </w:t>
      </w:r>
      <w:r w:rsidR="00230EB0" w:rsidRPr="004E648F">
        <w:rPr>
          <w:rFonts w:ascii="Arial" w:hAnsi="Arial" w:cs="Arial"/>
          <w:noProof/>
          <w:sz w:val="20"/>
          <w:szCs w:val="20"/>
          <w:lang w:val="en-GB" w:eastAsia="fr-FR"/>
        </w:rPr>
        <w:t>(41 herds, France, p-value from the univariate analysis)</w:t>
      </w:r>
    </w:p>
    <w:tbl>
      <w:tblPr>
        <w:tblW w:w="10206" w:type="dxa"/>
        <w:tblInd w:w="-5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1559"/>
        <w:gridCol w:w="2410"/>
        <w:gridCol w:w="850"/>
      </w:tblGrid>
      <w:tr w:rsidR="00230EB0" w:rsidRPr="001F6E41" w:rsidTr="00EB728E">
        <w:trPr>
          <w:trHeight w:val="915"/>
        </w:trPr>
        <w:tc>
          <w:tcPr>
            <w:tcW w:w="53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Definition of the 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 herds per level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 herds with low performances per level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p-value</w:t>
            </w:r>
          </w:p>
        </w:tc>
      </w:tr>
      <w:tr w:rsidR="00230EB0" w:rsidRPr="00EB728E" w:rsidTr="00EB728E">
        <w:trPr>
          <w:trHeight w:val="300"/>
        </w:trPr>
        <w:tc>
          <w:tcPr>
            <w:tcW w:w="10206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General characteristics of the herd and management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Herd type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Farrow-to-finish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48.78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Growing-finishing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51.22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19.05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Interval between successive batches (weeks)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0.04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 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42.5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58.82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≥ 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57.5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26.09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Batch mingling in the nursery and/or finishing stages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0.11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82.93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35.29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17.07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71.43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Pen constitution in the nursery stage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 xml:space="preserve">according to </w:t>
            </w:r>
            <w:proofErr w:type="spellStart"/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liveweight</w:t>
            </w:r>
            <w:proofErr w:type="spellEnd"/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piglets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80.49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36.36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according to the litter ranking (dams' age)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62.5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Building consistency between the nursery and finishing stage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36.59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73.33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63.41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23.08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Homogeneity of the pigs during the growing finishing steps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0.07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+/-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Regular clinical signs of illness in growers and finishers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48.78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51.22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61.9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Feed medication during the second half of the nursery stage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0.71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75.61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38.71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24.39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Vaccination Schedule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Previous piglets vaccination against PCV2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0.59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48.78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51.22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47.62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Vaccination of the sows against PCV2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0.68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68.29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39.29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31.71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46.15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Vaccination of the gilts against PCV2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0.62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42.5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47.06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57.5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39.13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Vaccination of the gilts and/or sows against PCV2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0.73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43.9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44.44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56.1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39.13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 least one vaccination of the growers or finishers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0.02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24.39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75.61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48.4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Vaccination of the piglets against </w:t>
            </w:r>
            <w:proofErr w:type="spellStart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0.09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26.83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18.18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73.17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Age at </w:t>
            </w:r>
            <w:proofErr w:type="spellStart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vaccination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 4 weeks old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≥ 5 weeks old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Vaccination of the piglets against Porcine Reproductive and Respiratory Syndrome (PRRS)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0.05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80.49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33.33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EB728E" w:rsidTr="00EB728E">
        <w:trPr>
          <w:trHeight w:val="30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Serological status against viral and bacterial pathogens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% of pigs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seropositive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Lawsonia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intracellularis</w:t>
            </w:r>
            <w:proofErr w:type="spellEnd"/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F6E41">
              <w:rPr>
                <w:rFonts w:ascii="Arial" w:hAnsi="Arial" w:cs="Arial"/>
                <w:b/>
                <w:sz w:val="20"/>
                <w:szCs w:val="20"/>
                <w:lang w:val="en-GB"/>
              </w:rPr>
              <w:t>after 16 weeks of age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0.48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&lt; 60%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26.83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54.55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≥ 60%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73.17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36.67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Pigs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seropositive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Lawsonia</w:t>
            </w:r>
            <w:proofErr w:type="spellEnd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intracellularis</w:t>
            </w:r>
            <w:proofErr w:type="spellEnd"/>
            <w:r w:rsidRPr="001F6E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0.85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before 16 weeks of age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51.22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42.86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after 16 weeks of age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48.78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% of finishing pigs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seropositive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Lawsonia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intracellularis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0.68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&lt; 50%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60.98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44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≥ 50%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39.02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37.5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Serological status to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0.60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36.36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(at least one positive sample)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44.44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69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Serological profile to 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0.80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36.36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before 16 weeks of age (at least one positive sample)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37.5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46.67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after 16 weeks of age (at least one positive sample)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33.33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% of pigs with antibodies against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before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≤20%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80.49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42.42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&gt;20%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37.5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% of pigs with antibodies against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before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≤10%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73.17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&gt;10%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26.83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45.45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% of pigs with antibodies against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after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0.70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≤10%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80.49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39.39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&gt;10%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% of pigs with antibodies against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Mycoplasma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hyopneumoniae</w:t>
            </w:r>
            <w:proofErr w:type="spellEnd"/>
            <w:r w:rsidRPr="001F6E4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F6E41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during the finishing phase</w:t>
            </w: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1.00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≤10%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78.05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40.63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&gt;10%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21.95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44.44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 of pigs with antibodies against swine Influenza A virus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0.33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≤20%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56.1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34.78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&gt;20%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43.9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 of pigs with antibodies against swine Influenza A virus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0.18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≤80%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70.73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34.48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&gt;80%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29.27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58.33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Serological status to swine Influenza A virus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0.58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46.34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36.84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(at least one positive sample)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53.66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45.45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Antibodies against PRRSV before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80.49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33.33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 (at least one positive pool)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Antibodies against PRRSV after 16 weeks of age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0.02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56.1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26.09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 (at least one positive pool)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43.9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61.11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Serological status to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PRRSV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0.03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56.1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26.09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(at least one positive pool)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43.9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61.11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Serological profile to PRRSV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0.04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56.1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26.09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before 16 weeks of age (at least one positive pool)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Positive after 16 weeks of age (at least one positive pool)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24.39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 of pigs with antibodies against Porcine Circovirus Type 2 (PCV2) before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0.51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≤50%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29.27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&gt;50%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70.73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37.93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 of pigs with antibodies against Porcine PCV2 after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0.11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≤70%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19.51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12.5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&gt;70%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80.49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48.48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Anti-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PCV2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IgG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antibody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titers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&gt;5000 ELISA units before 16 weeks of age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0.21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85.37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34.17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 (at least one pig)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14.63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66.67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Anti-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PCV2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IgG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antibody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titers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&gt;5000 ELISA units after 16 weeks of age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0.10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31.71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23.08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Yes (at least one pig)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68.29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Anti-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PCV2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IgG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antibody </w:t>
            </w:r>
            <w:proofErr w:type="spellStart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titers</w:t>
            </w:r>
            <w:proofErr w:type="spellEnd"/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&gt;5000 ELISA units during the fattening phase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0.17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31.71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23.08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 (at least one pig)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68.29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EB728E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4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&gt;</w:t>
            </w:r>
            <w:r w:rsidR="00230EB0" w:rsidRPr="004E64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10% of pigs</w:t>
            </w:r>
            <w:r w:rsidR="00230EB0"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a </w:t>
            </w:r>
            <w:proofErr w:type="spellStart"/>
            <w:r w:rsidR="00230EB0"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SERELISA</w:t>
            </w:r>
            <w:proofErr w:type="spellEnd"/>
            <w:r w:rsidR="00230EB0"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® </w:t>
            </w:r>
            <w:proofErr w:type="spellStart"/>
            <w:r w:rsidR="00230EB0"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titer</w:t>
            </w:r>
            <w:proofErr w:type="spellEnd"/>
            <w:r w:rsidR="00230EB0"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&gt;5000 ELISA Units for antibodies against PCV2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41.46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23.53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58.54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54.17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EB728E" w:rsidRDefault="00EB728E" w:rsidP="00EB7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4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&gt;</w:t>
            </w:r>
            <w:r w:rsidR="00230EB0" w:rsidRPr="004E64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20% of</w:t>
            </w:r>
            <w:bookmarkStart w:id="0" w:name="_GoBack"/>
            <w:bookmarkEnd w:id="0"/>
            <w:r w:rsidR="00230EB0" w:rsidRPr="00EB7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pigs with a </w:t>
            </w:r>
            <w:proofErr w:type="spellStart"/>
            <w:r w:rsidR="00230EB0" w:rsidRPr="00EB7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SERELISA</w:t>
            </w:r>
            <w:proofErr w:type="spellEnd"/>
            <w:r w:rsidR="00230EB0" w:rsidRPr="00EB7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® </w:t>
            </w:r>
            <w:proofErr w:type="spellStart"/>
            <w:r w:rsidR="00230EB0" w:rsidRPr="00EB7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titer</w:t>
            </w:r>
            <w:proofErr w:type="spellEnd"/>
            <w:r w:rsidR="00230EB0" w:rsidRPr="00EB7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&gt;5000 ELISA Units for antibodies against PCV2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728E">
              <w:rPr>
                <w:rFonts w:ascii="Arial" w:hAnsi="Arial" w:cs="Arial"/>
                <w:sz w:val="20"/>
                <w:szCs w:val="20"/>
                <w:lang w:val="en-GB"/>
              </w:rPr>
              <w:t>0.28</w:t>
            </w: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51.22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33.33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30EB0" w:rsidRPr="001F6E41" w:rsidTr="00EB728E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30EB0" w:rsidRPr="001F6E41" w:rsidRDefault="00230EB0" w:rsidP="00EB728E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48.78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0EB0" w:rsidRPr="001F6E41" w:rsidRDefault="00230EB0" w:rsidP="00EB72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EB0" w:rsidRPr="001F6E41" w:rsidRDefault="00230EB0" w:rsidP="00EB7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3440D8" w:rsidRDefault="003440D8"/>
    <w:sectPr w:rsidR="003440D8" w:rsidSect="00182B9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63F" w:rsidRDefault="003C563F" w:rsidP="00B0185C">
      <w:pPr>
        <w:spacing w:after="0" w:line="240" w:lineRule="auto"/>
      </w:pPr>
      <w:r>
        <w:separator/>
      </w:r>
    </w:p>
  </w:endnote>
  <w:endnote w:type="continuationSeparator" w:id="0">
    <w:p w:rsidR="003C563F" w:rsidRDefault="003C563F" w:rsidP="00B0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63F" w:rsidRDefault="003C563F" w:rsidP="00B0185C">
      <w:pPr>
        <w:spacing w:after="0" w:line="240" w:lineRule="auto"/>
      </w:pPr>
      <w:r>
        <w:separator/>
      </w:r>
    </w:p>
  </w:footnote>
  <w:footnote w:type="continuationSeparator" w:id="0">
    <w:p w:rsidR="003C563F" w:rsidRDefault="003C563F" w:rsidP="00B01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230EB0"/>
    <w:rsid w:val="00182B91"/>
    <w:rsid w:val="00230EB0"/>
    <w:rsid w:val="003440D8"/>
    <w:rsid w:val="003C563F"/>
    <w:rsid w:val="004E648F"/>
    <w:rsid w:val="009C77C7"/>
    <w:rsid w:val="00B0185C"/>
    <w:rsid w:val="00EB728E"/>
    <w:rsid w:val="00EB7AE3"/>
    <w:rsid w:val="00FF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85C"/>
  </w:style>
  <w:style w:type="paragraph" w:styleId="Footer">
    <w:name w:val="footer"/>
    <w:basedOn w:val="Normal"/>
    <w:link w:val="FooterChar"/>
    <w:uiPriority w:val="99"/>
    <w:unhideWhenUsed/>
    <w:rsid w:val="00B01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5C"/>
  </w:style>
  <w:style w:type="character" w:styleId="LineNumber">
    <w:name w:val="line number"/>
    <w:basedOn w:val="DefaultParagraphFont"/>
    <w:uiPriority w:val="99"/>
    <w:semiHidden/>
    <w:unhideWhenUsed/>
    <w:rsid w:val="009C7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1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85C"/>
  </w:style>
  <w:style w:type="paragraph" w:styleId="Pieddepage">
    <w:name w:val="footer"/>
    <w:basedOn w:val="Normal"/>
    <w:link w:val="PieddepageCar"/>
    <w:uiPriority w:val="99"/>
    <w:unhideWhenUsed/>
    <w:rsid w:val="00B01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85C"/>
  </w:style>
  <w:style w:type="character" w:styleId="Numrodeligne">
    <w:name w:val="line number"/>
    <w:basedOn w:val="Policepardfaut"/>
    <w:uiPriority w:val="99"/>
    <w:semiHidden/>
    <w:unhideWhenUsed/>
    <w:rsid w:val="009C7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FEDA9-738D-4399-B00F-1476D4A0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821</Words>
  <Characters>4207</Characters>
  <Application>Microsoft Office Word</Application>
  <DocSecurity>0</DocSecurity>
  <Lines>420</Lines>
  <Paragraphs>335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FABLET Christelle</dc:creator>
  <cp:lastModifiedBy>CABRENICA</cp:lastModifiedBy>
  <cp:revision>3</cp:revision>
  <dcterms:created xsi:type="dcterms:W3CDTF">2018-01-15T10:45:00Z</dcterms:created>
  <dcterms:modified xsi:type="dcterms:W3CDTF">2018-01-23T21:19:00Z</dcterms:modified>
</cp:coreProperties>
</file>