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742BD" w14:textId="1C2575EE" w:rsidR="007902BB" w:rsidRPr="00C7199F" w:rsidRDefault="004731C4">
      <w:pPr>
        <w:rPr>
          <w:rFonts w:ascii="Times New Roman" w:hAnsi="Times New Roman" w:cs="Times New Roman"/>
          <w:b/>
          <w:bCs/>
        </w:rPr>
      </w:pPr>
      <w:r w:rsidRPr="00C7199F">
        <w:rPr>
          <w:rFonts w:ascii="Times New Roman" w:hAnsi="Times New Roman" w:cs="Times New Roman"/>
          <w:b/>
          <w:bCs/>
        </w:rPr>
        <w:t>Appendix</w:t>
      </w:r>
      <w:r w:rsidR="007902BB" w:rsidRPr="00C7199F">
        <w:rPr>
          <w:rFonts w:ascii="Times New Roman" w:hAnsi="Times New Roman" w:cs="Times New Roman"/>
          <w:b/>
          <w:bCs/>
        </w:rPr>
        <w:t xml:space="preserve"> 1</w:t>
      </w:r>
      <w:r w:rsidR="00C7199F">
        <w:rPr>
          <w:rFonts w:ascii="Times New Roman" w:hAnsi="Times New Roman" w:cs="Times New Roman"/>
          <w:b/>
          <w:bCs/>
        </w:rPr>
        <w:t>.</w:t>
      </w:r>
      <w:r w:rsidR="007902BB" w:rsidRPr="00C7199F">
        <w:rPr>
          <w:rFonts w:ascii="Times New Roman" w:hAnsi="Times New Roman" w:cs="Times New Roman"/>
          <w:b/>
          <w:bCs/>
        </w:rPr>
        <w:t xml:space="preserve"> Variable dictionary</w:t>
      </w:r>
    </w:p>
    <w:p w14:paraId="240C1CD1" w14:textId="77777777" w:rsidR="007902BB" w:rsidRPr="007902BB" w:rsidRDefault="007902BB">
      <w:pPr>
        <w:rPr>
          <w:rFonts w:ascii="Times New Roman" w:hAnsi="Times New Roman" w:cs="Times New Roman"/>
          <w:b/>
          <w:bCs/>
          <w:sz w:val="24"/>
          <w:szCs w:val="24"/>
        </w:rPr>
      </w:pPr>
    </w:p>
    <w:tbl>
      <w:tblPr>
        <w:tblStyle w:val="Grilledutableau"/>
        <w:tblW w:w="9033" w:type="dxa"/>
        <w:tblLook w:val="04A0" w:firstRow="1" w:lastRow="0" w:firstColumn="1" w:lastColumn="0" w:noHBand="0" w:noVBand="1"/>
      </w:tblPr>
      <w:tblGrid>
        <w:gridCol w:w="494"/>
        <w:gridCol w:w="1735"/>
        <w:gridCol w:w="2268"/>
        <w:gridCol w:w="2268"/>
        <w:gridCol w:w="2268"/>
      </w:tblGrid>
      <w:tr w:rsidR="007902BB" w:rsidRPr="007902BB" w14:paraId="0A590A7B" w14:textId="77777777" w:rsidTr="007902BB">
        <w:tc>
          <w:tcPr>
            <w:tcW w:w="0" w:type="auto"/>
          </w:tcPr>
          <w:p w14:paraId="0E03F605"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37D276BA" w14:textId="0C96BE01"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Variable name</w:t>
            </w:r>
          </w:p>
        </w:tc>
        <w:tc>
          <w:tcPr>
            <w:tcW w:w="2268" w:type="dxa"/>
            <w:vAlign w:val="center"/>
            <w:hideMark/>
          </w:tcPr>
          <w:p w14:paraId="20219816" w14:textId="77777777" w:rsidR="007902BB" w:rsidRPr="007902BB" w:rsidRDefault="007902BB" w:rsidP="007902BB">
            <w:pPr>
              <w:spacing w:line="276" w:lineRule="auto"/>
              <w:jc w:val="center"/>
              <w:rPr>
                <w:rFonts w:ascii="Times New Roman" w:hAnsi="Times New Roman" w:cs="Times New Roman"/>
                <w:b/>
                <w:bCs/>
                <w:sz w:val="20"/>
                <w:szCs w:val="20"/>
              </w:rPr>
            </w:pPr>
            <w:r w:rsidRPr="007902BB">
              <w:rPr>
                <w:rFonts w:ascii="Times New Roman" w:hAnsi="Times New Roman" w:cs="Times New Roman"/>
                <w:b/>
                <w:bCs/>
                <w:sz w:val="20"/>
                <w:szCs w:val="20"/>
              </w:rPr>
              <w:t>Description</w:t>
            </w:r>
          </w:p>
        </w:tc>
        <w:tc>
          <w:tcPr>
            <w:tcW w:w="2268" w:type="dxa"/>
            <w:vAlign w:val="center"/>
            <w:hideMark/>
          </w:tcPr>
          <w:p w14:paraId="43D447A7" w14:textId="57955252" w:rsidR="007902BB" w:rsidRPr="007902BB" w:rsidRDefault="007902BB" w:rsidP="007902BB">
            <w:pPr>
              <w:spacing w:line="276" w:lineRule="auto"/>
              <w:jc w:val="center"/>
              <w:rPr>
                <w:rFonts w:ascii="Times New Roman" w:hAnsi="Times New Roman" w:cs="Times New Roman"/>
                <w:b/>
                <w:bCs/>
                <w:sz w:val="20"/>
                <w:szCs w:val="20"/>
              </w:rPr>
            </w:pPr>
            <w:r w:rsidRPr="007902BB">
              <w:rPr>
                <w:rFonts w:ascii="Times New Roman" w:hAnsi="Times New Roman" w:cs="Times New Roman"/>
                <w:b/>
                <w:bCs/>
                <w:sz w:val="20"/>
                <w:szCs w:val="20"/>
              </w:rPr>
              <w:t>Variable type</w:t>
            </w:r>
          </w:p>
        </w:tc>
        <w:tc>
          <w:tcPr>
            <w:tcW w:w="2268" w:type="dxa"/>
            <w:vAlign w:val="center"/>
            <w:hideMark/>
          </w:tcPr>
          <w:p w14:paraId="41CDAC55" w14:textId="77777777" w:rsidR="007902BB" w:rsidRPr="007902BB" w:rsidRDefault="007902BB" w:rsidP="007902BB">
            <w:pPr>
              <w:spacing w:line="276" w:lineRule="auto"/>
              <w:jc w:val="center"/>
              <w:rPr>
                <w:rFonts w:ascii="Times New Roman" w:hAnsi="Times New Roman" w:cs="Times New Roman"/>
                <w:b/>
                <w:bCs/>
                <w:sz w:val="20"/>
                <w:szCs w:val="20"/>
              </w:rPr>
            </w:pPr>
            <w:r w:rsidRPr="007902BB">
              <w:rPr>
                <w:rFonts w:ascii="Times New Roman" w:hAnsi="Times New Roman" w:cs="Times New Roman"/>
                <w:b/>
                <w:bCs/>
                <w:sz w:val="20"/>
                <w:szCs w:val="20"/>
              </w:rPr>
              <w:t>Values / Units</w:t>
            </w:r>
          </w:p>
        </w:tc>
      </w:tr>
      <w:tr w:rsidR="007902BB" w:rsidRPr="007902BB" w14:paraId="30B0A9A4" w14:textId="77777777" w:rsidTr="007902BB">
        <w:tc>
          <w:tcPr>
            <w:tcW w:w="0" w:type="auto"/>
          </w:tcPr>
          <w:p w14:paraId="68F47751"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14F3BCBF" w14:textId="4901E67F"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Client ID</w:t>
            </w:r>
          </w:p>
        </w:tc>
        <w:tc>
          <w:tcPr>
            <w:tcW w:w="2268" w:type="dxa"/>
            <w:vAlign w:val="center"/>
            <w:hideMark/>
          </w:tcPr>
          <w:p w14:paraId="659C975E"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Unique identifier for each respondent</w:t>
            </w:r>
          </w:p>
        </w:tc>
        <w:tc>
          <w:tcPr>
            <w:tcW w:w="2268" w:type="dxa"/>
            <w:vAlign w:val="center"/>
            <w:hideMark/>
          </w:tcPr>
          <w:p w14:paraId="4367E2E4"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03781455"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Alphanumeric code</w:t>
            </w:r>
          </w:p>
        </w:tc>
      </w:tr>
      <w:tr w:rsidR="007902BB" w:rsidRPr="007902BB" w14:paraId="50EF91D6" w14:textId="77777777" w:rsidTr="007902BB">
        <w:tc>
          <w:tcPr>
            <w:tcW w:w="0" w:type="auto"/>
            <w:vMerge w:val="restart"/>
            <w:shd w:val="clear" w:color="auto" w:fill="156082" w:themeFill="accent1"/>
            <w:textDirection w:val="btLr"/>
            <w:vAlign w:val="center"/>
          </w:tcPr>
          <w:p w14:paraId="58E69372" w14:textId="326504C8" w:rsidR="007902BB" w:rsidRPr="007902BB" w:rsidRDefault="007902BB" w:rsidP="007902BB">
            <w:pPr>
              <w:spacing w:line="276" w:lineRule="auto"/>
              <w:ind w:left="113" w:right="113"/>
              <w:jc w:val="center"/>
              <w:rPr>
                <w:rFonts w:ascii="Times New Roman" w:hAnsi="Times New Roman" w:cs="Times New Roman"/>
                <w:b/>
                <w:bCs/>
                <w:color w:val="FFFFFF" w:themeColor="background1"/>
                <w:sz w:val="20"/>
                <w:szCs w:val="20"/>
              </w:rPr>
            </w:pPr>
            <w:r w:rsidRPr="007902BB">
              <w:rPr>
                <w:rFonts w:ascii="Times New Roman" w:hAnsi="Times New Roman" w:cs="Times New Roman"/>
                <w:b/>
                <w:bCs/>
                <w:color w:val="FFFFFF" w:themeColor="background1"/>
                <w:sz w:val="20"/>
                <w:szCs w:val="20"/>
              </w:rPr>
              <w:t>Sociodemographic characteristics</w:t>
            </w:r>
          </w:p>
        </w:tc>
        <w:tc>
          <w:tcPr>
            <w:tcW w:w="1735" w:type="dxa"/>
            <w:vAlign w:val="center"/>
          </w:tcPr>
          <w:p w14:paraId="0A519CD1" w14:textId="05924ED2"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Gender</w:t>
            </w:r>
          </w:p>
        </w:tc>
        <w:tc>
          <w:tcPr>
            <w:tcW w:w="2268" w:type="dxa"/>
            <w:vAlign w:val="center"/>
          </w:tcPr>
          <w:p w14:paraId="77F9C5DB" w14:textId="0721D12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Self-identified gender</w:t>
            </w:r>
          </w:p>
        </w:tc>
        <w:tc>
          <w:tcPr>
            <w:tcW w:w="2268" w:type="dxa"/>
            <w:vAlign w:val="center"/>
          </w:tcPr>
          <w:p w14:paraId="44284AC9" w14:textId="37618888"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tcPr>
          <w:p w14:paraId="58C9CDF8" w14:textId="33BF883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Male / Female / Other</w:t>
            </w:r>
          </w:p>
        </w:tc>
      </w:tr>
      <w:tr w:rsidR="007902BB" w:rsidRPr="007902BB" w14:paraId="752061A0" w14:textId="77777777" w:rsidTr="007902BB">
        <w:tc>
          <w:tcPr>
            <w:tcW w:w="0" w:type="auto"/>
            <w:vMerge/>
            <w:shd w:val="clear" w:color="auto" w:fill="156082" w:themeFill="accent1"/>
          </w:tcPr>
          <w:p w14:paraId="1EC3C1F7"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468CB3A" w14:textId="20B36F5B"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Age</w:t>
            </w:r>
          </w:p>
        </w:tc>
        <w:tc>
          <w:tcPr>
            <w:tcW w:w="2268" w:type="dxa"/>
            <w:vAlign w:val="center"/>
            <w:hideMark/>
          </w:tcPr>
          <w:p w14:paraId="434930F5" w14:textId="11073A01"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Respondent’s age</w:t>
            </w:r>
          </w:p>
        </w:tc>
        <w:tc>
          <w:tcPr>
            <w:tcW w:w="2268" w:type="dxa"/>
            <w:vAlign w:val="center"/>
            <w:hideMark/>
          </w:tcPr>
          <w:p w14:paraId="69E80C61"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Quantitative (continuous)</w:t>
            </w:r>
          </w:p>
        </w:tc>
        <w:tc>
          <w:tcPr>
            <w:tcW w:w="2268" w:type="dxa"/>
            <w:vAlign w:val="center"/>
            <w:hideMark/>
          </w:tcPr>
          <w:p w14:paraId="062FDC3A"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Years</w:t>
            </w:r>
          </w:p>
        </w:tc>
      </w:tr>
      <w:tr w:rsidR="007902BB" w:rsidRPr="007902BB" w14:paraId="0E737B38" w14:textId="77777777" w:rsidTr="007902BB">
        <w:tc>
          <w:tcPr>
            <w:tcW w:w="0" w:type="auto"/>
            <w:vMerge/>
            <w:shd w:val="clear" w:color="auto" w:fill="156082" w:themeFill="accent1"/>
          </w:tcPr>
          <w:p w14:paraId="0980A6CD"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630FF0FD" w14:textId="56F4D448" w:rsidR="007902BB" w:rsidRPr="007902BB" w:rsidRDefault="007902BB" w:rsidP="007902BB">
            <w:pPr>
              <w:spacing w:line="276" w:lineRule="auto"/>
              <w:rPr>
                <w:rFonts w:ascii="Times New Roman" w:hAnsi="Times New Roman" w:cs="Times New Roman"/>
                <w:b/>
                <w:bCs/>
                <w:sz w:val="20"/>
                <w:szCs w:val="20"/>
              </w:rPr>
            </w:pPr>
            <w:proofErr w:type="gramStart"/>
            <w:r w:rsidRPr="007902BB">
              <w:rPr>
                <w:rFonts w:ascii="Times New Roman" w:hAnsi="Times New Roman" w:cs="Times New Roman"/>
                <w:b/>
                <w:bCs/>
                <w:sz w:val="20"/>
                <w:szCs w:val="20"/>
              </w:rPr>
              <w:t>Other</w:t>
            </w:r>
            <w:proofErr w:type="gramEnd"/>
            <w:r w:rsidRPr="007902BB">
              <w:rPr>
                <w:rFonts w:ascii="Times New Roman" w:hAnsi="Times New Roman" w:cs="Times New Roman"/>
                <w:b/>
                <w:bCs/>
                <w:sz w:val="20"/>
                <w:szCs w:val="20"/>
              </w:rPr>
              <w:t xml:space="preserve"> diploma</w:t>
            </w:r>
          </w:p>
        </w:tc>
        <w:tc>
          <w:tcPr>
            <w:tcW w:w="2268" w:type="dxa"/>
            <w:vAlign w:val="center"/>
            <w:hideMark/>
          </w:tcPr>
          <w:p w14:paraId="759D1610"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Additional degrees or certifications obtained</w:t>
            </w:r>
          </w:p>
        </w:tc>
        <w:tc>
          <w:tcPr>
            <w:tcW w:w="2268" w:type="dxa"/>
            <w:vAlign w:val="center"/>
            <w:hideMark/>
          </w:tcPr>
          <w:p w14:paraId="26646331" w14:textId="6CDB4C35"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743E208B" w14:textId="31D6E51D"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National specialization</w:t>
            </w:r>
            <w:r w:rsidR="00F77964">
              <w:rPr>
                <w:rFonts w:ascii="Times New Roman" w:hAnsi="Times New Roman" w:cs="Times New Roman"/>
                <w:sz w:val="20"/>
                <w:szCs w:val="20"/>
              </w:rPr>
              <w:t xml:space="preserve"> </w:t>
            </w:r>
            <w:r w:rsidRPr="007902BB">
              <w:rPr>
                <w:rFonts w:ascii="Times New Roman" w:hAnsi="Times New Roman" w:cs="Times New Roman"/>
                <w:sz w:val="20"/>
                <w:szCs w:val="20"/>
              </w:rPr>
              <w:t>/ European certificate / Other (multiple responses possible)</w:t>
            </w:r>
          </w:p>
        </w:tc>
      </w:tr>
      <w:tr w:rsidR="007902BB" w:rsidRPr="007902BB" w14:paraId="4FDD7C09" w14:textId="77777777" w:rsidTr="007902BB">
        <w:tc>
          <w:tcPr>
            <w:tcW w:w="0" w:type="auto"/>
            <w:vMerge/>
            <w:shd w:val="clear" w:color="auto" w:fill="156082" w:themeFill="accent1"/>
          </w:tcPr>
          <w:p w14:paraId="35BA18D7"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2A2BB47" w14:textId="278BB561"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Status</w:t>
            </w:r>
          </w:p>
        </w:tc>
        <w:tc>
          <w:tcPr>
            <w:tcW w:w="2268" w:type="dxa"/>
            <w:vAlign w:val="center"/>
            <w:hideMark/>
          </w:tcPr>
          <w:p w14:paraId="37F740A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Current employment type</w:t>
            </w:r>
          </w:p>
        </w:tc>
        <w:tc>
          <w:tcPr>
            <w:tcW w:w="2268" w:type="dxa"/>
            <w:vAlign w:val="center"/>
            <w:hideMark/>
          </w:tcPr>
          <w:p w14:paraId="23780071"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4DB5BB41"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Private practitioner / Employee</w:t>
            </w:r>
          </w:p>
        </w:tc>
      </w:tr>
      <w:tr w:rsidR="007902BB" w:rsidRPr="007902BB" w14:paraId="3D808621" w14:textId="77777777" w:rsidTr="007902BB">
        <w:tc>
          <w:tcPr>
            <w:tcW w:w="0" w:type="auto"/>
            <w:vMerge/>
            <w:shd w:val="clear" w:color="auto" w:fill="156082" w:themeFill="accent1"/>
          </w:tcPr>
          <w:p w14:paraId="234798FB"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159C5320" w14:textId="3F57B856"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Company size</w:t>
            </w:r>
          </w:p>
        </w:tc>
        <w:tc>
          <w:tcPr>
            <w:tcW w:w="2268" w:type="dxa"/>
            <w:vAlign w:val="center"/>
            <w:hideMark/>
          </w:tcPr>
          <w:p w14:paraId="292DBC48"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Size of the employing organization</w:t>
            </w:r>
          </w:p>
        </w:tc>
        <w:tc>
          <w:tcPr>
            <w:tcW w:w="2268" w:type="dxa"/>
            <w:vAlign w:val="center"/>
            <w:hideMark/>
          </w:tcPr>
          <w:p w14:paraId="5A9CDED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Ordinal</w:t>
            </w:r>
          </w:p>
        </w:tc>
        <w:tc>
          <w:tcPr>
            <w:tcW w:w="2268" w:type="dxa"/>
            <w:vAlign w:val="center"/>
            <w:hideMark/>
          </w:tcPr>
          <w:p w14:paraId="4F1D98EC"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&lt;5 employees / 5–10 employees / 10–50 employees / &gt;50 employees</w:t>
            </w:r>
          </w:p>
        </w:tc>
      </w:tr>
      <w:tr w:rsidR="007902BB" w:rsidRPr="007902BB" w14:paraId="6859DEEE" w14:textId="77777777" w:rsidTr="007902BB">
        <w:tc>
          <w:tcPr>
            <w:tcW w:w="0" w:type="auto"/>
            <w:vMerge/>
            <w:shd w:val="clear" w:color="auto" w:fill="156082" w:themeFill="accent1"/>
          </w:tcPr>
          <w:p w14:paraId="6C119DAD"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6A66527" w14:textId="0CC49194"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Vets’ proportions</w:t>
            </w:r>
          </w:p>
        </w:tc>
        <w:tc>
          <w:tcPr>
            <w:tcW w:w="2268" w:type="dxa"/>
            <w:vAlign w:val="center"/>
            <w:hideMark/>
          </w:tcPr>
          <w:p w14:paraId="38832F62" w14:textId="7A555513"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Proportion of veterinarians in the organization</w:t>
            </w:r>
          </w:p>
        </w:tc>
        <w:tc>
          <w:tcPr>
            <w:tcW w:w="2268" w:type="dxa"/>
            <w:vAlign w:val="center"/>
            <w:hideMark/>
          </w:tcPr>
          <w:p w14:paraId="1BBD8E82" w14:textId="417EB2E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Quantitative (continuous)</w:t>
            </w:r>
          </w:p>
        </w:tc>
        <w:tc>
          <w:tcPr>
            <w:tcW w:w="2268" w:type="dxa"/>
            <w:vAlign w:val="center"/>
            <w:hideMark/>
          </w:tcPr>
          <w:p w14:paraId="5210C4C7" w14:textId="7431096F"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Percentage (0 to 100%)</w:t>
            </w:r>
          </w:p>
        </w:tc>
      </w:tr>
      <w:tr w:rsidR="007902BB" w:rsidRPr="007902BB" w14:paraId="6B781206" w14:textId="77777777" w:rsidTr="007902BB">
        <w:tc>
          <w:tcPr>
            <w:tcW w:w="0" w:type="auto"/>
            <w:vMerge/>
            <w:shd w:val="clear" w:color="auto" w:fill="156082" w:themeFill="accent1"/>
          </w:tcPr>
          <w:p w14:paraId="388C3708"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15AF013" w14:textId="7ADAD78D"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Years of exp.</w:t>
            </w:r>
          </w:p>
        </w:tc>
        <w:tc>
          <w:tcPr>
            <w:tcW w:w="2268" w:type="dxa"/>
            <w:vAlign w:val="center"/>
            <w:hideMark/>
          </w:tcPr>
          <w:p w14:paraId="48B8FFD0"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Years of experience working in swine production</w:t>
            </w:r>
          </w:p>
        </w:tc>
        <w:tc>
          <w:tcPr>
            <w:tcW w:w="2268" w:type="dxa"/>
            <w:vAlign w:val="center"/>
            <w:hideMark/>
          </w:tcPr>
          <w:p w14:paraId="7C3AB297" w14:textId="78D31028" w:rsidR="007902BB" w:rsidRPr="007902BB" w:rsidRDefault="006443D5"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72E23780"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&lt;5 years / 5–10 years / &gt;10 years</w:t>
            </w:r>
          </w:p>
        </w:tc>
      </w:tr>
      <w:tr w:rsidR="007902BB" w:rsidRPr="007902BB" w14:paraId="408E9B9E" w14:textId="77777777" w:rsidTr="007902BB">
        <w:tc>
          <w:tcPr>
            <w:tcW w:w="0" w:type="auto"/>
            <w:vMerge/>
            <w:shd w:val="clear" w:color="auto" w:fill="156082" w:themeFill="accent1"/>
          </w:tcPr>
          <w:p w14:paraId="77148F32"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8585900" w14:textId="7627FCA7"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Contract</w:t>
            </w:r>
          </w:p>
        </w:tc>
        <w:tc>
          <w:tcPr>
            <w:tcW w:w="2268" w:type="dxa"/>
            <w:vAlign w:val="center"/>
            <w:hideMark/>
          </w:tcPr>
          <w:p w14:paraId="705B59B2"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Employment status</w:t>
            </w:r>
          </w:p>
        </w:tc>
        <w:tc>
          <w:tcPr>
            <w:tcW w:w="2268" w:type="dxa"/>
            <w:vAlign w:val="center"/>
            <w:hideMark/>
          </w:tcPr>
          <w:p w14:paraId="7B8CF5E0"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69C1881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Full-time / Part-time</w:t>
            </w:r>
          </w:p>
        </w:tc>
      </w:tr>
      <w:tr w:rsidR="007902BB" w:rsidRPr="007902BB" w14:paraId="20BEDB9C" w14:textId="77777777" w:rsidTr="007902BB">
        <w:tc>
          <w:tcPr>
            <w:tcW w:w="0" w:type="auto"/>
            <w:vMerge/>
            <w:shd w:val="clear" w:color="auto" w:fill="156082" w:themeFill="accent1"/>
          </w:tcPr>
          <w:p w14:paraId="5956FC23"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330186C4" w14:textId="6AC66D2B"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Swine proportion</w:t>
            </w:r>
          </w:p>
        </w:tc>
        <w:tc>
          <w:tcPr>
            <w:tcW w:w="2268" w:type="dxa"/>
            <w:vAlign w:val="center"/>
            <w:hideMark/>
          </w:tcPr>
          <w:p w14:paraId="5C9BD129" w14:textId="4766D6C8"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 xml:space="preserve">Share of work activities dedicated to pig </w:t>
            </w:r>
            <w:r w:rsidR="00F77964">
              <w:rPr>
                <w:rFonts w:ascii="Times New Roman" w:hAnsi="Times New Roman" w:cs="Times New Roman"/>
                <w:sz w:val="20"/>
                <w:szCs w:val="20"/>
              </w:rPr>
              <w:t>consulting</w:t>
            </w:r>
          </w:p>
        </w:tc>
        <w:tc>
          <w:tcPr>
            <w:tcW w:w="2268" w:type="dxa"/>
            <w:vAlign w:val="center"/>
            <w:hideMark/>
          </w:tcPr>
          <w:p w14:paraId="60B4086E"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Quantitative (continuous)</w:t>
            </w:r>
          </w:p>
        </w:tc>
        <w:tc>
          <w:tcPr>
            <w:tcW w:w="2268" w:type="dxa"/>
            <w:vAlign w:val="center"/>
            <w:hideMark/>
          </w:tcPr>
          <w:p w14:paraId="75B44B6F" w14:textId="6DA406D0"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Percentage (0 to 100%)</w:t>
            </w:r>
          </w:p>
        </w:tc>
      </w:tr>
      <w:tr w:rsidR="007902BB" w:rsidRPr="007902BB" w14:paraId="41E40A6D" w14:textId="77777777" w:rsidTr="007902BB">
        <w:tc>
          <w:tcPr>
            <w:tcW w:w="0" w:type="auto"/>
            <w:vMerge/>
            <w:shd w:val="clear" w:color="auto" w:fill="156082" w:themeFill="accent1"/>
          </w:tcPr>
          <w:p w14:paraId="02B0A0D9"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693428CC" w14:textId="7913ABBE"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Country</w:t>
            </w:r>
          </w:p>
        </w:tc>
        <w:tc>
          <w:tcPr>
            <w:tcW w:w="2268" w:type="dxa"/>
            <w:vAlign w:val="center"/>
            <w:hideMark/>
          </w:tcPr>
          <w:p w14:paraId="110E00EA" w14:textId="0A033C4C"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Country in which the respondent mostly works</w:t>
            </w:r>
          </w:p>
        </w:tc>
        <w:tc>
          <w:tcPr>
            <w:tcW w:w="2268" w:type="dxa"/>
            <w:vAlign w:val="center"/>
            <w:hideMark/>
          </w:tcPr>
          <w:p w14:paraId="6145CC93"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4DC60CC0"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One of 30 listed European countries (e.g., France, Germany, Spain, etc.)</w:t>
            </w:r>
          </w:p>
        </w:tc>
      </w:tr>
      <w:tr w:rsidR="007902BB" w:rsidRPr="007902BB" w14:paraId="0CC28970" w14:textId="77777777" w:rsidTr="007902BB">
        <w:tc>
          <w:tcPr>
            <w:tcW w:w="0" w:type="auto"/>
            <w:vMerge w:val="restart"/>
            <w:shd w:val="clear" w:color="auto" w:fill="196B24" w:themeFill="accent3"/>
            <w:textDirection w:val="btLr"/>
            <w:vAlign w:val="center"/>
          </w:tcPr>
          <w:p w14:paraId="11CC3596" w14:textId="4F4D09E9" w:rsidR="007902BB" w:rsidRPr="007902BB" w:rsidRDefault="007902BB" w:rsidP="007902BB">
            <w:pPr>
              <w:spacing w:line="276" w:lineRule="auto"/>
              <w:ind w:left="113" w:right="113"/>
              <w:jc w:val="center"/>
              <w:rPr>
                <w:rFonts w:ascii="Times New Roman" w:hAnsi="Times New Roman" w:cs="Times New Roman"/>
                <w:b/>
                <w:bCs/>
                <w:color w:val="FFFFFF" w:themeColor="background1"/>
                <w:sz w:val="20"/>
                <w:szCs w:val="20"/>
              </w:rPr>
            </w:pPr>
            <w:r w:rsidRPr="007902BB">
              <w:rPr>
                <w:rFonts w:ascii="Times New Roman" w:hAnsi="Times New Roman" w:cs="Times New Roman"/>
                <w:b/>
                <w:bCs/>
                <w:color w:val="FFFFFF" w:themeColor="background1"/>
                <w:sz w:val="20"/>
                <w:szCs w:val="20"/>
              </w:rPr>
              <w:t>Professional interactions &amp; exchanges</w:t>
            </w:r>
          </w:p>
        </w:tc>
        <w:tc>
          <w:tcPr>
            <w:tcW w:w="1735" w:type="dxa"/>
            <w:vAlign w:val="center"/>
            <w:hideMark/>
          </w:tcPr>
          <w:p w14:paraId="6AA1299B" w14:textId="4D174C05"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Meeting frequencies</w:t>
            </w:r>
          </w:p>
        </w:tc>
        <w:tc>
          <w:tcPr>
            <w:tcW w:w="2268" w:type="dxa"/>
            <w:vAlign w:val="center"/>
            <w:hideMark/>
          </w:tcPr>
          <w:p w14:paraId="43C616BF"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Do you usually work in a team within your organization?</w:t>
            </w:r>
          </w:p>
        </w:tc>
        <w:tc>
          <w:tcPr>
            <w:tcW w:w="2268" w:type="dxa"/>
            <w:vAlign w:val="center"/>
            <w:hideMark/>
          </w:tcPr>
          <w:p w14:paraId="21636565"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(ordinal)</w:t>
            </w:r>
          </w:p>
        </w:tc>
        <w:tc>
          <w:tcPr>
            <w:tcW w:w="2268" w:type="dxa"/>
            <w:vAlign w:val="center"/>
            <w:hideMark/>
          </w:tcPr>
          <w:p w14:paraId="7D359C85" w14:textId="704E157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Never (0) – Very often (4)</w:t>
            </w:r>
          </w:p>
        </w:tc>
      </w:tr>
      <w:tr w:rsidR="007902BB" w:rsidRPr="007902BB" w14:paraId="556D02ED" w14:textId="77777777" w:rsidTr="007902BB">
        <w:tc>
          <w:tcPr>
            <w:tcW w:w="0" w:type="auto"/>
            <w:vMerge/>
            <w:shd w:val="clear" w:color="auto" w:fill="196B24" w:themeFill="accent3"/>
          </w:tcPr>
          <w:p w14:paraId="784BC42F"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5644EFF" w14:textId="623076D5"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 xml:space="preserve">Teamwork </w:t>
            </w:r>
          </w:p>
        </w:tc>
        <w:tc>
          <w:tcPr>
            <w:tcW w:w="2268" w:type="dxa"/>
            <w:vAlign w:val="center"/>
            <w:hideMark/>
          </w:tcPr>
          <w:p w14:paraId="243782F3" w14:textId="63863578"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Teamwork for Implementation of diagnosis / Techno-economic analysis / Herd monitoring / Lab result interpretation</w:t>
            </w:r>
          </w:p>
        </w:tc>
        <w:tc>
          <w:tcPr>
            <w:tcW w:w="2268" w:type="dxa"/>
            <w:vAlign w:val="center"/>
            <w:hideMark/>
          </w:tcPr>
          <w:p w14:paraId="00A776ED"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(ordinal, ranked)</w:t>
            </w:r>
          </w:p>
        </w:tc>
        <w:tc>
          <w:tcPr>
            <w:tcW w:w="2268" w:type="dxa"/>
            <w:vAlign w:val="center"/>
            <w:hideMark/>
          </w:tcPr>
          <w:p w14:paraId="338A22FD" w14:textId="243D526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From 1 to 4 (ordered)</w:t>
            </w:r>
          </w:p>
        </w:tc>
      </w:tr>
      <w:tr w:rsidR="007902BB" w:rsidRPr="007902BB" w14:paraId="0682EA4B" w14:textId="77777777" w:rsidTr="007902BB">
        <w:tc>
          <w:tcPr>
            <w:tcW w:w="0" w:type="auto"/>
            <w:vMerge/>
            <w:shd w:val="clear" w:color="auto" w:fill="196B24" w:themeFill="accent3"/>
          </w:tcPr>
          <w:p w14:paraId="08860BE3"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52161A39" w14:textId="0DB2341E"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Laboratories exchanges</w:t>
            </w:r>
          </w:p>
        </w:tc>
        <w:tc>
          <w:tcPr>
            <w:tcW w:w="2268" w:type="dxa"/>
            <w:vAlign w:val="center"/>
            <w:hideMark/>
          </w:tcPr>
          <w:p w14:paraId="34F8CFE1" w14:textId="492F034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Frequency of interaction with each peer type</w:t>
            </w:r>
          </w:p>
        </w:tc>
        <w:tc>
          <w:tcPr>
            <w:tcW w:w="2268" w:type="dxa"/>
            <w:vAlign w:val="center"/>
            <w:hideMark/>
          </w:tcPr>
          <w:p w14:paraId="484BB60B" w14:textId="3A1BCD6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(ordinal)</w:t>
            </w:r>
          </w:p>
        </w:tc>
        <w:tc>
          <w:tcPr>
            <w:tcW w:w="2268" w:type="dxa"/>
            <w:vAlign w:val="center"/>
            <w:hideMark/>
          </w:tcPr>
          <w:p w14:paraId="1B938C87" w14:textId="5659928F"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Rarely (1) – Very often (4)</w:t>
            </w:r>
          </w:p>
        </w:tc>
      </w:tr>
      <w:tr w:rsidR="007902BB" w:rsidRPr="007902BB" w14:paraId="45EFEE77" w14:textId="77777777" w:rsidTr="007902BB">
        <w:tc>
          <w:tcPr>
            <w:tcW w:w="0" w:type="auto"/>
            <w:vMerge/>
            <w:shd w:val="clear" w:color="auto" w:fill="196B24" w:themeFill="accent3"/>
          </w:tcPr>
          <w:p w14:paraId="48BF158E"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6762EB27" w14:textId="1982C4A8"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Vets’ exchanges</w:t>
            </w:r>
          </w:p>
        </w:tc>
        <w:tc>
          <w:tcPr>
            <w:tcW w:w="2268" w:type="dxa"/>
            <w:vAlign w:val="center"/>
            <w:hideMark/>
          </w:tcPr>
          <w:p w14:paraId="58E421F1" w14:textId="5D2930D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Frequency of interaction with each peer type</w:t>
            </w:r>
          </w:p>
        </w:tc>
        <w:tc>
          <w:tcPr>
            <w:tcW w:w="2268" w:type="dxa"/>
            <w:vAlign w:val="center"/>
            <w:hideMark/>
          </w:tcPr>
          <w:p w14:paraId="42F6EE2C" w14:textId="0824FADE"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(ordinal)</w:t>
            </w:r>
          </w:p>
        </w:tc>
        <w:tc>
          <w:tcPr>
            <w:tcW w:w="2268" w:type="dxa"/>
            <w:vAlign w:val="center"/>
            <w:hideMark/>
          </w:tcPr>
          <w:p w14:paraId="161BDCBD" w14:textId="0465C85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Rarely (1) – Very often (4)</w:t>
            </w:r>
          </w:p>
        </w:tc>
      </w:tr>
      <w:tr w:rsidR="007902BB" w:rsidRPr="007902BB" w14:paraId="6D8804FD" w14:textId="77777777" w:rsidTr="007902BB">
        <w:tc>
          <w:tcPr>
            <w:tcW w:w="0" w:type="auto"/>
            <w:vMerge/>
            <w:shd w:val="clear" w:color="auto" w:fill="196B24" w:themeFill="accent3"/>
          </w:tcPr>
          <w:p w14:paraId="64D76B69"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209C20BA" w14:textId="65AACF16"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Technicians’ exchanges</w:t>
            </w:r>
          </w:p>
        </w:tc>
        <w:tc>
          <w:tcPr>
            <w:tcW w:w="2268" w:type="dxa"/>
            <w:vAlign w:val="center"/>
            <w:hideMark/>
          </w:tcPr>
          <w:p w14:paraId="20A03CB7" w14:textId="47DA430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Frequency of interaction with each peer type</w:t>
            </w:r>
          </w:p>
        </w:tc>
        <w:tc>
          <w:tcPr>
            <w:tcW w:w="2268" w:type="dxa"/>
            <w:vAlign w:val="center"/>
            <w:hideMark/>
          </w:tcPr>
          <w:p w14:paraId="3E45F459" w14:textId="19613AA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(ordinal)</w:t>
            </w:r>
          </w:p>
        </w:tc>
        <w:tc>
          <w:tcPr>
            <w:tcW w:w="2268" w:type="dxa"/>
            <w:vAlign w:val="center"/>
            <w:hideMark/>
          </w:tcPr>
          <w:p w14:paraId="1CBBD932" w14:textId="0D2C71E0"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Rarely (1) – Very often (4)</w:t>
            </w:r>
          </w:p>
        </w:tc>
      </w:tr>
      <w:tr w:rsidR="007902BB" w:rsidRPr="007902BB" w14:paraId="17DE8AA3" w14:textId="77777777" w:rsidTr="007902BB">
        <w:tc>
          <w:tcPr>
            <w:tcW w:w="0" w:type="auto"/>
            <w:vMerge/>
            <w:shd w:val="clear" w:color="auto" w:fill="196B24" w:themeFill="accent3"/>
          </w:tcPr>
          <w:p w14:paraId="43A021FF"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16345619" w14:textId="374094FB"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Authorities’ exchanges</w:t>
            </w:r>
          </w:p>
        </w:tc>
        <w:tc>
          <w:tcPr>
            <w:tcW w:w="2268" w:type="dxa"/>
            <w:vAlign w:val="center"/>
            <w:hideMark/>
          </w:tcPr>
          <w:p w14:paraId="70D7BE0B" w14:textId="5CD36F9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Frequency of interaction with each peer type</w:t>
            </w:r>
          </w:p>
        </w:tc>
        <w:tc>
          <w:tcPr>
            <w:tcW w:w="2268" w:type="dxa"/>
            <w:vAlign w:val="center"/>
            <w:hideMark/>
          </w:tcPr>
          <w:p w14:paraId="1FA29858" w14:textId="1D40784F"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(ordinal)</w:t>
            </w:r>
          </w:p>
        </w:tc>
        <w:tc>
          <w:tcPr>
            <w:tcW w:w="2268" w:type="dxa"/>
            <w:vAlign w:val="center"/>
            <w:hideMark/>
          </w:tcPr>
          <w:p w14:paraId="3BBB349F" w14:textId="30901FEF"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Rarely (1) – Very often (4)</w:t>
            </w:r>
          </w:p>
        </w:tc>
      </w:tr>
      <w:tr w:rsidR="007902BB" w:rsidRPr="007902BB" w14:paraId="2CDE6A26" w14:textId="77777777" w:rsidTr="007902BB">
        <w:tc>
          <w:tcPr>
            <w:tcW w:w="0" w:type="auto"/>
            <w:vMerge/>
            <w:shd w:val="clear" w:color="auto" w:fill="196B24" w:themeFill="accent3"/>
          </w:tcPr>
          <w:p w14:paraId="01D22B1B"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4F793EA5" w14:textId="7145120B"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Continuing education</w:t>
            </w:r>
          </w:p>
        </w:tc>
        <w:tc>
          <w:tcPr>
            <w:tcW w:w="2268" w:type="dxa"/>
            <w:vAlign w:val="center"/>
            <w:hideMark/>
          </w:tcPr>
          <w:p w14:paraId="796518F4" w14:textId="142EFD83"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Frequency of involvement in evidence-</w:t>
            </w:r>
            <w:r w:rsidRPr="007902BB">
              <w:rPr>
                <w:rFonts w:ascii="Times New Roman" w:hAnsi="Times New Roman" w:cs="Times New Roman"/>
                <w:sz w:val="20"/>
                <w:szCs w:val="20"/>
              </w:rPr>
              <w:lastRenderedPageBreak/>
              <w:t>based activities (reading publications, attending congresses/seminars, trainings)</w:t>
            </w:r>
          </w:p>
        </w:tc>
        <w:tc>
          <w:tcPr>
            <w:tcW w:w="2268" w:type="dxa"/>
            <w:vAlign w:val="center"/>
            <w:hideMark/>
          </w:tcPr>
          <w:p w14:paraId="367B40C0" w14:textId="22322650"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lastRenderedPageBreak/>
              <w:t>Numerical (percentage)</w:t>
            </w:r>
          </w:p>
        </w:tc>
        <w:tc>
          <w:tcPr>
            <w:tcW w:w="2268" w:type="dxa"/>
            <w:vAlign w:val="center"/>
            <w:hideMark/>
          </w:tcPr>
          <w:p w14:paraId="316FE62F" w14:textId="3FD853D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0 to 100% of working time</w:t>
            </w:r>
          </w:p>
        </w:tc>
      </w:tr>
      <w:tr w:rsidR="007902BB" w:rsidRPr="007902BB" w14:paraId="31FF9B96" w14:textId="77777777" w:rsidTr="007902BB">
        <w:tc>
          <w:tcPr>
            <w:tcW w:w="0" w:type="auto"/>
            <w:vMerge/>
            <w:shd w:val="clear" w:color="auto" w:fill="196B24" w:themeFill="accent3"/>
          </w:tcPr>
          <w:p w14:paraId="1BCDCB3A"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6B9AFBCF" w14:textId="76CC6F11"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Performance monitoring</w:t>
            </w:r>
          </w:p>
        </w:tc>
        <w:tc>
          <w:tcPr>
            <w:tcW w:w="2268" w:type="dxa"/>
            <w:vAlign w:val="center"/>
            <w:hideMark/>
          </w:tcPr>
          <w:p w14:paraId="33BB2365" w14:textId="16FAB946"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Technical and economic performance indicators monitoring</w:t>
            </w:r>
          </w:p>
        </w:tc>
        <w:tc>
          <w:tcPr>
            <w:tcW w:w="2268" w:type="dxa"/>
            <w:vAlign w:val="center"/>
            <w:hideMark/>
          </w:tcPr>
          <w:p w14:paraId="2D49A273" w14:textId="63F18C8A" w:rsidR="007902BB" w:rsidRPr="007902BB" w:rsidRDefault="006443D5"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7CE9D790" w14:textId="28ED019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 xml:space="preserve">Yes / No / It </w:t>
            </w:r>
            <w:proofErr w:type="gramStart"/>
            <w:r w:rsidRPr="007902BB">
              <w:rPr>
                <w:rFonts w:ascii="Times New Roman" w:hAnsi="Times New Roman" w:cs="Times New Roman"/>
                <w:sz w:val="20"/>
                <w:szCs w:val="20"/>
              </w:rPr>
              <w:t>depends</w:t>
            </w:r>
            <w:proofErr w:type="gramEnd"/>
          </w:p>
        </w:tc>
      </w:tr>
      <w:tr w:rsidR="007902BB" w:rsidRPr="007902BB" w14:paraId="5910C18C" w14:textId="77777777" w:rsidTr="007902BB">
        <w:tc>
          <w:tcPr>
            <w:tcW w:w="0" w:type="auto"/>
            <w:vMerge w:val="restart"/>
            <w:shd w:val="clear" w:color="auto" w:fill="E97132" w:themeFill="accent2"/>
            <w:textDirection w:val="btLr"/>
            <w:vAlign w:val="center"/>
          </w:tcPr>
          <w:p w14:paraId="5A3AA09D" w14:textId="764A320C" w:rsidR="007902BB" w:rsidRPr="007902BB" w:rsidRDefault="007902BB" w:rsidP="007902BB">
            <w:pPr>
              <w:spacing w:line="276" w:lineRule="auto"/>
              <w:ind w:left="113" w:right="113"/>
              <w:jc w:val="center"/>
              <w:rPr>
                <w:rFonts w:ascii="Times New Roman" w:hAnsi="Times New Roman" w:cs="Times New Roman"/>
                <w:b/>
                <w:bCs/>
                <w:color w:val="FFFFFF" w:themeColor="background1"/>
                <w:sz w:val="20"/>
                <w:szCs w:val="20"/>
              </w:rPr>
            </w:pPr>
            <w:r w:rsidRPr="007902BB">
              <w:rPr>
                <w:rFonts w:ascii="Times New Roman" w:hAnsi="Times New Roman" w:cs="Times New Roman"/>
                <w:b/>
                <w:bCs/>
                <w:color w:val="FFFFFF" w:themeColor="background1"/>
                <w:sz w:val="20"/>
                <w:szCs w:val="20"/>
              </w:rPr>
              <w:t>Evidence-Based Veterinary Medicine</w:t>
            </w:r>
          </w:p>
        </w:tc>
        <w:tc>
          <w:tcPr>
            <w:tcW w:w="1735" w:type="dxa"/>
            <w:vAlign w:val="center"/>
            <w:hideMark/>
          </w:tcPr>
          <w:p w14:paraId="27CA4027" w14:textId="40FA37C7"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Knowledge</w:t>
            </w:r>
          </w:p>
        </w:tc>
        <w:tc>
          <w:tcPr>
            <w:tcW w:w="2268" w:type="dxa"/>
            <w:vAlign w:val="center"/>
            <w:hideMark/>
          </w:tcPr>
          <w:p w14:paraId="150BE4AC"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Had you heard of Evidence-Based Medicine (EBM) before we contacted you?</w:t>
            </w:r>
          </w:p>
        </w:tc>
        <w:tc>
          <w:tcPr>
            <w:tcW w:w="2268" w:type="dxa"/>
            <w:vAlign w:val="center"/>
            <w:hideMark/>
          </w:tcPr>
          <w:p w14:paraId="04505F6C"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1A6969E9"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5CAA7A77" w14:textId="77777777" w:rsidTr="007902BB">
        <w:tc>
          <w:tcPr>
            <w:tcW w:w="0" w:type="auto"/>
            <w:vMerge/>
            <w:shd w:val="clear" w:color="auto" w:fill="E97132" w:themeFill="accent2"/>
          </w:tcPr>
          <w:p w14:paraId="5DB5E414"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2D426D4F" w14:textId="16308047"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Usefulness</w:t>
            </w:r>
          </w:p>
        </w:tc>
        <w:tc>
          <w:tcPr>
            <w:tcW w:w="2268" w:type="dxa"/>
            <w:vAlign w:val="center"/>
            <w:hideMark/>
          </w:tcPr>
          <w:p w14:paraId="68684351"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Do you find this approach useful in supporting decision-making?</w:t>
            </w:r>
          </w:p>
        </w:tc>
        <w:tc>
          <w:tcPr>
            <w:tcW w:w="2268" w:type="dxa"/>
            <w:vAlign w:val="center"/>
            <w:hideMark/>
          </w:tcPr>
          <w:p w14:paraId="02EB6F8B" w14:textId="36D3BAED" w:rsidR="007902BB" w:rsidRPr="007902BB" w:rsidRDefault="006443D5"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1D22D74E"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 xml:space="preserve">Yes / No / It </w:t>
            </w:r>
            <w:proofErr w:type="gramStart"/>
            <w:r w:rsidRPr="007902BB">
              <w:rPr>
                <w:rFonts w:ascii="Times New Roman" w:hAnsi="Times New Roman" w:cs="Times New Roman"/>
                <w:sz w:val="20"/>
                <w:szCs w:val="20"/>
              </w:rPr>
              <w:t>depends</w:t>
            </w:r>
            <w:proofErr w:type="gramEnd"/>
          </w:p>
        </w:tc>
      </w:tr>
      <w:tr w:rsidR="007902BB" w:rsidRPr="007902BB" w14:paraId="4F64C9BE" w14:textId="77777777" w:rsidTr="007902BB">
        <w:tc>
          <w:tcPr>
            <w:tcW w:w="0" w:type="auto"/>
            <w:vMerge/>
            <w:shd w:val="clear" w:color="auto" w:fill="E97132" w:themeFill="accent2"/>
          </w:tcPr>
          <w:p w14:paraId="480C3E5A"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51811DE0" w14:textId="25FBCDA0"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Barriers</w:t>
            </w:r>
          </w:p>
        </w:tc>
        <w:tc>
          <w:tcPr>
            <w:tcW w:w="2268" w:type="dxa"/>
            <w:vAlign w:val="center"/>
            <w:hideMark/>
          </w:tcPr>
          <w:p w14:paraId="61640658"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Do you have any reluctance or barriers to using the EBM approach?</w:t>
            </w:r>
          </w:p>
        </w:tc>
        <w:tc>
          <w:tcPr>
            <w:tcW w:w="2268" w:type="dxa"/>
            <w:vAlign w:val="center"/>
            <w:hideMark/>
          </w:tcPr>
          <w:p w14:paraId="5554545B"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1F35009A"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082947DA" w14:textId="77777777" w:rsidTr="007902BB">
        <w:tc>
          <w:tcPr>
            <w:tcW w:w="0" w:type="auto"/>
            <w:vMerge/>
            <w:shd w:val="clear" w:color="auto" w:fill="E97132" w:themeFill="accent2"/>
          </w:tcPr>
          <w:p w14:paraId="3BF5AD21"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D78031C" w14:textId="18C0EAA0"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Development in practice</w:t>
            </w:r>
          </w:p>
        </w:tc>
        <w:tc>
          <w:tcPr>
            <w:tcW w:w="2268" w:type="dxa"/>
            <w:vAlign w:val="center"/>
            <w:hideMark/>
          </w:tcPr>
          <w:p w14:paraId="501BF109" w14:textId="185C315C"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In your opinion, is the EBM approach sufficiently developed in daily practice?</w:t>
            </w:r>
          </w:p>
        </w:tc>
        <w:tc>
          <w:tcPr>
            <w:tcW w:w="2268" w:type="dxa"/>
            <w:vAlign w:val="center"/>
          </w:tcPr>
          <w:p w14:paraId="5AFAC906" w14:textId="30AE886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Ordinal (Likert)</w:t>
            </w:r>
          </w:p>
        </w:tc>
        <w:tc>
          <w:tcPr>
            <w:tcW w:w="2268" w:type="dxa"/>
            <w:vAlign w:val="center"/>
          </w:tcPr>
          <w:p w14:paraId="435A3B3D" w14:textId="5F8F63A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Strongly disagree /</w:t>
            </w:r>
          </w:p>
          <w:p w14:paraId="3B225F4B" w14:textId="1AEEF1E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2 = Somewhat disagree /</w:t>
            </w:r>
          </w:p>
          <w:p w14:paraId="61FED474" w14:textId="779F739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3 = Somewhat agree / 4 = Strongly agree</w:t>
            </w:r>
          </w:p>
        </w:tc>
      </w:tr>
      <w:tr w:rsidR="007902BB" w:rsidRPr="007902BB" w14:paraId="61E0DC32" w14:textId="77777777" w:rsidTr="007902BB">
        <w:tc>
          <w:tcPr>
            <w:tcW w:w="0" w:type="auto"/>
            <w:vMerge w:val="restart"/>
            <w:shd w:val="clear" w:color="auto" w:fill="A02B93" w:themeFill="accent5"/>
            <w:textDirection w:val="btLr"/>
            <w:vAlign w:val="center"/>
          </w:tcPr>
          <w:p w14:paraId="1B327866" w14:textId="7C4C6333" w:rsidR="007902BB" w:rsidRPr="007902BB" w:rsidRDefault="007902BB" w:rsidP="007902BB">
            <w:pPr>
              <w:spacing w:line="276" w:lineRule="auto"/>
              <w:ind w:left="113" w:right="113"/>
              <w:jc w:val="center"/>
              <w:rPr>
                <w:rFonts w:ascii="Times New Roman" w:hAnsi="Times New Roman" w:cs="Times New Roman"/>
                <w:b/>
                <w:bCs/>
                <w:color w:val="FFFFFF" w:themeColor="background1"/>
                <w:sz w:val="20"/>
                <w:szCs w:val="20"/>
              </w:rPr>
            </w:pPr>
            <w:r w:rsidRPr="007902BB">
              <w:rPr>
                <w:rFonts w:ascii="Times New Roman" w:hAnsi="Times New Roman" w:cs="Times New Roman"/>
                <w:b/>
                <w:bCs/>
                <w:color w:val="FFFFFF" w:themeColor="background1"/>
                <w:sz w:val="20"/>
                <w:szCs w:val="20"/>
              </w:rPr>
              <w:t>PRRSV management and practices</w:t>
            </w:r>
          </w:p>
        </w:tc>
        <w:tc>
          <w:tcPr>
            <w:tcW w:w="1735" w:type="dxa"/>
            <w:vAlign w:val="center"/>
            <w:hideMark/>
          </w:tcPr>
          <w:p w14:paraId="77EECB26" w14:textId="5AFF9CE2"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Prevalence</w:t>
            </w:r>
          </w:p>
        </w:tc>
        <w:tc>
          <w:tcPr>
            <w:tcW w:w="2268" w:type="dxa"/>
            <w:vAlign w:val="center"/>
            <w:hideMark/>
          </w:tcPr>
          <w:p w14:paraId="1EF47548" w14:textId="6066DE0C"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Estimated prevalence of PRRSV in the respondent’s country</w:t>
            </w:r>
          </w:p>
        </w:tc>
        <w:tc>
          <w:tcPr>
            <w:tcW w:w="2268" w:type="dxa"/>
            <w:vAlign w:val="center"/>
            <w:hideMark/>
          </w:tcPr>
          <w:p w14:paraId="23440407"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Quantitative (continuous)</w:t>
            </w:r>
          </w:p>
        </w:tc>
        <w:tc>
          <w:tcPr>
            <w:tcW w:w="2268" w:type="dxa"/>
            <w:vAlign w:val="center"/>
            <w:hideMark/>
          </w:tcPr>
          <w:p w14:paraId="035B5537" w14:textId="72A4B8DF"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Percentage (0 to 100%)</w:t>
            </w:r>
          </w:p>
        </w:tc>
      </w:tr>
      <w:tr w:rsidR="007902BB" w:rsidRPr="007902BB" w14:paraId="198670E8" w14:textId="77777777" w:rsidTr="007902BB">
        <w:tc>
          <w:tcPr>
            <w:tcW w:w="0" w:type="auto"/>
            <w:vMerge/>
            <w:shd w:val="clear" w:color="auto" w:fill="A02B93" w:themeFill="accent5"/>
          </w:tcPr>
          <w:p w14:paraId="4313DE3F"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A6C535E" w14:textId="7A41A2EA"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Genotype</w:t>
            </w:r>
          </w:p>
        </w:tc>
        <w:tc>
          <w:tcPr>
            <w:tcW w:w="2268" w:type="dxa"/>
            <w:vAlign w:val="center"/>
            <w:hideMark/>
          </w:tcPr>
          <w:p w14:paraId="78C6F185" w14:textId="7AB0D4A9"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PRRSV genotypes encountered</w:t>
            </w:r>
          </w:p>
        </w:tc>
        <w:tc>
          <w:tcPr>
            <w:tcW w:w="2268" w:type="dxa"/>
            <w:vAlign w:val="center"/>
            <w:hideMark/>
          </w:tcPr>
          <w:p w14:paraId="032C7A40" w14:textId="34076DFD"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5C5A9156" w14:textId="3622558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Type I / Type II / Both / None</w:t>
            </w:r>
          </w:p>
        </w:tc>
      </w:tr>
      <w:tr w:rsidR="007902BB" w:rsidRPr="007902BB" w14:paraId="7ECBD563" w14:textId="77777777" w:rsidTr="007902BB">
        <w:tc>
          <w:tcPr>
            <w:tcW w:w="0" w:type="auto"/>
            <w:vMerge/>
            <w:shd w:val="clear" w:color="auto" w:fill="A02B93" w:themeFill="accent5"/>
          </w:tcPr>
          <w:p w14:paraId="3AD948EE"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2D63304A" w14:textId="5876F9F7" w:rsidR="007902BB" w:rsidRPr="007902BB" w:rsidRDefault="00F77964" w:rsidP="007902BB">
            <w:pPr>
              <w:spacing w:line="276" w:lineRule="auto"/>
              <w:rPr>
                <w:rFonts w:ascii="Times New Roman" w:hAnsi="Times New Roman" w:cs="Times New Roman"/>
                <w:b/>
                <w:bCs/>
                <w:sz w:val="20"/>
                <w:szCs w:val="20"/>
              </w:rPr>
            </w:pPr>
            <w:r>
              <w:rPr>
                <w:rFonts w:ascii="Times New Roman" w:hAnsi="Times New Roman" w:cs="Times New Roman"/>
                <w:b/>
                <w:bCs/>
                <w:sz w:val="20"/>
                <w:szCs w:val="20"/>
              </w:rPr>
              <w:t>Sampling</w:t>
            </w:r>
          </w:p>
        </w:tc>
        <w:tc>
          <w:tcPr>
            <w:tcW w:w="2268" w:type="dxa"/>
            <w:vAlign w:val="center"/>
            <w:hideMark/>
          </w:tcPr>
          <w:p w14:paraId="5140600C"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Who primarily performs the biological samplings</w:t>
            </w:r>
          </w:p>
        </w:tc>
        <w:tc>
          <w:tcPr>
            <w:tcW w:w="2268" w:type="dxa"/>
            <w:vAlign w:val="center"/>
            <w:hideMark/>
          </w:tcPr>
          <w:p w14:paraId="2DB18C0B"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0F565A1D"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Farmer / Myself / Technician / Other</w:t>
            </w:r>
          </w:p>
        </w:tc>
      </w:tr>
      <w:tr w:rsidR="007902BB" w:rsidRPr="007902BB" w14:paraId="7CB70593" w14:textId="77777777" w:rsidTr="007902BB">
        <w:tc>
          <w:tcPr>
            <w:tcW w:w="0" w:type="auto"/>
            <w:vMerge/>
            <w:shd w:val="clear" w:color="auto" w:fill="A02B93" w:themeFill="accent5"/>
          </w:tcPr>
          <w:p w14:paraId="04E6E519"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458235AB" w14:textId="3CCFA482"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Lab access</w:t>
            </w:r>
          </w:p>
        </w:tc>
        <w:tc>
          <w:tcPr>
            <w:tcW w:w="2268" w:type="dxa"/>
            <w:vAlign w:val="center"/>
            <w:hideMark/>
          </w:tcPr>
          <w:p w14:paraId="2F51CDD8" w14:textId="7E09349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Easy access to diagnostic laboratory facilities</w:t>
            </w:r>
          </w:p>
        </w:tc>
        <w:tc>
          <w:tcPr>
            <w:tcW w:w="2268" w:type="dxa"/>
            <w:vAlign w:val="center"/>
            <w:hideMark/>
          </w:tcPr>
          <w:p w14:paraId="7052A072" w14:textId="6DF6CD0D"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2CE23279" w14:textId="5BC23A60"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6E0EE4" w:rsidRPr="007902BB" w14:paraId="3FAC6F2D" w14:textId="77777777" w:rsidTr="006E0EE4">
        <w:tc>
          <w:tcPr>
            <w:tcW w:w="0" w:type="auto"/>
            <w:vMerge/>
            <w:shd w:val="clear" w:color="auto" w:fill="A02B93" w:themeFill="accent5"/>
          </w:tcPr>
          <w:p w14:paraId="6BF1D605" w14:textId="77777777" w:rsidR="006E0EE4" w:rsidRPr="007902BB" w:rsidRDefault="006E0EE4" w:rsidP="006E0EE4">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B198A87" w14:textId="0AFB7630" w:rsidR="006E0EE4" w:rsidRPr="007902BB" w:rsidRDefault="006E0EE4" w:rsidP="006E0EE4">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Partial sequencing</w:t>
            </w:r>
          </w:p>
        </w:tc>
        <w:tc>
          <w:tcPr>
            <w:tcW w:w="2268" w:type="dxa"/>
            <w:vAlign w:val="center"/>
            <w:hideMark/>
          </w:tcPr>
          <w:p w14:paraId="1DE4669D" w14:textId="77777777" w:rsidR="006E0EE4" w:rsidRPr="007902BB" w:rsidRDefault="006E0EE4" w:rsidP="006E0EE4">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Access to partial sequencing (e.g., ORF5 and/or ORF7)</w:t>
            </w:r>
          </w:p>
        </w:tc>
        <w:tc>
          <w:tcPr>
            <w:tcW w:w="2268" w:type="dxa"/>
            <w:vAlign w:val="center"/>
            <w:hideMark/>
          </w:tcPr>
          <w:p w14:paraId="5E415B64" w14:textId="1E630224" w:rsidR="006E0EE4" w:rsidRPr="007902BB" w:rsidRDefault="006E0EE4" w:rsidP="006E0EE4">
            <w:pPr>
              <w:spacing w:line="276" w:lineRule="auto"/>
              <w:jc w:val="center"/>
              <w:rPr>
                <w:rFonts w:ascii="Times New Roman" w:hAnsi="Times New Roman" w:cs="Times New Roman"/>
                <w:sz w:val="20"/>
                <w:szCs w:val="20"/>
              </w:rPr>
            </w:pPr>
            <w:r w:rsidRPr="005428B5">
              <w:rPr>
                <w:rFonts w:ascii="Times New Roman" w:hAnsi="Times New Roman" w:cs="Times New Roman"/>
                <w:sz w:val="20"/>
                <w:szCs w:val="20"/>
              </w:rPr>
              <w:t>Categorical (nominal)</w:t>
            </w:r>
          </w:p>
        </w:tc>
        <w:tc>
          <w:tcPr>
            <w:tcW w:w="2268" w:type="dxa"/>
            <w:vAlign w:val="center"/>
            <w:hideMark/>
          </w:tcPr>
          <w:p w14:paraId="0C5BFAAD" w14:textId="548AFC73" w:rsidR="006E0EE4" w:rsidRPr="007902BB" w:rsidRDefault="006E0EE4" w:rsidP="006E0EE4">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Don’t know</w:t>
            </w:r>
          </w:p>
        </w:tc>
      </w:tr>
      <w:tr w:rsidR="006E0EE4" w:rsidRPr="007902BB" w14:paraId="5A9F8584" w14:textId="77777777" w:rsidTr="006E0EE4">
        <w:tc>
          <w:tcPr>
            <w:tcW w:w="0" w:type="auto"/>
            <w:vMerge/>
            <w:shd w:val="clear" w:color="auto" w:fill="A02B93" w:themeFill="accent5"/>
          </w:tcPr>
          <w:p w14:paraId="6A46D2CB" w14:textId="77777777" w:rsidR="006E0EE4" w:rsidRPr="007902BB" w:rsidRDefault="006E0EE4" w:rsidP="006E0EE4">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5531F141" w14:textId="20AFF9E1" w:rsidR="006E0EE4" w:rsidRPr="007902BB" w:rsidRDefault="006E0EE4" w:rsidP="006E0EE4">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Whole</w:t>
            </w:r>
            <w:r w:rsidR="00F77964">
              <w:rPr>
                <w:rFonts w:ascii="Times New Roman" w:hAnsi="Times New Roman" w:cs="Times New Roman"/>
                <w:b/>
                <w:bCs/>
                <w:sz w:val="20"/>
                <w:szCs w:val="20"/>
              </w:rPr>
              <w:t xml:space="preserve"> genome</w:t>
            </w:r>
            <w:r w:rsidRPr="007902BB">
              <w:rPr>
                <w:rFonts w:ascii="Times New Roman" w:hAnsi="Times New Roman" w:cs="Times New Roman"/>
                <w:b/>
                <w:bCs/>
                <w:sz w:val="20"/>
                <w:szCs w:val="20"/>
              </w:rPr>
              <w:t xml:space="preserve"> sequencing</w:t>
            </w:r>
          </w:p>
        </w:tc>
        <w:tc>
          <w:tcPr>
            <w:tcW w:w="2268" w:type="dxa"/>
            <w:vAlign w:val="center"/>
            <w:hideMark/>
          </w:tcPr>
          <w:p w14:paraId="780137A1" w14:textId="77777777" w:rsidR="006E0EE4" w:rsidRPr="007902BB" w:rsidRDefault="006E0EE4" w:rsidP="006E0EE4">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Access to full genome sequencing</w:t>
            </w:r>
          </w:p>
        </w:tc>
        <w:tc>
          <w:tcPr>
            <w:tcW w:w="2268" w:type="dxa"/>
            <w:vAlign w:val="center"/>
            <w:hideMark/>
          </w:tcPr>
          <w:p w14:paraId="61C026B4" w14:textId="1591DFB2" w:rsidR="006E0EE4" w:rsidRPr="007902BB" w:rsidRDefault="006E0EE4" w:rsidP="006E0EE4">
            <w:pPr>
              <w:spacing w:line="276" w:lineRule="auto"/>
              <w:jc w:val="center"/>
              <w:rPr>
                <w:rFonts w:ascii="Times New Roman" w:hAnsi="Times New Roman" w:cs="Times New Roman"/>
                <w:sz w:val="20"/>
                <w:szCs w:val="20"/>
              </w:rPr>
            </w:pPr>
            <w:r w:rsidRPr="005428B5">
              <w:rPr>
                <w:rFonts w:ascii="Times New Roman" w:hAnsi="Times New Roman" w:cs="Times New Roman"/>
                <w:sz w:val="20"/>
                <w:szCs w:val="20"/>
              </w:rPr>
              <w:t>Categorical (nominal)</w:t>
            </w:r>
          </w:p>
        </w:tc>
        <w:tc>
          <w:tcPr>
            <w:tcW w:w="2268" w:type="dxa"/>
            <w:vAlign w:val="center"/>
            <w:hideMark/>
          </w:tcPr>
          <w:p w14:paraId="2399B41D" w14:textId="4D69A313" w:rsidR="006E0EE4" w:rsidRPr="007902BB" w:rsidRDefault="006E0EE4" w:rsidP="006E0EE4">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Don</w:t>
            </w:r>
            <w:r w:rsidR="00FC0E38">
              <w:rPr>
                <w:rFonts w:ascii="Times New Roman" w:hAnsi="Times New Roman" w:cs="Times New Roman"/>
                <w:sz w:val="20"/>
                <w:szCs w:val="20"/>
              </w:rPr>
              <w:t>’</w:t>
            </w:r>
            <w:r w:rsidRPr="007902BB">
              <w:rPr>
                <w:rFonts w:ascii="Times New Roman" w:hAnsi="Times New Roman" w:cs="Times New Roman"/>
                <w:sz w:val="20"/>
                <w:szCs w:val="20"/>
              </w:rPr>
              <w:t>t know</w:t>
            </w:r>
          </w:p>
        </w:tc>
      </w:tr>
      <w:tr w:rsidR="007902BB" w:rsidRPr="007902BB" w14:paraId="68EABDCD" w14:textId="77777777" w:rsidTr="007902BB">
        <w:tc>
          <w:tcPr>
            <w:tcW w:w="0" w:type="auto"/>
            <w:vMerge/>
            <w:shd w:val="clear" w:color="auto" w:fill="A02B93" w:themeFill="accent5"/>
          </w:tcPr>
          <w:p w14:paraId="50DD86B9"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34D1EFA5" w14:textId="3A119DBF"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PRRSV cases</w:t>
            </w:r>
          </w:p>
        </w:tc>
        <w:tc>
          <w:tcPr>
            <w:tcW w:w="2268" w:type="dxa"/>
            <w:vAlign w:val="center"/>
            <w:hideMark/>
          </w:tcPr>
          <w:p w14:paraId="74E36CD9" w14:textId="5E372A2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Frequency of PRRSV clinical cases encountered in practice</w:t>
            </w:r>
          </w:p>
        </w:tc>
        <w:tc>
          <w:tcPr>
            <w:tcW w:w="2268" w:type="dxa"/>
            <w:vAlign w:val="center"/>
            <w:hideMark/>
          </w:tcPr>
          <w:p w14:paraId="53D3ADDA" w14:textId="60586993"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Ordinal (Likert)</w:t>
            </w:r>
          </w:p>
        </w:tc>
        <w:tc>
          <w:tcPr>
            <w:tcW w:w="2268" w:type="dxa"/>
            <w:vAlign w:val="center"/>
            <w:hideMark/>
          </w:tcPr>
          <w:p w14:paraId="2E279B45" w14:textId="0558F06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0 = Never /</w:t>
            </w:r>
          </w:p>
          <w:p w14:paraId="03F8D0CF" w14:textId="400BC89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Rarely /</w:t>
            </w:r>
          </w:p>
          <w:p w14:paraId="276A15D7" w14:textId="1F1BC1B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2 = Occasionally</w:t>
            </w:r>
          </w:p>
          <w:p w14:paraId="7888B7E7" w14:textId="06E285E9"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(&lt;6 cases/year) /</w:t>
            </w:r>
          </w:p>
          <w:p w14:paraId="4DF0F52F" w14:textId="3B37F09F"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3 = Often</w:t>
            </w:r>
          </w:p>
          <w:p w14:paraId="46F437F3" w14:textId="6C16C758"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case/month) /</w:t>
            </w:r>
          </w:p>
          <w:p w14:paraId="7AC1691F" w14:textId="40EA750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4 = Very often</w:t>
            </w:r>
          </w:p>
        </w:tc>
      </w:tr>
      <w:tr w:rsidR="007902BB" w:rsidRPr="007902BB" w14:paraId="66D7491E" w14:textId="77777777" w:rsidTr="007902BB">
        <w:tc>
          <w:tcPr>
            <w:tcW w:w="0" w:type="auto"/>
            <w:vMerge/>
            <w:shd w:val="clear" w:color="auto" w:fill="A02B93" w:themeFill="accent5"/>
          </w:tcPr>
          <w:p w14:paraId="00AB6FDB"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E5FA644" w14:textId="5D8634FB"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Diagnostic procedure</w:t>
            </w:r>
          </w:p>
        </w:tc>
        <w:tc>
          <w:tcPr>
            <w:tcW w:w="2268" w:type="dxa"/>
            <w:vAlign w:val="center"/>
            <w:hideMark/>
          </w:tcPr>
          <w:p w14:paraId="367A8487"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Presence of predefined diagnostic procedures</w:t>
            </w:r>
          </w:p>
        </w:tc>
        <w:tc>
          <w:tcPr>
            <w:tcW w:w="2268" w:type="dxa"/>
            <w:vAlign w:val="center"/>
            <w:hideMark/>
          </w:tcPr>
          <w:p w14:paraId="153AF268"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11723E93"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6A6D6B0D" w14:textId="77777777" w:rsidTr="007902BB">
        <w:tc>
          <w:tcPr>
            <w:tcW w:w="0" w:type="auto"/>
            <w:vMerge/>
            <w:shd w:val="clear" w:color="auto" w:fill="A02B93" w:themeFill="accent5"/>
          </w:tcPr>
          <w:p w14:paraId="26837031"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6C1CFB2F" w14:textId="4BEEE2E6"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Company consensus for diagnostic</w:t>
            </w:r>
          </w:p>
        </w:tc>
        <w:tc>
          <w:tcPr>
            <w:tcW w:w="2268" w:type="dxa"/>
            <w:vAlign w:val="center"/>
            <w:hideMark/>
          </w:tcPr>
          <w:p w14:paraId="2EDD1A82"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Basis of diagnostic procedures</w:t>
            </w:r>
          </w:p>
        </w:tc>
        <w:tc>
          <w:tcPr>
            <w:tcW w:w="2268" w:type="dxa"/>
            <w:vAlign w:val="center"/>
            <w:hideMark/>
          </w:tcPr>
          <w:p w14:paraId="734EBE5F" w14:textId="58E4BEB3"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2EEA37DA" w14:textId="4C7CE39C"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2B41DB36" w14:textId="77777777" w:rsidTr="007902BB">
        <w:tc>
          <w:tcPr>
            <w:tcW w:w="0" w:type="auto"/>
            <w:vMerge/>
            <w:shd w:val="clear" w:color="auto" w:fill="A02B93" w:themeFill="accent5"/>
          </w:tcPr>
          <w:p w14:paraId="45FAB564"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tcPr>
          <w:p w14:paraId="63A9953F" w14:textId="1B73D68E"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Regulatory recommendations for diagnostic</w:t>
            </w:r>
          </w:p>
        </w:tc>
        <w:tc>
          <w:tcPr>
            <w:tcW w:w="2268" w:type="dxa"/>
            <w:vAlign w:val="center"/>
          </w:tcPr>
          <w:p w14:paraId="7BCF796F" w14:textId="2A4D3B0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Basis of diagnostic procedures</w:t>
            </w:r>
          </w:p>
        </w:tc>
        <w:tc>
          <w:tcPr>
            <w:tcW w:w="2268" w:type="dxa"/>
            <w:vAlign w:val="center"/>
          </w:tcPr>
          <w:p w14:paraId="61729893" w14:textId="7759B6F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tcPr>
          <w:p w14:paraId="045425FC" w14:textId="08585994"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4E009A4F" w14:textId="77777777" w:rsidTr="007902BB">
        <w:tc>
          <w:tcPr>
            <w:tcW w:w="0" w:type="auto"/>
            <w:vMerge/>
            <w:shd w:val="clear" w:color="auto" w:fill="A02B93" w:themeFill="accent5"/>
          </w:tcPr>
          <w:p w14:paraId="29C665CC"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tcPr>
          <w:p w14:paraId="2D89798F" w14:textId="3E0D92D2"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Professional consensus for diagnostic</w:t>
            </w:r>
          </w:p>
        </w:tc>
        <w:tc>
          <w:tcPr>
            <w:tcW w:w="2268" w:type="dxa"/>
            <w:vAlign w:val="center"/>
          </w:tcPr>
          <w:p w14:paraId="0E09366C" w14:textId="2C9CB0B1"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Basis of diagnostic procedures</w:t>
            </w:r>
          </w:p>
        </w:tc>
        <w:tc>
          <w:tcPr>
            <w:tcW w:w="2268" w:type="dxa"/>
            <w:vAlign w:val="center"/>
          </w:tcPr>
          <w:p w14:paraId="12798E0D" w14:textId="522C5AD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tcPr>
          <w:p w14:paraId="5C4B40C5" w14:textId="176029CD"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22266F3B" w14:textId="77777777" w:rsidTr="007902BB">
        <w:tc>
          <w:tcPr>
            <w:tcW w:w="0" w:type="auto"/>
            <w:vMerge/>
            <w:shd w:val="clear" w:color="auto" w:fill="A02B93" w:themeFill="accent5"/>
          </w:tcPr>
          <w:p w14:paraId="07B19BAF"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58F7AA4F" w14:textId="3B3BFEFA"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 xml:space="preserve">Sow diagnostic tools </w:t>
            </w:r>
          </w:p>
        </w:tc>
        <w:tc>
          <w:tcPr>
            <w:tcW w:w="2268" w:type="dxa"/>
            <w:vAlign w:val="center"/>
            <w:hideMark/>
          </w:tcPr>
          <w:p w14:paraId="304D80ED"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Sufficiency of resources to diagnose in sows</w:t>
            </w:r>
          </w:p>
        </w:tc>
        <w:tc>
          <w:tcPr>
            <w:tcW w:w="2268" w:type="dxa"/>
            <w:vAlign w:val="center"/>
            <w:hideMark/>
          </w:tcPr>
          <w:p w14:paraId="2857D0FA"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4BF8C83B"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07863003" w14:textId="77777777" w:rsidTr="007902BB">
        <w:tc>
          <w:tcPr>
            <w:tcW w:w="0" w:type="auto"/>
            <w:vMerge/>
            <w:shd w:val="clear" w:color="auto" w:fill="A02B93" w:themeFill="accent5"/>
          </w:tcPr>
          <w:p w14:paraId="0E03533E"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2F968D2B" w14:textId="43AE3A67"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 xml:space="preserve">Piglets’ diagnostic tools </w:t>
            </w:r>
          </w:p>
        </w:tc>
        <w:tc>
          <w:tcPr>
            <w:tcW w:w="2268" w:type="dxa"/>
            <w:vAlign w:val="center"/>
            <w:hideMark/>
          </w:tcPr>
          <w:p w14:paraId="3DB26C1C" w14:textId="7B52AEB2"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Sufficiency of resources to diagnose in post-weaning/fattening pigs</w:t>
            </w:r>
          </w:p>
        </w:tc>
        <w:tc>
          <w:tcPr>
            <w:tcW w:w="2268" w:type="dxa"/>
            <w:vAlign w:val="center"/>
            <w:hideMark/>
          </w:tcPr>
          <w:p w14:paraId="00EA3E93" w14:textId="1A4A887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356F3D0F" w14:textId="4696911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3A4A9DCC" w14:textId="77777777" w:rsidTr="007902BB">
        <w:tc>
          <w:tcPr>
            <w:tcW w:w="0" w:type="auto"/>
            <w:vMerge/>
            <w:shd w:val="clear" w:color="auto" w:fill="A02B93" w:themeFill="accent5"/>
          </w:tcPr>
          <w:p w14:paraId="19A6AB65"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41EC8D93" w14:textId="309D327D"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MLV1 access</w:t>
            </w:r>
          </w:p>
        </w:tc>
        <w:tc>
          <w:tcPr>
            <w:tcW w:w="2268" w:type="dxa"/>
            <w:vAlign w:val="center"/>
            <w:hideMark/>
          </w:tcPr>
          <w:p w14:paraId="2B0019DE"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Access to PRRS vaccines</w:t>
            </w:r>
          </w:p>
        </w:tc>
        <w:tc>
          <w:tcPr>
            <w:tcW w:w="2268" w:type="dxa"/>
            <w:vAlign w:val="center"/>
            <w:hideMark/>
          </w:tcPr>
          <w:p w14:paraId="3DED2ED8" w14:textId="142A1E93"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4F2ADC19" w14:textId="454512CD"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085CC62F" w14:textId="77777777" w:rsidTr="007902BB">
        <w:tc>
          <w:tcPr>
            <w:tcW w:w="0" w:type="auto"/>
            <w:vMerge/>
            <w:shd w:val="clear" w:color="auto" w:fill="A02B93" w:themeFill="accent5"/>
          </w:tcPr>
          <w:p w14:paraId="5ECF5919"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tcPr>
          <w:p w14:paraId="2F44BF4D" w14:textId="2A0A0E32"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MLV2 access</w:t>
            </w:r>
          </w:p>
        </w:tc>
        <w:tc>
          <w:tcPr>
            <w:tcW w:w="2268" w:type="dxa"/>
            <w:vAlign w:val="center"/>
          </w:tcPr>
          <w:p w14:paraId="7B6BB247" w14:textId="30DFDC6F"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Access to PRRS vaccines</w:t>
            </w:r>
          </w:p>
        </w:tc>
        <w:tc>
          <w:tcPr>
            <w:tcW w:w="2268" w:type="dxa"/>
            <w:vAlign w:val="center"/>
          </w:tcPr>
          <w:p w14:paraId="6DA34EAB" w14:textId="6C1B9ADE"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tcPr>
          <w:p w14:paraId="2D0DE025" w14:textId="406BC2C1"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76B1EC67" w14:textId="77777777" w:rsidTr="007902BB">
        <w:tc>
          <w:tcPr>
            <w:tcW w:w="0" w:type="auto"/>
            <w:vMerge/>
            <w:shd w:val="clear" w:color="auto" w:fill="A02B93" w:themeFill="accent5"/>
          </w:tcPr>
          <w:p w14:paraId="53EA412A"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tcPr>
          <w:p w14:paraId="3D05DDED" w14:textId="5399F21E"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Inactivated vaccine access</w:t>
            </w:r>
          </w:p>
        </w:tc>
        <w:tc>
          <w:tcPr>
            <w:tcW w:w="2268" w:type="dxa"/>
            <w:vAlign w:val="center"/>
          </w:tcPr>
          <w:p w14:paraId="251F9482" w14:textId="768B6A34"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Access to PRRS vaccines</w:t>
            </w:r>
          </w:p>
        </w:tc>
        <w:tc>
          <w:tcPr>
            <w:tcW w:w="2268" w:type="dxa"/>
            <w:vAlign w:val="center"/>
          </w:tcPr>
          <w:p w14:paraId="4790F6AC" w14:textId="7E83DCC4"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tcPr>
          <w:p w14:paraId="1F540E36" w14:textId="0B6BDC98"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212344A0" w14:textId="77777777" w:rsidTr="007902BB">
        <w:tc>
          <w:tcPr>
            <w:tcW w:w="0" w:type="auto"/>
            <w:vMerge/>
            <w:shd w:val="clear" w:color="auto" w:fill="A02B93" w:themeFill="accent5"/>
          </w:tcPr>
          <w:p w14:paraId="1C44CC91"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tcPr>
          <w:p w14:paraId="1C72E4B9" w14:textId="5CD2C10C"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Autogenous vaccine access</w:t>
            </w:r>
          </w:p>
        </w:tc>
        <w:tc>
          <w:tcPr>
            <w:tcW w:w="2268" w:type="dxa"/>
            <w:vAlign w:val="center"/>
          </w:tcPr>
          <w:p w14:paraId="7EBD5D74" w14:textId="7B503D91"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Access to PRRS vaccines</w:t>
            </w:r>
          </w:p>
        </w:tc>
        <w:tc>
          <w:tcPr>
            <w:tcW w:w="2268" w:type="dxa"/>
            <w:vAlign w:val="center"/>
          </w:tcPr>
          <w:p w14:paraId="41B71996" w14:textId="18CD8CA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tcPr>
          <w:p w14:paraId="285D5F71" w14:textId="7A1FC25E"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36FD186E" w14:textId="77777777" w:rsidTr="007902BB">
        <w:tc>
          <w:tcPr>
            <w:tcW w:w="0" w:type="auto"/>
            <w:vMerge/>
            <w:shd w:val="clear" w:color="auto" w:fill="A02B93" w:themeFill="accent5"/>
          </w:tcPr>
          <w:p w14:paraId="465D2B40"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5B947878" w14:textId="16689D09"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Vaccine regulations</w:t>
            </w:r>
          </w:p>
        </w:tc>
        <w:tc>
          <w:tcPr>
            <w:tcW w:w="2268" w:type="dxa"/>
            <w:vAlign w:val="center"/>
            <w:hideMark/>
          </w:tcPr>
          <w:p w14:paraId="69DE79DE"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Whether vaccination is subject to regulation</w:t>
            </w:r>
          </w:p>
        </w:tc>
        <w:tc>
          <w:tcPr>
            <w:tcW w:w="2268" w:type="dxa"/>
            <w:vAlign w:val="center"/>
            <w:hideMark/>
          </w:tcPr>
          <w:p w14:paraId="16F63788"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7EBD15DF"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261DBC1E" w14:textId="77777777" w:rsidTr="007902BB">
        <w:tc>
          <w:tcPr>
            <w:tcW w:w="0" w:type="auto"/>
            <w:vMerge/>
            <w:shd w:val="clear" w:color="auto" w:fill="A02B93" w:themeFill="accent5"/>
          </w:tcPr>
          <w:p w14:paraId="636A5975"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32F9933" w14:textId="7F510CF0"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Live vaccine for sows?</w:t>
            </w:r>
          </w:p>
        </w:tc>
        <w:tc>
          <w:tcPr>
            <w:tcW w:w="2268" w:type="dxa"/>
            <w:vAlign w:val="center"/>
            <w:hideMark/>
          </w:tcPr>
          <w:p w14:paraId="041538FC"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Recommendation to use inactivated vaccine alone in sows</w:t>
            </w:r>
          </w:p>
        </w:tc>
        <w:tc>
          <w:tcPr>
            <w:tcW w:w="2268" w:type="dxa"/>
            <w:vAlign w:val="center"/>
            <w:hideMark/>
          </w:tcPr>
          <w:p w14:paraId="3D37CDF9" w14:textId="335107F3"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20E5ACAA" w14:textId="3F3144B0"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No opinion</w:t>
            </w:r>
          </w:p>
        </w:tc>
      </w:tr>
      <w:tr w:rsidR="007902BB" w:rsidRPr="007902BB" w14:paraId="768B8DF9" w14:textId="77777777" w:rsidTr="007902BB">
        <w:tc>
          <w:tcPr>
            <w:tcW w:w="0" w:type="auto"/>
            <w:vMerge/>
            <w:shd w:val="clear" w:color="auto" w:fill="A02B93" w:themeFill="accent5"/>
          </w:tcPr>
          <w:p w14:paraId="73C45B88"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5DC693E1" w14:textId="01F6CA87"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MLV for sows?</w:t>
            </w:r>
          </w:p>
        </w:tc>
        <w:tc>
          <w:tcPr>
            <w:tcW w:w="2268" w:type="dxa"/>
            <w:vAlign w:val="center"/>
            <w:hideMark/>
          </w:tcPr>
          <w:p w14:paraId="2623F56F"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Recommendation to use live vaccine alone in sows</w:t>
            </w:r>
          </w:p>
        </w:tc>
        <w:tc>
          <w:tcPr>
            <w:tcW w:w="2268" w:type="dxa"/>
            <w:vAlign w:val="center"/>
            <w:hideMark/>
          </w:tcPr>
          <w:p w14:paraId="4C8B5CDE" w14:textId="1F0FA3A5"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19769DAC" w14:textId="02571F7E"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No opinion</w:t>
            </w:r>
          </w:p>
        </w:tc>
      </w:tr>
      <w:tr w:rsidR="007902BB" w:rsidRPr="007902BB" w14:paraId="1FE99633" w14:textId="77777777" w:rsidTr="007902BB">
        <w:tc>
          <w:tcPr>
            <w:tcW w:w="0" w:type="auto"/>
            <w:vMerge/>
            <w:shd w:val="clear" w:color="auto" w:fill="A02B93" w:themeFill="accent5"/>
          </w:tcPr>
          <w:p w14:paraId="2913DB3B"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62D27607" w14:textId="4EF85CFB"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Both combine for sows?</w:t>
            </w:r>
          </w:p>
        </w:tc>
        <w:tc>
          <w:tcPr>
            <w:tcW w:w="2268" w:type="dxa"/>
            <w:vAlign w:val="center"/>
            <w:hideMark/>
          </w:tcPr>
          <w:p w14:paraId="3F06CC0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Recommendation to use both types in combination</w:t>
            </w:r>
          </w:p>
        </w:tc>
        <w:tc>
          <w:tcPr>
            <w:tcW w:w="2268" w:type="dxa"/>
            <w:vAlign w:val="center"/>
            <w:hideMark/>
          </w:tcPr>
          <w:p w14:paraId="02CDE816" w14:textId="151F04E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304D48AB" w14:textId="70A70D86"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No opinion</w:t>
            </w:r>
          </w:p>
        </w:tc>
      </w:tr>
      <w:tr w:rsidR="000F443B" w:rsidRPr="007902BB" w14:paraId="12F6CBB8" w14:textId="77777777" w:rsidTr="000F443B">
        <w:tc>
          <w:tcPr>
            <w:tcW w:w="0" w:type="auto"/>
            <w:vMerge/>
            <w:shd w:val="clear" w:color="auto" w:fill="A02B93" w:themeFill="accent5"/>
          </w:tcPr>
          <w:p w14:paraId="77EC35F4" w14:textId="77777777" w:rsidR="000F443B" w:rsidRPr="007902BB" w:rsidRDefault="000F443B" w:rsidP="000F443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5F33F758" w14:textId="79CE3C4C" w:rsidR="000F443B" w:rsidRPr="007902BB" w:rsidRDefault="000F443B" w:rsidP="000F443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Effective live vaccine for sows?</w:t>
            </w:r>
          </w:p>
        </w:tc>
        <w:tc>
          <w:tcPr>
            <w:tcW w:w="2268" w:type="dxa"/>
            <w:vAlign w:val="center"/>
            <w:hideMark/>
          </w:tcPr>
          <w:p w14:paraId="67A4DC7C"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Perceived efficacy of inactivated vaccine alone in sows</w:t>
            </w:r>
          </w:p>
        </w:tc>
        <w:tc>
          <w:tcPr>
            <w:tcW w:w="2268" w:type="dxa"/>
            <w:vAlign w:val="center"/>
            <w:hideMark/>
          </w:tcPr>
          <w:p w14:paraId="3AAB6201" w14:textId="67E504F5" w:rsidR="000F443B" w:rsidRPr="007902BB" w:rsidRDefault="000F443B" w:rsidP="000F443B">
            <w:pPr>
              <w:spacing w:line="276" w:lineRule="auto"/>
              <w:jc w:val="center"/>
              <w:rPr>
                <w:rFonts w:ascii="Times New Roman" w:hAnsi="Times New Roman" w:cs="Times New Roman"/>
                <w:sz w:val="20"/>
                <w:szCs w:val="20"/>
              </w:rPr>
            </w:pPr>
            <w:r w:rsidRPr="0058757C">
              <w:rPr>
                <w:rFonts w:ascii="Times New Roman" w:hAnsi="Times New Roman" w:cs="Times New Roman"/>
                <w:sz w:val="20"/>
                <w:szCs w:val="20"/>
              </w:rPr>
              <w:t>Categorical (ordinal)</w:t>
            </w:r>
          </w:p>
        </w:tc>
        <w:tc>
          <w:tcPr>
            <w:tcW w:w="2268" w:type="dxa"/>
            <w:vAlign w:val="center"/>
            <w:hideMark/>
          </w:tcPr>
          <w:p w14:paraId="5BDB9BD9"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Not effective at all to 4 = Very effective</w:t>
            </w:r>
          </w:p>
        </w:tc>
      </w:tr>
      <w:tr w:rsidR="000F443B" w:rsidRPr="007902BB" w14:paraId="325BDAB9" w14:textId="77777777" w:rsidTr="000F443B">
        <w:tc>
          <w:tcPr>
            <w:tcW w:w="0" w:type="auto"/>
            <w:vMerge/>
            <w:shd w:val="clear" w:color="auto" w:fill="A02B93" w:themeFill="accent5"/>
          </w:tcPr>
          <w:p w14:paraId="6C53722A" w14:textId="77777777" w:rsidR="000F443B" w:rsidRPr="007902BB" w:rsidRDefault="000F443B" w:rsidP="000F443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20F21D4C" w14:textId="3BDEC5B5" w:rsidR="000F443B" w:rsidRPr="007902BB" w:rsidRDefault="000F443B" w:rsidP="000F443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Effective MLV for sows?</w:t>
            </w:r>
          </w:p>
        </w:tc>
        <w:tc>
          <w:tcPr>
            <w:tcW w:w="2268" w:type="dxa"/>
            <w:vAlign w:val="center"/>
            <w:hideMark/>
          </w:tcPr>
          <w:p w14:paraId="035AC315"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Perceived efficacy of live vaccine alone in sows</w:t>
            </w:r>
          </w:p>
        </w:tc>
        <w:tc>
          <w:tcPr>
            <w:tcW w:w="2268" w:type="dxa"/>
            <w:vAlign w:val="center"/>
            <w:hideMark/>
          </w:tcPr>
          <w:p w14:paraId="4BFAA145" w14:textId="7DB6BD15" w:rsidR="000F443B" w:rsidRPr="007902BB" w:rsidRDefault="000F443B" w:rsidP="000F443B">
            <w:pPr>
              <w:spacing w:line="276" w:lineRule="auto"/>
              <w:jc w:val="center"/>
              <w:rPr>
                <w:rFonts w:ascii="Times New Roman" w:hAnsi="Times New Roman" w:cs="Times New Roman"/>
                <w:sz w:val="20"/>
                <w:szCs w:val="20"/>
              </w:rPr>
            </w:pPr>
            <w:r w:rsidRPr="0058757C">
              <w:rPr>
                <w:rFonts w:ascii="Times New Roman" w:hAnsi="Times New Roman" w:cs="Times New Roman"/>
                <w:sz w:val="20"/>
                <w:szCs w:val="20"/>
              </w:rPr>
              <w:t>Categorical (ordinal)</w:t>
            </w:r>
          </w:p>
        </w:tc>
        <w:tc>
          <w:tcPr>
            <w:tcW w:w="2268" w:type="dxa"/>
            <w:vAlign w:val="center"/>
            <w:hideMark/>
          </w:tcPr>
          <w:p w14:paraId="6909A716"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Not effective at all to 4 = Very effective</w:t>
            </w:r>
          </w:p>
        </w:tc>
      </w:tr>
      <w:tr w:rsidR="000F443B" w:rsidRPr="007902BB" w14:paraId="443935D9" w14:textId="77777777" w:rsidTr="000F443B">
        <w:tc>
          <w:tcPr>
            <w:tcW w:w="0" w:type="auto"/>
            <w:vMerge/>
            <w:shd w:val="clear" w:color="auto" w:fill="A02B93" w:themeFill="accent5"/>
          </w:tcPr>
          <w:p w14:paraId="027BBDDE" w14:textId="77777777" w:rsidR="000F443B" w:rsidRPr="007902BB" w:rsidRDefault="000F443B" w:rsidP="000F443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8E2BBFC" w14:textId="584FA50D" w:rsidR="000F443B" w:rsidRPr="007902BB" w:rsidRDefault="000F443B" w:rsidP="000F443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Effective both for sows?</w:t>
            </w:r>
          </w:p>
        </w:tc>
        <w:tc>
          <w:tcPr>
            <w:tcW w:w="2268" w:type="dxa"/>
            <w:vAlign w:val="center"/>
            <w:hideMark/>
          </w:tcPr>
          <w:p w14:paraId="7D525EAD"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Perceived efficacy of combined vaccination in sows</w:t>
            </w:r>
          </w:p>
        </w:tc>
        <w:tc>
          <w:tcPr>
            <w:tcW w:w="2268" w:type="dxa"/>
            <w:vAlign w:val="center"/>
            <w:hideMark/>
          </w:tcPr>
          <w:p w14:paraId="5C071286" w14:textId="73F0B120" w:rsidR="000F443B" w:rsidRPr="007902BB" w:rsidRDefault="000F443B" w:rsidP="000F443B">
            <w:pPr>
              <w:spacing w:line="276" w:lineRule="auto"/>
              <w:jc w:val="center"/>
              <w:rPr>
                <w:rFonts w:ascii="Times New Roman" w:hAnsi="Times New Roman" w:cs="Times New Roman"/>
                <w:sz w:val="20"/>
                <w:szCs w:val="20"/>
              </w:rPr>
            </w:pPr>
            <w:r w:rsidRPr="0058757C">
              <w:rPr>
                <w:rFonts w:ascii="Times New Roman" w:hAnsi="Times New Roman" w:cs="Times New Roman"/>
                <w:sz w:val="20"/>
                <w:szCs w:val="20"/>
              </w:rPr>
              <w:t>Categorical (ordinal)</w:t>
            </w:r>
          </w:p>
        </w:tc>
        <w:tc>
          <w:tcPr>
            <w:tcW w:w="2268" w:type="dxa"/>
            <w:vAlign w:val="center"/>
            <w:hideMark/>
          </w:tcPr>
          <w:p w14:paraId="165E8C4D"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Not effective at all to 4 = Very effective</w:t>
            </w:r>
          </w:p>
        </w:tc>
      </w:tr>
      <w:tr w:rsidR="007902BB" w:rsidRPr="007902BB" w14:paraId="75204043" w14:textId="77777777" w:rsidTr="007902BB">
        <w:tc>
          <w:tcPr>
            <w:tcW w:w="0" w:type="auto"/>
            <w:vMerge/>
            <w:shd w:val="clear" w:color="auto" w:fill="A02B93" w:themeFill="accent5"/>
          </w:tcPr>
          <w:p w14:paraId="1B795A81"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4A9E97E9" w14:textId="602F8E77"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Live vaccine for piglets?</w:t>
            </w:r>
          </w:p>
        </w:tc>
        <w:tc>
          <w:tcPr>
            <w:tcW w:w="2268" w:type="dxa"/>
            <w:vAlign w:val="center"/>
            <w:hideMark/>
          </w:tcPr>
          <w:p w14:paraId="4136906C" w14:textId="3C1B9C30"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Recommendation to use inactivated vaccine alone in post-weaning/fattening pigs</w:t>
            </w:r>
          </w:p>
        </w:tc>
        <w:tc>
          <w:tcPr>
            <w:tcW w:w="2268" w:type="dxa"/>
            <w:vAlign w:val="center"/>
            <w:hideMark/>
          </w:tcPr>
          <w:p w14:paraId="654F63B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31B12D3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No opinion</w:t>
            </w:r>
          </w:p>
        </w:tc>
      </w:tr>
      <w:tr w:rsidR="007902BB" w:rsidRPr="007902BB" w14:paraId="52004E7E" w14:textId="77777777" w:rsidTr="007902BB">
        <w:tc>
          <w:tcPr>
            <w:tcW w:w="0" w:type="auto"/>
            <w:vMerge/>
            <w:shd w:val="clear" w:color="auto" w:fill="A02B93" w:themeFill="accent5"/>
          </w:tcPr>
          <w:p w14:paraId="0894D709"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14E4DC3" w14:textId="1991C73B"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MLV for piglets?</w:t>
            </w:r>
          </w:p>
        </w:tc>
        <w:tc>
          <w:tcPr>
            <w:tcW w:w="2268" w:type="dxa"/>
            <w:vAlign w:val="center"/>
            <w:hideMark/>
          </w:tcPr>
          <w:p w14:paraId="640A22C1" w14:textId="6159C1C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Recommendation to use live vaccine alone in post-weaning/fattening pigs</w:t>
            </w:r>
          </w:p>
        </w:tc>
        <w:tc>
          <w:tcPr>
            <w:tcW w:w="2268" w:type="dxa"/>
            <w:vAlign w:val="center"/>
            <w:hideMark/>
          </w:tcPr>
          <w:p w14:paraId="73E43C1F"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15E374B0"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No opinion</w:t>
            </w:r>
          </w:p>
        </w:tc>
      </w:tr>
      <w:tr w:rsidR="007902BB" w:rsidRPr="007902BB" w14:paraId="0D9EE316" w14:textId="77777777" w:rsidTr="007902BB">
        <w:tc>
          <w:tcPr>
            <w:tcW w:w="0" w:type="auto"/>
            <w:vMerge/>
            <w:shd w:val="clear" w:color="auto" w:fill="A02B93" w:themeFill="accent5"/>
          </w:tcPr>
          <w:p w14:paraId="1094BA2E"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70D00758" w14:textId="510A3B60"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Both combine for piglets?</w:t>
            </w:r>
          </w:p>
        </w:tc>
        <w:tc>
          <w:tcPr>
            <w:tcW w:w="2268" w:type="dxa"/>
            <w:vAlign w:val="center"/>
            <w:hideMark/>
          </w:tcPr>
          <w:p w14:paraId="77B6B76C"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Recommendation to use both types in combination</w:t>
            </w:r>
          </w:p>
        </w:tc>
        <w:tc>
          <w:tcPr>
            <w:tcW w:w="2268" w:type="dxa"/>
            <w:vAlign w:val="center"/>
            <w:hideMark/>
          </w:tcPr>
          <w:p w14:paraId="37A79F33"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(nominal)</w:t>
            </w:r>
          </w:p>
        </w:tc>
        <w:tc>
          <w:tcPr>
            <w:tcW w:w="2268" w:type="dxa"/>
            <w:vAlign w:val="center"/>
            <w:hideMark/>
          </w:tcPr>
          <w:p w14:paraId="34932FD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 / No opinion</w:t>
            </w:r>
          </w:p>
        </w:tc>
      </w:tr>
      <w:tr w:rsidR="000F443B" w:rsidRPr="007902BB" w14:paraId="502F2648" w14:textId="77777777" w:rsidTr="000F443B">
        <w:tc>
          <w:tcPr>
            <w:tcW w:w="0" w:type="auto"/>
            <w:vMerge/>
            <w:shd w:val="clear" w:color="auto" w:fill="A02B93" w:themeFill="accent5"/>
          </w:tcPr>
          <w:p w14:paraId="70F44F74" w14:textId="77777777" w:rsidR="000F443B" w:rsidRPr="007902BB" w:rsidRDefault="000F443B" w:rsidP="000F443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237A7B44" w14:textId="34B72432" w:rsidR="000F443B" w:rsidRPr="007902BB" w:rsidRDefault="000F443B" w:rsidP="000F443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Effective live vaccine for piglets?</w:t>
            </w:r>
          </w:p>
        </w:tc>
        <w:tc>
          <w:tcPr>
            <w:tcW w:w="2268" w:type="dxa"/>
            <w:vAlign w:val="center"/>
            <w:hideMark/>
          </w:tcPr>
          <w:p w14:paraId="2CD7A2FD" w14:textId="1A424CD2"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Perceived efficacy of inactivated vaccine alone in post-weaning/fattening pigs</w:t>
            </w:r>
          </w:p>
        </w:tc>
        <w:tc>
          <w:tcPr>
            <w:tcW w:w="2268" w:type="dxa"/>
            <w:vAlign w:val="center"/>
            <w:hideMark/>
          </w:tcPr>
          <w:p w14:paraId="6794A218" w14:textId="00804FBE" w:rsidR="000F443B" w:rsidRPr="007902BB" w:rsidRDefault="000F443B" w:rsidP="000F443B">
            <w:pPr>
              <w:spacing w:line="276" w:lineRule="auto"/>
              <w:jc w:val="center"/>
              <w:rPr>
                <w:rFonts w:ascii="Times New Roman" w:hAnsi="Times New Roman" w:cs="Times New Roman"/>
                <w:sz w:val="20"/>
                <w:szCs w:val="20"/>
              </w:rPr>
            </w:pPr>
            <w:r w:rsidRPr="009D5CD2">
              <w:rPr>
                <w:rFonts w:ascii="Times New Roman" w:hAnsi="Times New Roman" w:cs="Times New Roman"/>
                <w:sz w:val="20"/>
                <w:szCs w:val="20"/>
              </w:rPr>
              <w:t>Categorical (ordinal)</w:t>
            </w:r>
          </w:p>
        </w:tc>
        <w:tc>
          <w:tcPr>
            <w:tcW w:w="2268" w:type="dxa"/>
            <w:vAlign w:val="center"/>
            <w:hideMark/>
          </w:tcPr>
          <w:p w14:paraId="4C1B58EC"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Not effective at all to 4 = Very effective</w:t>
            </w:r>
          </w:p>
        </w:tc>
      </w:tr>
      <w:tr w:rsidR="000F443B" w:rsidRPr="007902BB" w14:paraId="575C8BB2" w14:textId="77777777" w:rsidTr="000F443B">
        <w:tc>
          <w:tcPr>
            <w:tcW w:w="0" w:type="auto"/>
            <w:vMerge/>
            <w:shd w:val="clear" w:color="auto" w:fill="A02B93" w:themeFill="accent5"/>
          </w:tcPr>
          <w:p w14:paraId="746D7E63" w14:textId="77777777" w:rsidR="000F443B" w:rsidRPr="007902BB" w:rsidRDefault="000F443B" w:rsidP="000F443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3BDC7C1C" w14:textId="6799054E" w:rsidR="000F443B" w:rsidRPr="007902BB" w:rsidRDefault="000F443B" w:rsidP="000F443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Effective MLV for piglets?</w:t>
            </w:r>
          </w:p>
        </w:tc>
        <w:tc>
          <w:tcPr>
            <w:tcW w:w="2268" w:type="dxa"/>
            <w:vAlign w:val="center"/>
            <w:hideMark/>
          </w:tcPr>
          <w:p w14:paraId="149223DA" w14:textId="4C5FC046"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Perceived efficacy of live vaccine alone in post-weaning/fattening pigs</w:t>
            </w:r>
          </w:p>
        </w:tc>
        <w:tc>
          <w:tcPr>
            <w:tcW w:w="2268" w:type="dxa"/>
            <w:vAlign w:val="center"/>
            <w:hideMark/>
          </w:tcPr>
          <w:p w14:paraId="45762854" w14:textId="2457F291" w:rsidR="000F443B" w:rsidRPr="007902BB" w:rsidRDefault="000F443B" w:rsidP="000F443B">
            <w:pPr>
              <w:spacing w:line="276" w:lineRule="auto"/>
              <w:jc w:val="center"/>
              <w:rPr>
                <w:rFonts w:ascii="Times New Roman" w:hAnsi="Times New Roman" w:cs="Times New Roman"/>
                <w:sz w:val="20"/>
                <w:szCs w:val="20"/>
              </w:rPr>
            </w:pPr>
            <w:r w:rsidRPr="009D5CD2">
              <w:rPr>
                <w:rFonts w:ascii="Times New Roman" w:hAnsi="Times New Roman" w:cs="Times New Roman"/>
                <w:sz w:val="20"/>
                <w:szCs w:val="20"/>
              </w:rPr>
              <w:t>Categorical (ordinal)</w:t>
            </w:r>
          </w:p>
        </w:tc>
        <w:tc>
          <w:tcPr>
            <w:tcW w:w="2268" w:type="dxa"/>
            <w:vAlign w:val="center"/>
            <w:hideMark/>
          </w:tcPr>
          <w:p w14:paraId="60F5F8F4"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Not effective at all to 4 = Very effective</w:t>
            </w:r>
          </w:p>
        </w:tc>
      </w:tr>
      <w:tr w:rsidR="000F443B" w:rsidRPr="007902BB" w14:paraId="61921A3D" w14:textId="77777777" w:rsidTr="000F443B">
        <w:tc>
          <w:tcPr>
            <w:tcW w:w="0" w:type="auto"/>
            <w:vMerge/>
            <w:shd w:val="clear" w:color="auto" w:fill="A02B93" w:themeFill="accent5"/>
          </w:tcPr>
          <w:p w14:paraId="58DAC4D1" w14:textId="77777777" w:rsidR="000F443B" w:rsidRPr="007902BB" w:rsidRDefault="000F443B" w:rsidP="000F443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14680A74" w14:textId="2796A23D" w:rsidR="000F443B" w:rsidRPr="007902BB" w:rsidRDefault="000F443B" w:rsidP="000F443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Effective both for piglets?</w:t>
            </w:r>
          </w:p>
        </w:tc>
        <w:tc>
          <w:tcPr>
            <w:tcW w:w="2268" w:type="dxa"/>
            <w:vAlign w:val="center"/>
            <w:hideMark/>
          </w:tcPr>
          <w:p w14:paraId="7665AEFF" w14:textId="4F589B89"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Perceived efficacy of combined vaccination in post-weaning/fattening pigs</w:t>
            </w:r>
          </w:p>
        </w:tc>
        <w:tc>
          <w:tcPr>
            <w:tcW w:w="2268" w:type="dxa"/>
            <w:vAlign w:val="center"/>
            <w:hideMark/>
          </w:tcPr>
          <w:p w14:paraId="35F768F2" w14:textId="18071D30" w:rsidR="000F443B" w:rsidRPr="007902BB" w:rsidRDefault="000F443B" w:rsidP="000F443B">
            <w:pPr>
              <w:spacing w:line="276" w:lineRule="auto"/>
              <w:jc w:val="center"/>
              <w:rPr>
                <w:rFonts w:ascii="Times New Roman" w:hAnsi="Times New Roman" w:cs="Times New Roman"/>
                <w:sz w:val="20"/>
                <w:szCs w:val="20"/>
              </w:rPr>
            </w:pPr>
            <w:r w:rsidRPr="009D5CD2">
              <w:rPr>
                <w:rFonts w:ascii="Times New Roman" w:hAnsi="Times New Roman" w:cs="Times New Roman"/>
                <w:sz w:val="20"/>
                <w:szCs w:val="20"/>
              </w:rPr>
              <w:t>Categorical (ordinal)</w:t>
            </w:r>
          </w:p>
        </w:tc>
        <w:tc>
          <w:tcPr>
            <w:tcW w:w="2268" w:type="dxa"/>
            <w:vAlign w:val="center"/>
            <w:hideMark/>
          </w:tcPr>
          <w:p w14:paraId="6F81CC93" w14:textId="77777777" w:rsidR="000F443B" w:rsidRPr="007902BB" w:rsidRDefault="000F443B" w:rsidP="000F443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1 = Not effective at all to 4 = Very effective</w:t>
            </w:r>
          </w:p>
        </w:tc>
      </w:tr>
      <w:tr w:rsidR="007902BB" w:rsidRPr="007902BB" w14:paraId="7B0EDC6D" w14:textId="77777777" w:rsidTr="007902BB">
        <w:tc>
          <w:tcPr>
            <w:tcW w:w="0" w:type="auto"/>
            <w:vMerge/>
            <w:shd w:val="clear" w:color="auto" w:fill="A02B93" w:themeFill="accent5"/>
          </w:tcPr>
          <w:p w14:paraId="0CB640DE"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1D331366" w14:textId="5BBD6AC7"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Vaccine combination</w:t>
            </w:r>
          </w:p>
        </w:tc>
        <w:tc>
          <w:tcPr>
            <w:tcW w:w="2268" w:type="dxa"/>
            <w:vAlign w:val="center"/>
            <w:hideMark/>
          </w:tcPr>
          <w:p w14:paraId="4B7BEEFE"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Combined use of multiple live modified vaccines in a single farm</w:t>
            </w:r>
          </w:p>
        </w:tc>
        <w:tc>
          <w:tcPr>
            <w:tcW w:w="2268" w:type="dxa"/>
            <w:vAlign w:val="center"/>
            <w:hideMark/>
          </w:tcPr>
          <w:p w14:paraId="6C8C764A"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63A2E3ED"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00A8EDEE" w14:textId="77777777" w:rsidTr="007902BB">
        <w:tc>
          <w:tcPr>
            <w:tcW w:w="0" w:type="auto"/>
            <w:vMerge w:val="restart"/>
            <w:shd w:val="clear" w:color="auto" w:fill="0F9ED5" w:themeFill="accent4"/>
            <w:textDirection w:val="btLr"/>
            <w:vAlign w:val="center"/>
          </w:tcPr>
          <w:p w14:paraId="170F483D" w14:textId="583F049F" w:rsidR="007902BB" w:rsidRPr="007902BB" w:rsidRDefault="007902BB" w:rsidP="007902BB">
            <w:pPr>
              <w:spacing w:line="276" w:lineRule="auto"/>
              <w:ind w:left="113" w:right="113"/>
              <w:jc w:val="center"/>
              <w:rPr>
                <w:rFonts w:ascii="Times New Roman" w:hAnsi="Times New Roman" w:cs="Times New Roman"/>
                <w:b/>
                <w:bCs/>
                <w:color w:val="FFFFFF" w:themeColor="background1"/>
                <w:sz w:val="20"/>
                <w:szCs w:val="20"/>
              </w:rPr>
            </w:pPr>
            <w:r w:rsidRPr="007902BB">
              <w:rPr>
                <w:rFonts w:ascii="Times New Roman" w:hAnsi="Times New Roman" w:cs="Times New Roman"/>
                <w:b/>
                <w:bCs/>
                <w:color w:val="FFFFFF" w:themeColor="background1"/>
                <w:sz w:val="20"/>
                <w:szCs w:val="20"/>
              </w:rPr>
              <w:t>PRRSV stabilization programs</w:t>
            </w:r>
          </w:p>
        </w:tc>
        <w:tc>
          <w:tcPr>
            <w:tcW w:w="1735" w:type="dxa"/>
            <w:vAlign w:val="center"/>
            <w:hideMark/>
          </w:tcPr>
          <w:p w14:paraId="2EA3128D" w14:textId="46E33FB1"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Stabilization program</w:t>
            </w:r>
          </w:p>
        </w:tc>
        <w:tc>
          <w:tcPr>
            <w:tcW w:w="2268" w:type="dxa"/>
            <w:vAlign w:val="center"/>
            <w:hideMark/>
          </w:tcPr>
          <w:p w14:paraId="410B64EB"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Have you ever implemented stabilization programs?</w:t>
            </w:r>
          </w:p>
        </w:tc>
        <w:tc>
          <w:tcPr>
            <w:tcW w:w="2268" w:type="dxa"/>
            <w:vAlign w:val="center"/>
            <w:hideMark/>
          </w:tcPr>
          <w:p w14:paraId="6D2B5FF6"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340D6358" w14:textId="7777777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0E278A5D" w14:textId="77777777" w:rsidTr="007902BB">
        <w:tc>
          <w:tcPr>
            <w:tcW w:w="0" w:type="auto"/>
            <w:vMerge/>
            <w:shd w:val="clear" w:color="auto" w:fill="0F9ED5" w:themeFill="accent4"/>
          </w:tcPr>
          <w:p w14:paraId="4BF1F8B4"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434EC078" w14:textId="405304F5"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w:t>
            </w:r>
            <w:proofErr w:type="spellStart"/>
            <w:r w:rsidRPr="007902BB">
              <w:rPr>
                <w:rFonts w:ascii="Times New Roman" w:hAnsi="Times New Roman" w:cs="Times New Roman"/>
                <w:b/>
                <w:bCs/>
                <w:sz w:val="20"/>
                <w:szCs w:val="20"/>
              </w:rPr>
              <w:t>succes</w:t>
            </w:r>
            <w:proofErr w:type="spellEnd"/>
          </w:p>
        </w:tc>
        <w:tc>
          <w:tcPr>
            <w:tcW w:w="2268" w:type="dxa"/>
            <w:vAlign w:val="center"/>
            <w:hideMark/>
          </w:tcPr>
          <w:p w14:paraId="3F3A891C" w14:textId="45E2F310"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Estimated success rate of stabilization programs in the last two years (%)</w:t>
            </w:r>
          </w:p>
        </w:tc>
        <w:tc>
          <w:tcPr>
            <w:tcW w:w="2268" w:type="dxa"/>
            <w:vAlign w:val="center"/>
            <w:hideMark/>
          </w:tcPr>
          <w:p w14:paraId="43AABA4F" w14:textId="7CA9A6BD" w:rsidR="007902BB" w:rsidRPr="007902BB" w:rsidRDefault="000F443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Quantitative (continuous)</w:t>
            </w:r>
          </w:p>
        </w:tc>
        <w:tc>
          <w:tcPr>
            <w:tcW w:w="2268" w:type="dxa"/>
            <w:vAlign w:val="center"/>
            <w:hideMark/>
          </w:tcPr>
          <w:p w14:paraId="07BA38F4" w14:textId="520BB15A"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0 to 100%</w:t>
            </w:r>
          </w:p>
        </w:tc>
      </w:tr>
      <w:tr w:rsidR="007902BB" w:rsidRPr="007902BB" w14:paraId="1D5966B0" w14:textId="77777777" w:rsidTr="007902BB">
        <w:tc>
          <w:tcPr>
            <w:tcW w:w="0" w:type="auto"/>
            <w:vMerge/>
            <w:shd w:val="clear" w:color="auto" w:fill="0F9ED5" w:themeFill="accent4"/>
          </w:tcPr>
          <w:p w14:paraId="3106D02E"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4DE9C292" w14:textId="1CDEF918"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Lack of tools</w:t>
            </w:r>
          </w:p>
        </w:tc>
        <w:tc>
          <w:tcPr>
            <w:tcW w:w="2268" w:type="dxa"/>
            <w:vAlign w:val="center"/>
            <w:hideMark/>
          </w:tcPr>
          <w:p w14:paraId="1BDA2718" w14:textId="04719505"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Technical tools (apps, calculators, etc.) were missing to obtain 100% of success</w:t>
            </w:r>
          </w:p>
        </w:tc>
        <w:tc>
          <w:tcPr>
            <w:tcW w:w="2268" w:type="dxa"/>
            <w:vAlign w:val="center"/>
            <w:hideMark/>
          </w:tcPr>
          <w:p w14:paraId="1B1A8535" w14:textId="39CBACC7"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637512A6" w14:textId="6014E823"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2D5A9313" w14:textId="77777777" w:rsidTr="007902BB">
        <w:tc>
          <w:tcPr>
            <w:tcW w:w="0" w:type="auto"/>
            <w:vMerge/>
            <w:shd w:val="clear" w:color="auto" w:fill="0F9ED5" w:themeFill="accent4"/>
          </w:tcPr>
          <w:p w14:paraId="1614E144"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9C5357F" w14:textId="6D6D52F8"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Lack of farmer cooperation</w:t>
            </w:r>
          </w:p>
        </w:tc>
        <w:tc>
          <w:tcPr>
            <w:tcW w:w="2268" w:type="dxa"/>
            <w:vAlign w:val="center"/>
            <w:hideMark/>
          </w:tcPr>
          <w:p w14:paraId="6DA20E85" w14:textId="2C9DDD66"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Farmer cooperation was missing to obtain 100% of success</w:t>
            </w:r>
          </w:p>
        </w:tc>
        <w:tc>
          <w:tcPr>
            <w:tcW w:w="2268" w:type="dxa"/>
            <w:vAlign w:val="center"/>
            <w:hideMark/>
          </w:tcPr>
          <w:p w14:paraId="7D13E5CB" w14:textId="1A050198"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7F63A915" w14:textId="1BB7637B"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r w:rsidR="007902BB" w:rsidRPr="007902BB" w14:paraId="6C7A7F45" w14:textId="77777777" w:rsidTr="007902BB">
        <w:tc>
          <w:tcPr>
            <w:tcW w:w="0" w:type="auto"/>
            <w:vMerge/>
            <w:shd w:val="clear" w:color="auto" w:fill="0F9ED5" w:themeFill="accent4"/>
          </w:tcPr>
          <w:p w14:paraId="7B7E482F" w14:textId="77777777" w:rsidR="007902BB" w:rsidRPr="007902BB" w:rsidRDefault="007902BB" w:rsidP="007902BB">
            <w:pPr>
              <w:spacing w:line="276" w:lineRule="auto"/>
              <w:rPr>
                <w:rFonts w:ascii="Times New Roman" w:hAnsi="Times New Roman" w:cs="Times New Roman"/>
                <w:b/>
                <w:bCs/>
                <w:color w:val="FFFFFF" w:themeColor="background1"/>
                <w:sz w:val="20"/>
                <w:szCs w:val="20"/>
              </w:rPr>
            </w:pPr>
          </w:p>
        </w:tc>
        <w:tc>
          <w:tcPr>
            <w:tcW w:w="1735" w:type="dxa"/>
            <w:vAlign w:val="center"/>
            <w:hideMark/>
          </w:tcPr>
          <w:p w14:paraId="06C910E7" w14:textId="3A12BA35" w:rsidR="007902BB" w:rsidRPr="007902BB" w:rsidRDefault="007902BB" w:rsidP="007902BB">
            <w:pPr>
              <w:spacing w:line="276" w:lineRule="auto"/>
              <w:rPr>
                <w:rFonts w:ascii="Times New Roman" w:hAnsi="Times New Roman" w:cs="Times New Roman"/>
                <w:b/>
                <w:bCs/>
                <w:sz w:val="20"/>
                <w:szCs w:val="20"/>
              </w:rPr>
            </w:pPr>
            <w:r w:rsidRPr="007902BB">
              <w:rPr>
                <w:rFonts w:ascii="Times New Roman" w:hAnsi="Times New Roman" w:cs="Times New Roman"/>
                <w:b/>
                <w:bCs/>
                <w:sz w:val="20"/>
                <w:szCs w:val="20"/>
              </w:rPr>
              <w:t>Lack of evidence</w:t>
            </w:r>
          </w:p>
        </w:tc>
        <w:tc>
          <w:tcPr>
            <w:tcW w:w="2268" w:type="dxa"/>
            <w:vAlign w:val="center"/>
            <w:hideMark/>
          </w:tcPr>
          <w:p w14:paraId="6A9A2EF4" w14:textId="177E9E2E"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Scientific arguments or evidence were missing to obtain 100% of success</w:t>
            </w:r>
          </w:p>
        </w:tc>
        <w:tc>
          <w:tcPr>
            <w:tcW w:w="2268" w:type="dxa"/>
            <w:vAlign w:val="center"/>
            <w:hideMark/>
          </w:tcPr>
          <w:p w14:paraId="380839F5" w14:textId="1D4D7459"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Categorical (binary)</w:t>
            </w:r>
          </w:p>
        </w:tc>
        <w:tc>
          <w:tcPr>
            <w:tcW w:w="2268" w:type="dxa"/>
            <w:vAlign w:val="center"/>
            <w:hideMark/>
          </w:tcPr>
          <w:p w14:paraId="2EA43463" w14:textId="0E1A87FC" w:rsidR="007902BB" w:rsidRPr="007902BB" w:rsidRDefault="007902BB" w:rsidP="007902BB">
            <w:pPr>
              <w:spacing w:line="276" w:lineRule="auto"/>
              <w:jc w:val="center"/>
              <w:rPr>
                <w:rFonts w:ascii="Times New Roman" w:hAnsi="Times New Roman" w:cs="Times New Roman"/>
                <w:sz w:val="20"/>
                <w:szCs w:val="20"/>
              </w:rPr>
            </w:pPr>
            <w:r w:rsidRPr="007902BB">
              <w:rPr>
                <w:rFonts w:ascii="Times New Roman" w:hAnsi="Times New Roman" w:cs="Times New Roman"/>
                <w:sz w:val="20"/>
                <w:szCs w:val="20"/>
              </w:rPr>
              <w:t>Yes / No</w:t>
            </w:r>
          </w:p>
        </w:tc>
      </w:tr>
    </w:tbl>
    <w:p w14:paraId="2F53E28B" w14:textId="77777777" w:rsidR="00C7199F" w:rsidRDefault="00C7199F" w:rsidP="007902BB">
      <w:pPr>
        <w:tabs>
          <w:tab w:val="center" w:pos="4536"/>
        </w:tabs>
        <w:spacing w:after="0" w:line="276" w:lineRule="auto"/>
        <w:rPr>
          <w:rFonts w:ascii="Times New Roman" w:hAnsi="Times New Roman" w:cs="Times New Roman"/>
          <w:sz w:val="20"/>
          <w:szCs w:val="20"/>
        </w:rPr>
      </w:pPr>
    </w:p>
    <w:p w14:paraId="2AD1FD90" w14:textId="77777777" w:rsidR="00C7199F" w:rsidRDefault="00C7199F">
      <w:pPr>
        <w:rPr>
          <w:rFonts w:ascii="Times New Roman" w:hAnsi="Times New Roman" w:cs="Times New Roman"/>
          <w:sz w:val="20"/>
          <w:szCs w:val="20"/>
        </w:rPr>
      </w:pPr>
      <w:r>
        <w:rPr>
          <w:rFonts w:ascii="Times New Roman" w:hAnsi="Times New Roman" w:cs="Times New Roman"/>
          <w:sz w:val="20"/>
          <w:szCs w:val="20"/>
        </w:rPr>
        <w:br w:type="page"/>
      </w:r>
    </w:p>
    <w:p w14:paraId="54F944F1" w14:textId="26EEDA6E" w:rsidR="00C7199F" w:rsidRDefault="00C7199F" w:rsidP="00C7199F">
      <w:pPr>
        <w:spacing w:line="480" w:lineRule="auto"/>
        <w:jc w:val="both"/>
        <w:rPr>
          <w:rFonts w:ascii="Times New Roman" w:hAnsi="Times New Roman" w:cs="Times New Roman"/>
        </w:rPr>
      </w:pPr>
      <w:r>
        <w:rPr>
          <w:rFonts w:ascii="Times New Roman" w:hAnsi="Times New Roman" w:cs="Times New Roman"/>
          <w:b/>
          <w:bCs/>
        </w:rPr>
        <w:lastRenderedPageBreak/>
        <w:t>Appendix 2</w:t>
      </w:r>
      <w:r w:rsidRPr="00021DEA">
        <w:rPr>
          <w:rFonts w:ascii="Times New Roman" w:hAnsi="Times New Roman" w:cs="Times New Roman"/>
          <w:b/>
          <w:bCs/>
        </w:rPr>
        <w:t xml:space="preserve">. </w:t>
      </w:r>
      <w:r w:rsidR="006131E2" w:rsidRPr="006131E2">
        <w:rPr>
          <w:rFonts w:ascii="Times New Roman" w:hAnsi="Times New Roman" w:cs="Times New Roman"/>
          <w:b/>
          <w:bCs/>
        </w:rPr>
        <w:t>Illustration of the three sociodemographic profiles of the swine veterinarians</w:t>
      </w:r>
    </w:p>
    <w:p w14:paraId="79D6C443" w14:textId="77777777" w:rsidR="00C7199F" w:rsidRPr="00E46EFD" w:rsidRDefault="00C7199F" w:rsidP="00C7199F">
      <w:pPr>
        <w:spacing w:line="480" w:lineRule="auto"/>
        <w:jc w:val="both"/>
        <w:rPr>
          <w:rFonts w:ascii="Times New Roman" w:hAnsi="Times New Roman" w:cs="Times New Roman"/>
        </w:rPr>
      </w:pPr>
      <w:r>
        <w:rPr>
          <w:rFonts w:ascii="Times New Roman" w:hAnsi="Times New Roman" w:cs="Times New Roman"/>
          <w:noProof/>
          <w:lang w:eastAsia="fr-FR"/>
        </w:rPr>
        <w:drawing>
          <wp:inline distT="0" distB="0" distL="0" distR="0" wp14:anchorId="52D7463D" wp14:editId="5D9B687A">
            <wp:extent cx="5760000" cy="3027000"/>
            <wp:effectExtent l="0" t="0" r="0" b="2540"/>
            <wp:docPr id="1361534262" name="Image 1" descr="Une image contenant texte, diagramme, lign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34262" name="Image 1" descr="Une image contenant texte, diagramme, ligne, nombre&#10;&#10;Le contenu généré par l’IA peut êtr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00" cy="3027000"/>
                    </a:xfrm>
                    <a:prstGeom prst="rect">
                      <a:avLst/>
                    </a:prstGeom>
                    <a:noFill/>
                  </pic:spPr>
                </pic:pic>
              </a:graphicData>
            </a:graphic>
          </wp:inline>
        </w:drawing>
      </w:r>
    </w:p>
    <w:p w14:paraId="1FAA981B" w14:textId="77777777" w:rsidR="00D75E63" w:rsidRDefault="00C7199F" w:rsidP="00C7199F">
      <w:pPr>
        <w:tabs>
          <w:tab w:val="center" w:pos="4536"/>
        </w:tabs>
        <w:spacing w:after="0" w:line="276" w:lineRule="auto"/>
        <w:rPr>
          <w:rFonts w:ascii="Times New Roman" w:hAnsi="Times New Roman" w:cs="Times New Roman"/>
          <w:i/>
          <w:iCs/>
          <w:sz w:val="20"/>
          <w:szCs w:val="20"/>
        </w:rPr>
      </w:pPr>
      <w:r w:rsidRPr="00021DEA">
        <w:rPr>
          <w:rFonts w:ascii="Times New Roman" w:hAnsi="Times New Roman" w:cs="Times New Roman"/>
          <w:i/>
          <w:iCs/>
          <w:sz w:val="20"/>
          <w:szCs w:val="20"/>
          <w:u w:val="single"/>
        </w:rPr>
        <w:t>Legend:</w:t>
      </w:r>
      <w:r w:rsidRPr="00021DEA">
        <w:rPr>
          <w:rFonts w:ascii="Times New Roman" w:hAnsi="Times New Roman" w:cs="Times New Roman"/>
          <w:i/>
          <w:iCs/>
          <w:sz w:val="20"/>
          <w:szCs w:val="20"/>
        </w:rPr>
        <w:t xml:space="preserve"> FAMD biplot illustrating the distribution of individuals and the contribution of categorical and continuous variables. The individuals are represented as points, while categorical variables are displayed as vectors. The plot shows the relationships between the first and second principal components, with continuous variables shown on the axes and categorical variables color-coded for clarity. The variance explained by each component is also indicated in the inset.</w:t>
      </w:r>
    </w:p>
    <w:p w14:paraId="25F802F1" w14:textId="77777777" w:rsidR="00D75E63" w:rsidRDefault="00D75E63">
      <w:pPr>
        <w:rPr>
          <w:rFonts w:ascii="Times New Roman" w:hAnsi="Times New Roman" w:cs="Times New Roman"/>
          <w:i/>
          <w:iCs/>
          <w:sz w:val="20"/>
          <w:szCs w:val="20"/>
        </w:rPr>
      </w:pPr>
      <w:r>
        <w:rPr>
          <w:rFonts w:ascii="Times New Roman" w:hAnsi="Times New Roman" w:cs="Times New Roman"/>
          <w:i/>
          <w:iCs/>
          <w:sz w:val="20"/>
          <w:szCs w:val="20"/>
        </w:rPr>
        <w:br w:type="page"/>
      </w:r>
    </w:p>
    <w:p w14:paraId="3BC3BA4D" w14:textId="2136670B" w:rsidR="000856D5" w:rsidRPr="00021DEA" w:rsidRDefault="000856D5" w:rsidP="000856D5">
      <w:pPr>
        <w:spacing w:line="480" w:lineRule="auto"/>
        <w:rPr>
          <w:rFonts w:ascii="Times New Roman" w:hAnsi="Times New Roman" w:cs="Times New Roman"/>
          <w:b/>
          <w:bCs/>
        </w:rPr>
      </w:pPr>
      <w:r>
        <w:rPr>
          <w:rFonts w:ascii="Times New Roman" w:hAnsi="Times New Roman" w:cs="Times New Roman"/>
          <w:b/>
          <w:bCs/>
        </w:rPr>
        <w:lastRenderedPageBreak/>
        <w:t>Appendix</w:t>
      </w:r>
      <w:r w:rsidRPr="00021DEA">
        <w:rPr>
          <w:rFonts w:ascii="Times New Roman" w:hAnsi="Times New Roman" w:cs="Times New Roman"/>
          <w:b/>
          <w:bCs/>
        </w:rPr>
        <w:t xml:space="preserve"> 3. </w:t>
      </w:r>
      <w:r w:rsidR="004F6169" w:rsidRPr="004F6169">
        <w:rPr>
          <w:rFonts w:ascii="Times New Roman" w:hAnsi="Times New Roman" w:cs="Times New Roman"/>
          <w:b/>
          <w:bCs/>
        </w:rPr>
        <w:t>Illustration of the three profiles of the swine veterinarians regarding their professional exchange and interaction</w:t>
      </w:r>
    </w:p>
    <w:p w14:paraId="1FF3B202" w14:textId="77777777" w:rsidR="000856D5" w:rsidRDefault="000856D5" w:rsidP="000856D5">
      <w:pPr>
        <w:spacing w:line="480" w:lineRule="auto"/>
        <w:jc w:val="both"/>
        <w:rPr>
          <w:rFonts w:ascii="Times New Roman" w:hAnsi="Times New Roman" w:cs="Times New Roman"/>
        </w:rPr>
      </w:pPr>
    </w:p>
    <w:p w14:paraId="0BF95EE5" w14:textId="29543EA3" w:rsidR="000856D5" w:rsidRDefault="000856D5" w:rsidP="000856D5">
      <w:pPr>
        <w:spacing w:line="480" w:lineRule="auto"/>
        <w:jc w:val="both"/>
        <w:rPr>
          <w:rFonts w:ascii="Times New Roman" w:hAnsi="Times New Roman" w:cs="Times New Roman"/>
        </w:rPr>
      </w:pPr>
      <w:r>
        <w:rPr>
          <w:rFonts w:ascii="Times New Roman" w:hAnsi="Times New Roman" w:cs="Times New Roman"/>
          <w:noProof/>
          <w:lang w:eastAsia="fr-FR"/>
        </w:rPr>
        <w:drawing>
          <wp:inline distT="0" distB="0" distL="0" distR="0" wp14:anchorId="5F827742" wp14:editId="3F9BF88F">
            <wp:extent cx="5760000" cy="3027000"/>
            <wp:effectExtent l="0" t="0" r="0" b="2540"/>
            <wp:docPr id="2061412087" name="Image 2" descr="Une image contenant diagramme, carte, text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12087" name="Image 2" descr="Une image contenant diagramme, carte, texte, ligne&#10;&#10;Le contenu généré par l’IA peut êtr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00" cy="3027000"/>
                    </a:xfrm>
                    <a:prstGeom prst="rect">
                      <a:avLst/>
                    </a:prstGeom>
                    <a:noFill/>
                  </pic:spPr>
                </pic:pic>
              </a:graphicData>
            </a:graphic>
          </wp:inline>
        </w:drawing>
      </w:r>
    </w:p>
    <w:p w14:paraId="1951504E" w14:textId="3ED7DF5A" w:rsidR="000856D5" w:rsidRDefault="000856D5" w:rsidP="000856D5">
      <w:pPr>
        <w:spacing w:line="240" w:lineRule="auto"/>
        <w:jc w:val="both"/>
        <w:rPr>
          <w:rFonts w:ascii="Times New Roman" w:hAnsi="Times New Roman" w:cs="Times New Roman"/>
          <w:i/>
          <w:iCs/>
          <w:sz w:val="20"/>
          <w:szCs w:val="20"/>
        </w:rPr>
      </w:pPr>
      <w:r w:rsidRPr="00021DEA">
        <w:rPr>
          <w:rFonts w:ascii="Times New Roman" w:hAnsi="Times New Roman" w:cs="Times New Roman"/>
          <w:i/>
          <w:iCs/>
          <w:sz w:val="20"/>
          <w:szCs w:val="20"/>
          <w:u w:val="single"/>
        </w:rPr>
        <w:t>Legend:</w:t>
      </w:r>
      <w:r w:rsidRPr="00021DEA">
        <w:rPr>
          <w:rFonts w:ascii="Times New Roman" w:hAnsi="Times New Roman" w:cs="Times New Roman"/>
          <w:i/>
          <w:iCs/>
          <w:sz w:val="20"/>
          <w:szCs w:val="20"/>
        </w:rPr>
        <w:t xml:space="preserve"> </w:t>
      </w:r>
      <w:r>
        <w:rPr>
          <w:rFonts w:ascii="Times New Roman" w:hAnsi="Times New Roman" w:cs="Times New Roman"/>
          <w:i/>
          <w:iCs/>
          <w:sz w:val="20"/>
          <w:szCs w:val="20"/>
        </w:rPr>
        <w:t>PCA</w:t>
      </w:r>
      <w:r w:rsidRPr="00021DEA">
        <w:rPr>
          <w:rFonts w:ascii="Times New Roman" w:hAnsi="Times New Roman" w:cs="Times New Roman"/>
          <w:i/>
          <w:iCs/>
          <w:sz w:val="20"/>
          <w:szCs w:val="20"/>
        </w:rPr>
        <w:t xml:space="preserve"> biplot illustrating the distribution of individuals and the contribution of categorical and continuous variables. The individuals are represented as points, while categorical variables are displayed as vectors. The plot shows the relationships between the first and second principal components, with continuous variables shown on the axes and categorical variables color-coded for clarity. The variance explained by each component is also indicated in the inset.</w:t>
      </w:r>
    </w:p>
    <w:p w14:paraId="7AA0587B" w14:textId="77777777" w:rsidR="000856D5" w:rsidRDefault="000856D5">
      <w:pPr>
        <w:rPr>
          <w:rFonts w:ascii="Times New Roman" w:hAnsi="Times New Roman" w:cs="Times New Roman"/>
          <w:i/>
          <w:iCs/>
          <w:sz w:val="20"/>
          <w:szCs w:val="20"/>
        </w:rPr>
      </w:pPr>
      <w:r>
        <w:rPr>
          <w:rFonts w:ascii="Times New Roman" w:hAnsi="Times New Roman" w:cs="Times New Roman"/>
          <w:i/>
          <w:iCs/>
          <w:sz w:val="20"/>
          <w:szCs w:val="20"/>
        </w:rPr>
        <w:br w:type="page"/>
      </w:r>
    </w:p>
    <w:p w14:paraId="16531668" w14:textId="363FDAAE" w:rsidR="000211AC" w:rsidRDefault="000211AC" w:rsidP="000211AC">
      <w:pPr>
        <w:spacing w:line="240" w:lineRule="auto"/>
        <w:rPr>
          <w:rFonts w:ascii="Times New Roman" w:hAnsi="Times New Roman" w:cs="Times New Roman"/>
          <w:b/>
          <w:bCs/>
        </w:rPr>
      </w:pPr>
      <w:r>
        <w:rPr>
          <w:rFonts w:ascii="Times New Roman" w:hAnsi="Times New Roman" w:cs="Times New Roman"/>
          <w:b/>
          <w:bCs/>
        </w:rPr>
        <w:lastRenderedPageBreak/>
        <w:t>Appendix</w:t>
      </w:r>
      <w:r w:rsidRPr="00021DEA">
        <w:rPr>
          <w:rFonts w:ascii="Times New Roman" w:hAnsi="Times New Roman" w:cs="Times New Roman"/>
          <w:b/>
          <w:bCs/>
        </w:rPr>
        <w:t xml:space="preserve"> </w:t>
      </w:r>
      <w:r>
        <w:rPr>
          <w:rFonts w:ascii="Times New Roman" w:hAnsi="Times New Roman" w:cs="Times New Roman"/>
          <w:b/>
          <w:bCs/>
        </w:rPr>
        <w:t>4</w:t>
      </w:r>
      <w:r w:rsidRPr="00021DEA">
        <w:rPr>
          <w:rFonts w:ascii="Times New Roman" w:hAnsi="Times New Roman" w:cs="Times New Roman"/>
          <w:b/>
          <w:bCs/>
        </w:rPr>
        <w:t xml:space="preserve">. </w:t>
      </w:r>
      <w:r w:rsidR="00C22A38" w:rsidRPr="00C22A38">
        <w:rPr>
          <w:rFonts w:ascii="Times New Roman" w:hAnsi="Times New Roman" w:cs="Times New Roman"/>
          <w:b/>
          <w:bCs/>
        </w:rPr>
        <w:t>Illustration of the three profiles of the swine veterinarians regarding EBVM</w:t>
      </w:r>
    </w:p>
    <w:p w14:paraId="01E5782A" w14:textId="77777777" w:rsidR="000211AC" w:rsidRDefault="000211AC" w:rsidP="000211AC">
      <w:pPr>
        <w:spacing w:line="480" w:lineRule="auto"/>
        <w:jc w:val="both"/>
        <w:rPr>
          <w:rFonts w:ascii="Times New Roman" w:hAnsi="Times New Roman" w:cs="Times New Roman"/>
        </w:rPr>
      </w:pPr>
    </w:p>
    <w:p w14:paraId="117707B6" w14:textId="386E7E06" w:rsidR="000211AC" w:rsidRDefault="000211AC" w:rsidP="000211AC">
      <w:pPr>
        <w:spacing w:line="480" w:lineRule="auto"/>
        <w:jc w:val="both"/>
        <w:rPr>
          <w:rFonts w:ascii="Times New Roman" w:hAnsi="Times New Roman" w:cs="Times New Roman"/>
        </w:rPr>
      </w:pPr>
      <w:r>
        <w:rPr>
          <w:rFonts w:ascii="Times New Roman" w:hAnsi="Times New Roman" w:cs="Times New Roman"/>
          <w:noProof/>
          <w:lang w:eastAsia="fr-FR"/>
        </w:rPr>
        <w:drawing>
          <wp:inline distT="0" distB="0" distL="0" distR="0" wp14:anchorId="4B19101E" wp14:editId="1A120023">
            <wp:extent cx="5760000" cy="3027000"/>
            <wp:effectExtent l="0" t="0" r="0" b="2540"/>
            <wp:docPr id="775949063" name="Image 3" descr="Une image contenant texte, diagramme, lign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49063" name="Image 3" descr="Une image contenant texte, diagramme, ligne, Police&#10;&#10;Le contenu généré par l’IA peut êtr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00" cy="3027000"/>
                    </a:xfrm>
                    <a:prstGeom prst="rect">
                      <a:avLst/>
                    </a:prstGeom>
                    <a:noFill/>
                  </pic:spPr>
                </pic:pic>
              </a:graphicData>
            </a:graphic>
          </wp:inline>
        </w:drawing>
      </w:r>
    </w:p>
    <w:p w14:paraId="3638F8A9" w14:textId="77777777" w:rsidR="000211AC" w:rsidRDefault="000211AC" w:rsidP="000211AC">
      <w:pPr>
        <w:spacing w:line="240" w:lineRule="auto"/>
        <w:jc w:val="both"/>
        <w:rPr>
          <w:rFonts w:ascii="Times New Roman" w:hAnsi="Times New Roman" w:cs="Times New Roman"/>
          <w:i/>
          <w:iCs/>
          <w:u w:val="single"/>
        </w:rPr>
      </w:pPr>
    </w:p>
    <w:p w14:paraId="42A83C2B" w14:textId="77777777" w:rsidR="000211AC" w:rsidRDefault="000211AC" w:rsidP="000211AC">
      <w:pPr>
        <w:spacing w:line="240" w:lineRule="auto"/>
        <w:jc w:val="both"/>
        <w:rPr>
          <w:rFonts w:ascii="Times New Roman" w:hAnsi="Times New Roman" w:cs="Times New Roman"/>
          <w:i/>
          <w:iCs/>
        </w:rPr>
      </w:pPr>
      <w:r w:rsidRPr="00021DEA">
        <w:rPr>
          <w:rFonts w:ascii="Times New Roman" w:hAnsi="Times New Roman" w:cs="Times New Roman"/>
          <w:i/>
          <w:iCs/>
          <w:u w:val="single"/>
        </w:rPr>
        <w:t>Legend:</w:t>
      </w:r>
      <w:r w:rsidRPr="00021DEA">
        <w:rPr>
          <w:rFonts w:ascii="Times New Roman" w:hAnsi="Times New Roman" w:cs="Times New Roman"/>
          <w:i/>
          <w:iCs/>
        </w:rPr>
        <w:t xml:space="preserve"> </w:t>
      </w:r>
      <w:r>
        <w:rPr>
          <w:rFonts w:ascii="Times New Roman" w:hAnsi="Times New Roman" w:cs="Times New Roman"/>
          <w:i/>
          <w:iCs/>
        </w:rPr>
        <w:t>MCA</w:t>
      </w:r>
      <w:r w:rsidRPr="00021DEA">
        <w:rPr>
          <w:rFonts w:ascii="Times New Roman" w:hAnsi="Times New Roman" w:cs="Times New Roman"/>
          <w:i/>
          <w:iCs/>
        </w:rPr>
        <w:t xml:space="preserve"> biplot illustrating the distribution of individuals and the contribution of categorical and continuous variables. The individuals are represented as points, while categorical variables are displayed as vectors. The plot shows the relationships between the first and second principal components, with continuous variables shown on the axes and categorical variables color-coded for clarity. The variance explained by each component is also indicated in the inset.</w:t>
      </w:r>
    </w:p>
    <w:p w14:paraId="62C1C60E" w14:textId="27D74782" w:rsidR="004F6169" w:rsidRDefault="004F6169">
      <w:pPr>
        <w:rPr>
          <w:rFonts w:ascii="Times New Roman" w:hAnsi="Times New Roman" w:cs="Times New Roman"/>
          <w:i/>
          <w:iCs/>
          <w:sz w:val="20"/>
          <w:szCs w:val="20"/>
        </w:rPr>
      </w:pPr>
      <w:r>
        <w:rPr>
          <w:rFonts w:ascii="Times New Roman" w:hAnsi="Times New Roman" w:cs="Times New Roman"/>
          <w:i/>
          <w:iCs/>
          <w:sz w:val="20"/>
          <w:szCs w:val="20"/>
        </w:rPr>
        <w:br w:type="page"/>
      </w:r>
    </w:p>
    <w:p w14:paraId="6F4BE6F8" w14:textId="3A83A65D" w:rsidR="004F6169" w:rsidRPr="00021DEA" w:rsidRDefault="004F6169" w:rsidP="004F6169">
      <w:pPr>
        <w:spacing w:line="480" w:lineRule="auto"/>
        <w:rPr>
          <w:rFonts w:ascii="Times New Roman" w:hAnsi="Times New Roman" w:cs="Times New Roman"/>
          <w:b/>
          <w:bCs/>
        </w:rPr>
      </w:pPr>
      <w:r>
        <w:rPr>
          <w:rFonts w:ascii="Times New Roman" w:hAnsi="Times New Roman" w:cs="Times New Roman"/>
          <w:b/>
          <w:bCs/>
        </w:rPr>
        <w:lastRenderedPageBreak/>
        <w:t>Appendix</w:t>
      </w:r>
      <w:r w:rsidRPr="00021DEA">
        <w:rPr>
          <w:rFonts w:ascii="Times New Roman" w:hAnsi="Times New Roman" w:cs="Times New Roman"/>
          <w:b/>
          <w:bCs/>
        </w:rPr>
        <w:t xml:space="preserve"> 5.</w:t>
      </w:r>
      <w:r>
        <w:rPr>
          <w:rFonts w:ascii="Times New Roman" w:hAnsi="Times New Roman" w:cs="Times New Roman"/>
          <w:b/>
          <w:bCs/>
        </w:rPr>
        <w:t xml:space="preserve"> </w:t>
      </w:r>
      <w:r w:rsidR="005707BA" w:rsidRPr="005707BA">
        <w:rPr>
          <w:rFonts w:ascii="Times New Roman" w:hAnsi="Times New Roman" w:cs="Times New Roman"/>
          <w:b/>
          <w:bCs/>
        </w:rPr>
        <w:t>Illustration of the three profiles of the swine veterinarians regarding PRRSV</w:t>
      </w:r>
    </w:p>
    <w:p w14:paraId="4DE8BDFD" w14:textId="77777777" w:rsidR="004F6169" w:rsidRDefault="004F6169" w:rsidP="004F6169">
      <w:pPr>
        <w:spacing w:line="480" w:lineRule="auto"/>
        <w:jc w:val="both"/>
        <w:rPr>
          <w:rFonts w:ascii="Times New Roman" w:hAnsi="Times New Roman" w:cs="Times New Roman"/>
        </w:rPr>
      </w:pPr>
    </w:p>
    <w:p w14:paraId="74CD8386" w14:textId="77777777" w:rsidR="004F6169" w:rsidRDefault="004F6169" w:rsidP="004F6169">
      <w:pPr>
        <w:spacing w:line="480" w:lineRule="auto"/>
        <w:jc w:val="both"/>
        <w:rPr>
          <w:rFonts w:ascii="Times New Roman" w:hAnsi="Times New Roman" w:cs="Times New Roman"/>
        </w:rPr>
      </w:pPr>
      <w:r>
        <w:rPr>
          <w:rFonts w:ascii="Times New Roman" w:hAnsi="Times New Roman" w:cs="Times New Roman"/>
          <w:noProof/>
          <w:lang w:eastAsia="fr-FR"/>
        </w:rPr>
        <w:drawing>
          <wp:inline distT="0" distB="0" distL="0" distR="0" wp14:anchorId="0B466E8A" wp14:editId="280B58BC">
            <wp:extent cx="5760000" cy="3027000"/>
            <wp:effectExtent l="0" t="0" r="0" b="2540"/>
            <wp:docPr id="547438131" name="Image 4" descr="Une image contenant texte, diagramme, Tracé,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38131" name="Image 4" descr="Une image contenant texte, diagramme, Tracé, nombr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00" cy="3027000"/>
                    </a:xfrm>
                    <a:prstGeom prst="rect">
                      <a:avLst/>
                    </a:prstGeom>
                    <a:noFill/>
                  </pic:spPr>
                </pic:pic>
              </a:graphicData>
            </a:graphic>
          </wp:inline>
        </w:drawing>
      </w:r>
    </w:p>
    <w:p w14:paraId="0B3BAC1C" w14:textId="77777777" w:rsidR="004F6169" w:rsidRPr="0060004B" w:rsidRDefault="004F6169" w:rsidP="004F6169">
      <w:pPr>
        <w:spacing w:line="240" w:lineRule="auto"/>
        <w:jc w:val="both"/>
        <w:rPr>
          <w:rFonts w:ascii="Times New Roman" w:hAnsi="Times New Roman" w:cs="Times New Roman"/>
          <w:i/>
          <w:iCs/>
        </w:rPr>
      </w:pPr>
      <w:r w:rsidRPr="00021DEA">
        <w:rPr>
          <w:rFonts w:ascii="Times New Roman" w:hAnsi="Times New Roman" w:cs="Times New Roman"/>
          <w:i/>
          <w:iCs/>
          <w:u w:val="single"/>
        </w:rPr>
        <w:t>Legend:</w:t>
      </w:r>
      <w:r w:rsidRPr="00021DEA">
        <w:rPr>
          <w:rFonts w:ascii="Times New Roman" w:hAnsi="Times New Roman" w:cs="Times New Roman"/>
          <w:i/>
          <w:iCs/>
        </w:rPr>
        <w:t xml:space="preserve"> MCA biplot illustrating the distribution of individuals and the contribution of categorical and continuous variables. The individuals are represented as points, while categorical variables are displayed as vectors. The plot shows the relationships between the first and second principal components, with continuous variables shown on the axes and categorical variables color-coded for clarity. The variance explained by each component is also indicated in the inset.</w:t>
      </w:r>
    </w:p>
    <w:p w14:paraId="08DF083E" w14:textId="77777777" w:rsidR="000856D5" w:rsidRDefault="000856D5" w:rsidP="000856D5">
      <w:pPr>
        <w:spacing w:line="240" w:lineRule="auto"/>
        <w:jc w:val="both"/>
        <w:rPr>
          <w:rFonts w:ascii="Times New Roman" w:hAnsi="Times New Roman" w:cs="Times New Roman"/>
          <w:i/>
          <w:iCs/>
          <w:sz w:val="20"/>
          <w:szCs w:val="20"/>
        </w:rPr>
      </w:pPr>
    </w:p>
    <w:p w14:paraId="3E37A6CD" w14:textId="6B311482" w:rsidR="00963307" w:rsidRDefault="00963307">
      <w:r>
        <w:br w:type="page"/>
      </w:r>
    </w:p>
    <w:p w14:paraId="396181A2" w14:textId="6C95203E" w:rsidR="00963307" w:rsidRPr="00021DEA" w:rsidRDefault="00963307" w:rsidP="00963307">
      <w:pPr>
        <w:spacing w:line="480" w:lineRule="auto"/>
        <w:rPr>
          <w:rFonts w:ascii="Times New Roman" w:hAnsi="Times New Roman" w:cs="Times New Roman"/>
          <w:b/>
          <w:bCs/>
        </w:rPr>
      </w:pPr>
      <w:r>
        <w:rPr>
          <w:rFonts w:ascii="Times New Roman" w:hAnsi="Times New Roman" w:cs="Times New Roman"/>
          <w:b/>
          <w:bCs/>
        </w:rPr>
        <w:lastRenderedPageBreak/>
        <w:t>Appendix</w:t>
      </w:r>
      <w:r w:rsidRPr="00021DEA">
        <w:rPr>
          <w:rFonts w:ascii="Times New Roman" w:hAnsi="Times New Roman" w:cs="Times New Roman"/>
          <w:b/>
          <w:bCs/>
        </w:rPr>
        <w:t xml:space="preserve"> 6. </w:t>
      </w:r>
      <w:r w:rsidRPr="00DF6561">
        <w:rPr>
          <w:rFonts w:ascii="Times New Roman" w:hAnsi="Times New Roman" w:cs="Times New Roman"/>
          <w:b/>
          <w:bCs/>
        </w:rPr>
        <w:t>Illustration of the three profiles of the swine veterinarians regarding their PRRSV stabilisation programs’ experiences</w:t>
      </w:r>
    </w:p>
    <w:p w14:paraId="4523FF5F" w14:textId="77777777" w:rsidR="00963307" w:rsidRDefault="00963307" w:rsidP="00963307">
      <w:pPr>
        <w:spacing w:line="480" w:lineRule="auto"/>
        <w:jc w:val="both"/>
        <w:rPr>
          <w:rFonts w:ascii="Times New Roman" w:hAnsi="Times New Roman" w:cs="Times New Roman"/>
        </w:rPr>
      </w:pPr>
    </w:p>
    <w:p w14:paraId="16F7AD7A" w14:textId="3EC5CBB0" w:rsidR="00963307" w:rsidRDefault="00963307" w:rsidP="00963307">
      <w:pPr>
        <w:spacing w:line="480" w:lineRule="auto"/>
        <w:jc w:val="both"/>
        <w:rPr>
          <w:rFonts w:ascii="Times New Roman" w:hAnsi="Times New Roman" w:cs="Times New Roman"/>
        </w:rPr>
      </w:pPr>
      <w:r>
        <w:rPr>
          <w:rFonts w:ascii="Times New Roman" w:hAnsi="Times New Roman" w:cs="Times New Roman"/>
          <w:noProof/>
          <w:lang w:eastAsia="fr-FR"/>
        </w:rPr>
        <w:drawing>
          <wp:inline distT="0" distB="0" distL="0" distR="0" wp14:anchorId="65463E37" wp14:editId="52CDADB4">
            <wp:extent cx="5760000" cy="3027000"/>
            <wp:effectExtent l="0" t="0" r="0" b="2540"/>
            <wp:docPr id="673580536" name="Image 5" descr="Une image contenant texte, diagramme, capture d’écran, car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80536" name="Image 5" descr="Une image contenant texte, diagramme, capture d’écran, carte&#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00" cy="3027000"/>
                    </a:xfrm>
                    <a:prstGeom prst="rect">
                      <a:avLst/>
                    </a:prstGeom>
                    <a:noFill/>
                  </pic:spPr>
                </pic:pic>
              </a:graphicData>
            </a:graphic>
          </wp:inline>
        </w:drawing>
      </w:r>
    </w:p>
    <w:p w14:paraId="048B0B89" w14:textId="77777777" w:rsidR="00963307" w:rsidRPr="00021DEA" w:rsidRDefault="00963307" w:rsidP="00963307">
      <w:pPr>
        <w:spacing w:line="240" w:lineRule="auto"/>
        <w:jc w:val="both"/>
        <w:rPr>
          <w:rFonts w:ascii="Times New Roman" w:hAnsi="Times New Roman" w:cs="Times New Roman"/>
          <w:i/>
          <w:iCs/>
        </w:rPr>
      </w:pPr>
      <w:r w:rsidRPr="00021DEA">
        <w:rPr>
          <w:rFonts w:ascii="Times New Roman" w:hAnsi="Times New Roman" w:cs="Times New Roman"/>
          <w:i/>
          <w:iCs/>
          <w:u w:val="single"/>
        </w:rPr>
        <w:t>Legend:</w:t>
      </w:r>
      <w:r w:rsidRPr="00021DEA">
        <w:rPr>
          <w:rFonts w:ascii="Times New Roman" w:hAnsi="Times New Roman" w:cs="Times New Roman"/>
          <w:i/>
          <w:iCs/>
        </w:rPr>
        <w:t xml:space="preserve"> FAMD biplot illustrating the distribution of individuals and the contribution of categorical and continuous variables. The individuals are represented as points, while categorical variables are displayed as vectors. The plot shows the relationships between the first and second principal components, with continuous variables shown on the axes and categorical variables color-coded for clarity. The variance explained by each component is also indicated in the inset.</w:t>
      </w:r>
    </w:p>
    <w:p w14:paraId="54ECAEB8" w14:textId="77777777" w:rsidR="007902BB" w:rsidRDefault="007902BB"/>
    <w:sectPr w:rsidR="007902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B"/>
    <w:rsid w:val="000211AC"/>
    <w:rsid w:val="000856D5"/>
    <w:rsid w:val="000F443B"/>
    <w:rsid w:val="00250FD1"/>
    <w:rsid w:val="00301D7D"/>
    <w:rsid w:val="00327D67"/>
    <w:rsid w:val="003A4916"/>
    <w:rsid w:val="00423D1C"/>
    <w:rsid w:val="00437B0A"/>
    <w:rsid w:val="004731C4"/>
    <w:rsid w:val="004F6169"/>
    <w:rsid w:val="005707BA"/>
    <w:rsid w:val="005B415C"/>
    <w:rsid w:val="006131E2"/>
    <w:rsid w:val="006443D5"/>
    <w:rsid w:val="006E0EE4"/>
    <w:rsid w:val="007902BB"/>
    <w:rsid w:val="007F024C"/>
    <w:rsid w:val="00963307"/>
    <w:rsid w:val="00994AEF"/>
    <w:rsid w:val="00C22A38"/>
    <w:rsid w:val="00C7199F"/>
    <w:rsid w:val="00CF2A20"/>
    <w:rsid w:val="00D65097"/>
    <w:rsid w:val="00D75E63"/>
    <w:rsid w:val="00E46EFD"/>
    <w:rsid w:val="00F2646C"/>
    <w:rsid w:val="00F77964"/>
    <w:rsid w:val="00FC0E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18EDF"/>
  <w15:chartTrackingRefBased/>
  <w15:docId w15:val="{FBC31A0E-64F3-42A1-BEE8-24FD1D8F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next w:val="Normal"/>
    <w:link w:val="Titre1Car"/>
    <w:uiPriority w:val="9"/>
    <w:qFormat/>
    <w:rsid w:val="00790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90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902B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902B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902B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902B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902B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902B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902B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02B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902B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902B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902B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902B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902B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902B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902B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902BB"/>
    <w:rPr>
      <w:rFonts w:eastAsiaTheme="majorEastAsia" w:cstheme="majorBidi"/>
      <w:color w:val="272727" w:themeColor="text1" w:themeTint="D8"/>
    </w:rPr>
  </w:style>
  <w:style w:type="paragraph" w:styleId="Titre">
    <w:name w:val="Title"/>
    <w:basedOn w:val="Normal"/>
    <w:next w:val="Normal"/>
    <w:link w:val="TitreCar"/>
    <w:uiPriority w:val="10"/>
    <w:qFormat/>
    <w:rsid w:val="00790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902B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902B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902B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902BB"/>
    <w:pPr>
      <w:spacing w:before="160"/>
      <w:jc w:val="center"/>
    </w:pPr>
    <w:rPr>
      <w:i/>
      <w:iCs/>
      <w:color w:val="404040" w:themeColor="text1" w:themeTint="BF"/>
    </w:rPr>
  </w:style>
  <w:style w:type="character" w:customStyle="1" w:styleId="CitationCar">
    <w:name w:val="Citation Car"/>
    <w:basedOn w:val="Policepardfaut"/>
    <w:link w:val="Citation"/>
    <w:uiPriority w:val="29"/>
    <w:rsid w:val="007902BB"/>
    <w:rPr>
      <w:i/>
      <w:iCs/>
      <w:color w:val="404040" w:themeColor="text1" w:themeTint="BF"/>
    </w:rPr>
  </w:style>
  <w:style w:type="paragraph" w:styleId="Paragraphedeliste">
    <w:name w:val="List Paragraph"/>
    <w:basedOn w:val="Normal"/>
    <w:uiPriority w:val="34"/>
    <w:qFormat/>
    <w:rsid w:val="007902BB"/>
    <w:pPr>
      <w:ind w:left="720"/>
      <w:contextualSpacing/>
    </w:pPr>
  </w:style>
  <w:style w:type="character" w:styleId="Accentuationintense">
    <w:name w:val="Intense Emphasis"/>
    <w:basedOn w:val="Policepardfaut"/>
    <w:uiPriority w:val="21"/>
    <w:qFormat/>
    <w:rsid w:val="007902BB"/>
    <w:rPr>
      <w:i/>
      <w:iCs/>
      <w:color w:val="0F4761" w:themeColor="accent1" w:themeShade="BF"/>
    </w:rPr>
  </w:style>
  <w:style w:type="paragraph" w:styleId="Citationintense">
    <w:name w:val="Intense Quote"/>
    <w:basedOn w:val="Normal"/>
    <w:next w:val="Normal"/>
    <w:link w:val="CitationintenseCar"/>
    <w:uiPriority w:val="30"/>
    <w:qFormat/>
    <w:rsid w:val="00790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902BB"/>
    <w:rPr>
      <w:i/>
      <w:iCs/>
      <w:color w:val="0F4761" w:themeColor="accent1" w:themeShade="BF"/>
    </w:rPr>
  </w:style>
  <w:style w:type="character" w:styleId="Rfrenceintense">
    <w:name w:val="Intense Reference"/>
    <w:basedOn w:val="Policepardfaut"/>
    <w:uiPriority w:val="32"/>
    <w:qFormat/>
    <w:rsid w:val="007902BB"/>
    <w:rPr>
      <w:b/>
      <w:bCs/>
      <w:smallCaps/>
      <w:color w:val="0F4761" w:themeColor="accent1" w:themeShade="BF"/>
      <w:spacing w:val="5"/>
    </w:rPr>
  </w:style>
  <w:style w:type="table" w:styleId="Grilledutableau">
    <w:name w:val="Table Grid"/>
    <w:basedOn w:val="TableauNormal"/>
    <w:uiPriority w:val="39"/>
    <w:rsid w:val="00790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902BB"/>
    <w:rPr>
      <w:sz w:val="16"/>
      <w:szCs w:val="16"/>
    </w:rPr>
  </w:style>
  <w:style w:type="paragraph" w:styleId="Commentaire">
    <w:name w:val="annotation text"/>
    <w:basedOn w:val="Normal"/>
    <w:link w:val="CommentaireCar"/>
    <w:uiPriority w:val="99"/>
    <w:unhideWhenUsed/>
    <w:rsid w:val="007902BB"/>
    <w:pPr>
      <w:spacing w:line="240" w:lineRule="auto"/>
    </w:pPr>
    <w:rPr>
      <w:sz w:val="20"/>
      <w:szCs w:val="20"/>
    </w:rPr>
  </w:style>
  <w:style w:type="character" w:customStyle="1" w:styleId="CommentaireCar">
    <w:name w:val="Commentaire Car"/>
    <w:basedOn w:val="Policepardfaut"/>
    <w:link w:val="Commentaire"/>
    <w:uiPriority w:val="99"/>
    <w:rsid w:val="007902BB"/>
    <w:rPr>
      <w:sz w:val="20"/>
      <w:szCs w:val="20"/>
    </w:rPr>
  </w:style>
  <w:style w:type="character" w:styleId="CodeHTML">
    <w:name w:val="HTML Code"/>
    <w:basedOn w:val="Policepardfaut"/>
    <w:uiPriority w:val="99"/>
    <w:semiHidden/>
    <w:unhideWhenUsed/>
    <w:rsid w:val="007902BB"/>
    <w:rPr>
      <w:rFonts w:ascii="Courier New" w:eastAsia="Times New Roman" w:hAnsi="Courier New" w:cs="Courier New"/>
      <w:sz w:val="20"/>
      <w:szCs w:val="20"/>
    </w:rPr>
  </w:style>
  <w:style w:type="paragraph" w:styleId="Objetducommentaire">
    <w:name w:val="annotation subject"/>
    <w:basedOn w:val="Commentaire"/>
    <w:next w:val="Commentaire"/>
    <w:link w:val="ObjetducommentaireCar"/>
    <w:uiPriority w:val="99"/>
    <w:semiHidden/>
    <w:unhideWhenUsed/>
    <w:rsid w:val="007F024C"/>
    <w:rPr>
      <w:b/>
      <w:bCs/>
    </w:rPr>
  </w:style>
  <w:style w:type="character" w:customStyle="1" w:styleId="ObjetducommentaireCar">
    <w:name w:val="Objet du commentaire Car"/>
    <w:basedOn w:val="CommentaireCar"/>
    <w:link w:val="Objetducommentaire"/>
    <w:uiPriority w:val="99"/>
    <w:semiHidden/>
    <w:rsid w:val="007F024C"/>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415246">
      <w:bodyDiv w:val="1"/>
      <w:marLeft w:val="0"/>
      <w:marRight w:val="0"/>
      <w:marTop w:val="0"/>
      <w:marBottom w:val="0"/>
      <w:divBdr>
        <w:top w:val="none" w:sz="0" w:space="0" w:color="auto"/>
        <w:left w:val="none" w:sz="0" w:space="0" w:color="auto"/>
        <w:bottom w:val="none" w:sz="0" w:space="0" w:color="auto"/>
        <w:right w:val="none" w:sz="0" w:space="0" w:color="auto"/>
      </w:divBdr>
    </w:div>
    <w:div w:id="468280438">
      <w:bodyDiv w:val="1"/>
      <w:marLeft w:val="0"/>
      <w:marRight w:val="0"/>
      <w:marTop w:val="0"/>
      <w:marBottom w:val="0"/>
      <w:divBdr>
        <w:top w:val="none" w:sz="0" w:space="0" w:color="auto"/>
        <w:left w:val="none" w:sz="0" w:space="0" w:color="auto"/>
        <w:bottom w:val="none" w:sz="0" w:space="0" w:color="auto"/>
        <w:right w:val="none" w:sz="0" w:space="0" w:color="auto"/>
      </w:divBdr>
    </w:div>
    <w:div w:id="471335905">
      <w:bodyDiv w:val="1"/>
      <w:marLeft w:val="0"/>
      <w:marRight w:val="0"/>
      <w:marTop w:val="0"/>
      <w:marBottom w:val="0"/>
      <w:divBdr>
        <w:top w:val="none" w:sz="0" w:space="0" w:color="auto"/>
        <w:left w:val="none" w:sz="0" w:space="0" w:color="auto"/>
        <w:bottom w:val="none" w:sz="0" w:space="0" w:color="auto"/>
        <w:right w:val="none" w:sz="0" w:space="0" w:color="auto"/>
      </w:divBdr>
    </w:div>
    <w:div w:id="591282442">
      <w:bodyDiv w:val="1"/>
      <w:marLeft w:val="0"/>
      <w:marRight w:val="0"/>
      <w:marTop w:val="0"/>
      <w:marBottom w:val="0"/>
      <w:divBdr>
        <w:top w:val="none" w:sz="0" w:space="0" w:color="auto"/>
        <w:left w:val="none" w:sz="0" w:space="0" w:color="auto"/>
        <w:bottom w:val="none" w:sz="0" w:space="0" w:color="auto"/>
        <w:right w:val="none" w:sz="0" w:space="0" w:color="auto"/>
      </w:divBdr>
    </w:div>
    <w:div w:id="658465482">
      <w:bodyDiv w:val="1"/>
      <w:marLeft w:val="0"/>
      <w:marRight w:val="0"/>
      <w:marTop w:val="0"/>
      <w:marBottom w:val="0"/>
      <w:divBdr>
        <w:top w:val="none" w:sz="0" w:space="0" w:color="auto"/>
        <w:left w:val="none" w:sz="0" w:space="0" w:color="auto"/>
        <w:bottom w:val="none" w:sz="0" w:space="0" w:color="auto"/>
        <w:right w:val="none" w:sz="0" w:space="0" w:color="auto"/>
      </w:divBdr>
    </w:div>
    <w:div w:id="709840999">
      <w:bodyDiv w:val="1"/>
      <w:marLeft w:val="0"/>
      <w:marRight w:val="0"/>
      <w:marTop w:val="0"/>
      <w:marBottom w:val="0"/>
      <w:divBdr>
        <w:top w:val="none" w:sz="0" w:space="0" w:color="auto"/>
        <w:left w:val="none" w:sz="0" w:space="0" w:color="auto"/>
        <w:bottom w:val="none" w:sz="0" w:space="0" w:color="auto"/>
        <w:right w:val="none" w:sz="0" w:space="0" w:color="auto"/>
      </w:divBdr>
    </w:div>
    <w:div w:id="883251513">
      <w:bodyDiv w:val="1"/>
      <w:marLeft w:val="0"/>
      <w:marRight w:val="0"/>
      <w:marTop w:val="0"/>
      <w:marBottom w:val="0"/>
      <w:divBdr>
        <w:top w:val="none" w:sz="0" w:space="0" w:color="auto"/>
        <w:left w:val="none" w:sz="0" w:space="0" w:color="auto"/>
        <w:bottom w:val="none" w:sz="0" w:space="0" w:color="auto"/>
        <w:right w:val="none" w:sz="0" w:space="0" w:color="auto"/>
      </w:divBdr>
    </w:div>
    <w:div w:id="1028801943">
      <w:bodyDiv w:val="1"/>
      <w:marLeft w:val="0"/>
      <w:marRight w:val="0"/>
      <w:marTop w:val="0"/>
      <w:marBottom w:val="0"/>
      <w:divBdr>
        <w:top w:val="none" w:sz="0" w:space="0" w:color="auto"/>
        <w:left w:val="none" w:sz="0" w:space="0" w:color="auto"/>
        <w:bottom w:val="none" w:sz="0" w:space="0" w:color="auto"/>
        <w:right w:val="none" w:sz="0" w:space="0" w:color="auto"/>
      </w:divBdr>
    </w:div>
    <w:div w:id="1297561965">
      <w:bodyDiv w:val="1"/>
      <w:marLeft w:val="0"/>
      <w:marRight w:val="0"/>
      <w:marTop w:val="0"/>
      <w:marBottom w:val="0"/>
      <w:divBdr>
        <w:top w:val="none" w:sz="0" w:space="0" w:color="auto"/>
        <w:left w:val="none" w:sz="0" w:space="0" w:color="auto"/>
        <w:bottom w:val="none" w:sz="0" w:space="0" w:color="auto"/>
        <w:right w:val="none" w:sz="0" w:space="0" w:color="auto"/>
      </w:divBdr>
    </w:div>
    <w:div w:id="1421372875">
      <w:bodyDiv w:val="1"/>
      <w:marLeft w:val="0"/>
      <w:marRight w:val="0"/>
      <w:marTop w:val="0"/>
      <w:marBottom w:val="0"/>
      <w:divBdr>
        <w:top w:val="none" w:sz="0" w:space="0" w:color="auto"/>
        <w:left w:val="none" w:sz="0" w:space="0" w:color="auto"/>
        <w:bottom w:val="none" w:sz="0" w:space="0" w:color="auto"/>
        <w:right w:val="none" w:sz="0" w:space="0" w:color="auto"/>
      </w:divBdr>
    </w:div>
    <w:div w:id="1469322896">
      <w:bodyDiv w:val="1"/>
      <w:marLeft w:val="0"/>
      <w:marRight w:val="0"/>
      <w:marTop w:val="0"/>
      <w:marBottom w:val="0"/>
      <w:divBdr>
        <w:top w:val="none" w:sz="0" w:space="0" w:color="auto"/>
        <w:left w:val="none" w:sz="0" w:space="0" w:color="auto"/>
        <w:bottom w:val="none" w:sz="0" w:space="0" w:color="auto"/>
        <w:right w:val="none" w:sz="0" w:space="0" w:color="auto"/>
      </w:divBdr>
    </w:div>
    <w:div w:id="1598754507">
      <w:bodyDiv w:val="1"/>
      <w:marLeft w:val="0"/>
      <w:marRight w:val="0"/>
      <w:marTop w:val="0"/>
      <w:marBottom w:val="0"/>
      <w:divBdr>
        <w:top w:val="none" w:sz="0" w:space="0" w:color="auto"/>
        <w:left w:val="none" w:sz="0" w:space="0" w:color="auto"/>
        <w:bottom w:val="none" w:sz="0" w:space="0" w:color="auto"/>
        <w:right w:val="none" w:sz="0" w:space="0" w:color="auto"/>
      </w:divBdr>
    </w:div>
    <w:div w:id="1879050379">
      <w:bodyDiv w:val="1"/>
      <w:marLeft w:val="0"/>
      <w:marRight w:val="0"/>
      <w:marTop w:val="0"/>
      <w:marBottom w:val="0"/>
      <w:divBdr>
        <w:top w:val="none" w:sz="0" w:space="0" w:color="auto"/>
        <w:left w:val="none" w:sz="0" w:space="0" w:color="auto"/>
        <w:bottom w:val="none" w:sz="0" w:space="0" w:color="auto"/>
        <w:right w:val="none" w:sz="0" w:space="0" w:color="auto"/>
      </w:divBdr>
    </w:div>
    <w:div w:id="1885672784">
      <w:bodyDiv w:val="1"/>
      <w:marLeft w:val="0"/>
      <w:marRight w:val="0"/>
      <w:marTop w:val="0"/>
      <w:marBottom w:val="0"/>
      <w:divBdr>
        <w:top w:val="none" w:sz="0" w:space="0" w:color="auto"/>
        <w:left w:val="none" w:sz="0" w:space="0" w:color="auto"/>
        <w:bottom w:val="none" w:sz="0" w:space="0" w:color="auto"/>
        <w:right w:val="none" w:sz="0" w:space="0" w:color="auto"/>
      </w:divBdr>
    </w:div>
    <w:div w:id="1889294508">
      <w:bodyDiv w:val="1"/>
      <w:marLeft w:val="0"/>
      <w:marRight w:val="0"/>
      <w:marTop w:val="0"/>
      <w:marBottom w:val="0"/>
      <w:divBdr>
        <w:top w:val="none" w:sz="0" w:space="0" w:color="auto"/>
        <w:left w:val="none" w:sz="0" w:space="0" w:color="auto"/>
        <w:bottom w:val="none" w:sz="0" w:space="0" w:color="auto"/>
        <w:right w:val="none" w:sz="0" w:space="0" w:color="auto"/>
      </w:divBdr>
    </w:div>
    <w:div w:id="1929387069">
      <w:bodyDiv w:val="1"/>
      <w:marLeft w:val="0"/>
      <w:marRight w:val="0"/>
      <w:marTop w:val="0"/>
      <w:marBottom w:val="0"/>
      <w:divBdr>
        <w:top w:val="none" w:sz="0" w:space="0" w:color="auto"/>
        <w:left w:val="none" w:sz="0" w:space="0" w:color="auto"/>
        <w:bottom w:val="none" w:sz="0" w:space="0" w:color="auto"/>
        <w:right w:val="none" w:sz="0" w:space="0" w:color="auto"/>
      </w:divBdr>
    </w:div>
    <w:div w:id="197606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1586</Words>
  <Characters>8729</Characters>
  <Application>Microsoft Office Word</Application>
  <DocSecurity>0</DocSecurity>
  <Lines>72</Lines>
  <Paragraphs>20</Paragraphs>
  <ScaleCrop>false</ScaleCrop>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Teixeira-Costa</dc:creator>
  <cp:keywords/>
  <dc:description/>
  <cp:lastModifiedBy>Charlotte Teixeira-Costa</cp:lastModifiedBy>
  <cp:revision>2</cp:revision>
  <dcterms:created xsi:type="dcterms:W3CDTF">2025-07-02T09:45:00Z</dcterms:created>
  <dcterms:modified xsi:type="dcterms:W3CDTF">2025-07-02T09:45:00Z</dcterms:modified>
</cp:coreProperties>
</file>