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ind w:firstLine="480" w:firstLineChars="200"/>
      </w:pP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"/>
        </w:rPr>
        <w:t xml:space="preserve">Table 3 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Effect of PPH supplement on the routine blood parameters of pigs</w:t>
      </w:r>
    </w:p>
    <w:tbl>
      <w:tblPr>
        <w:tblStyle w:val="13"/>
        <w:tblW w:w="926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9"/>
        <w:gridCol w:w="959"/>
        <w:gridCol w:w="958"/>
        <w:gridCol w:w="957"/>
        <w:gridCol w:w="1018"/>
        <w:gridCol w:w="966"/>
        <w:gridCol w:w="754"/>
        <w:gridCol w:w="10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260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Item</w:t>
            </w:r>
          </w:p>
        </w:tc>
        <w:tc>
          <w:tcPr>
            <w:tcW w:w="95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5" w:leftChars="-50" w:right="0" w:right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1.25%</w:t>
            </w:r>
          </w:p>
        </w:tc>
        <w:tc>
          <w:tcPr>
            <w:tcW w:w="95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5" w:leftChars="-50" w:right="0" w:right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2.5%</w:t>
            </w:r>
          </w:p>
        </w:tc>
        <w:tc>
          <w:tcPr>
            <w:tcW w:w="101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5" w:leftChars="-50" w:right="0" w:right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3.75%</w:t>
            </w:r>
          </w:p>
        </w:tc>
        <w:tc>
          <w:tcPr>
            <w:tcW w:w="96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5" w:leftChars="-50" w:right="0" w:right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5%</w:t>
            </w:r>
          </w:p>
        </w:tc>
        <w:tc>
          <w:tcPr>
            <w:tcW w:w="75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SEM</w:t>
            </w:r>
          </w:p>
        </w:tc>
        <w:tc>
          <w:tcPr>
            <w:tcW w:w="104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 w:eastAsia="zh-CN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WBC, 10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vertAlign w:val="superscript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/L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18.26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19.51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19.47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15.60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21.56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1.342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0.742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Neutrophils, 10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vertAlign w:val="superscript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/L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1.867ab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1.935ab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1.707b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1.563b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3.017a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0.197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0.135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Lymphocytes, 10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vertAlign w:val="superscript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/L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16.14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17.31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17.49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13.81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18.03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1.219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0.844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Monocytes, 10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vertAlign w:val="superscript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/L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0.178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0.138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0.183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0.118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0.212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0.481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Eosinophils, 10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vertAlign w:val="superscript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/L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0.078b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0.115b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0.087b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0.088b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0.228a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Basophils, 10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vertAlign w:val="superscript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/L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0.002b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0.017ab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0.000b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0.017ab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0.067a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0.147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Neutrophils, 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9.955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9.560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8.835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13.617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14.433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1.088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0.369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Lymphocytes, 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88.62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89.14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89.75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84.12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83.33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1.304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0.384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Monocytes, 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0.958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0.718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0.965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1.483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0.933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0.179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0.764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Eosinophils, 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0.452b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0.532ab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0.447b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0.700ab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1.083a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0.145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Basophils, 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0.017b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0.050ab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0.000b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0.083ab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0.217a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Red blood cell count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, 10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vertAlign w:val="superscript"/>
                <w:lang w:val="en-US" w:eastAsia="zh-CN" w:bidi="ar"/>
                <w14:ligatures w14:val="standardContextual"/>
              </w:rPr>
              <w:t>12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/L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6.685a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6.708a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7.435a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4.277b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7.052a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0.363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Hemoglobin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, g/L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116.3ab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117.5ab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134.8a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79.0b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126.2a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6.349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Hematocrit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, 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40.65a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41.05a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45.92a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26.35b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42.72b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2.214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Mean corpuscular volume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, fL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60.78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61.62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61.95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61.35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60.43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0.483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0.879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Mean corpuscular hemoglobin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, pg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17.38b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17.72ab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18.20ab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18.67a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17.85ab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0.182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0.216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Mean corpuscular hemoglobin concentration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 xml:space="preserve">, g/L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286.0b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287.7b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294.0ab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304.5a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295.7ab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2.084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Platelet count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, 10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vertAlign w:val="superscript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/L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107.2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194.5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196.0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174.2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174.3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21.03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0.695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Mean platelet volume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, fL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9.55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9.30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9.42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9.03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9.95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0.191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0.674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2609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Plateletcrit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, %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0.101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0.193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0.185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0.172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0.178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0.021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0.674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balanceSingleByteDoubleByteWidth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09D"/>
    <w:rsid w:val="001E1B7E"/>
    <w:rsid w:val="003F5179"/>
    <w:rsid w:val="00490A4E"/>
    <w:rsid w:val="00AF7A95"/>
    <w:rsid w:val="00CC798B"/>
    <w:rsid w:val="00D5309D"/>
    <w:rsid w:val="00ED1532"/>
    <w:rsid w:val="47A35F56"/>
    <w:rsid w:val="5675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5">
    <w:name w:val="Strong"/>
    <w:basedOn w:val="14"/>
    <w:qFormat/>
    <w:uiPriority w:val="22"/>
    <w:rPr>
      <w:b/>
    </w:rPr>
  </w:style>
  <w:style w:type="character" w:customStyle="1" w:styleId="16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7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0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1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2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4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明显引用 字符"/>
    <w:basedOn w:val="14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1140</Characters>
  <Lines>17</Lines>
  <Paragraphs>6</Paragraphs>
  <TotalTime>3</TotalTime>
  <ScaleCrop>false</ScaleCrop>
  <LinksUpToDate>false</LinksUpToDate>
  <CharactersWithSpaces>1174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2025-07-07T10:15:00Z</dcterms:created>
  <dc:creator>春艳 谢</dc:creator>
  <cp:lastModifiedBy>谢春艳</cp:lastModifiedBy>
  <dcterms:modified xsi:type="dcterms:W3CDTF">2025-07-07T10:43:31Z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265B0B5ACD5D421AAC87CE9895623300</vt:lpwstr>
  </property>
</Properties>
</file>