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997" w:rsidRDefault="00811997" w:rsidP="00811997">
      <w:pPr>
        <w:suppressAutoHyphens w:val="0"/>
        <w:spacing w:after="200" w:line="276" w:lineRule="auto"/>
        <w:rPr>
          <w:rFonts w:eastAsia="Calibri"/>
          <w:lang w:val="en-US" w:eastAsia="en-US"/>
        </w:rPr>
      </w:pPr>
      <w:r w:rsidRPr="00E65476">
        <w:rPr>
          <w:rFonts w:eastAsia="Calibri"/>
          <w:b/>
          <w:lang w:val="en-US" w:eastAsia="en-US"/>
        </w:rPr>
        <w:t xml:space="preserve">Table </w:t>
      </w:r>
      <w:r w:rsidR="003F0264">
        <w:rPr>
          <w:rFonts w:eastAsia="Calibri"/>
          <w:b/>
          <w:lang w:val="en-US" w:eastAsia="en-US"/>
        </w:rPr>
        <w:t>S</w:t>
      </w:r>
      <w:r w:rsidRPr="00E65476">
        <w:rPr>
          <w:rFonts w:eastAsia="Calibri"/>
          <w:b/>
          <w:lang w:val="en-US" w:eastAsia="en-US"/>
        </w:rPr>
        <w:t>1</w:t>
      </w:r>
      <w:r w:rsidR="003F0264">
        <w:rPr>
          <w:rFonts w:eastAsia="Calibri"/>
          <w:b/>
          <w:lang w:val="en-US" w:eastAsia="en-US"/>
        </w:rPr>
        <w:t xml:space="preserve"> </w:t>
      </w:r>
      <w:bookmarkStart w:id="0" w:name="_GoBack"/>
      <w:bookmarkEnd w:id="0"/>
      <w:r w:rsidR="00C114D0" w:rsidRPr="00C114D0">
        <w:rPr>
          <w:rFonts w:eastAsia="Calibri"/>
          <w:lang w:val="en-US" w:eastAsia="en-US"/>
        </w:rPr>
        <w:t>Baseline demographic and clinical characteristics of selected controls and study participants from administrative data, by center.</w:t>
      </w:r>
    </w:p>
    <w:tbl>
      <w:tblPr>
        <w:tblW w:w="13805" w:type="dxa"/>
        <w:tblInd w:w="-1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2"/>
        <w:gridCol w:w="33"/>
        <w:gridCol w:w="3300"/>
        <w:gridCol w:w="1635"/>
        <w:gridCol w:w="1635"/>
        <w:gridCol w:w="1590"/>
        <w:gridCol w:w="1680"/>
        <w:gridCol w:w="1635"/>
        <w:gridCol w:w="1635"/>
      </w:tblGrid>
      <w:tr w:rsidR="00811997" w:rsidRPr="00811997" w:rsidTr="00811997">
        <w:trPr>
          <w:trHeight w:val="277"/>
        </w:trPr>
        <w:tc>
          <w:tcPr>
            <w:tcW w:w="3995" w:type="dxa"/>
            <w:gridSpan w:val="3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86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Center 1</w:t>
            </w:r>
          </w:p>
        </w:tc>
        <w:tc>
          <w:tcPr>
            <w:tcW w:w="4950" w:type="dxa"/>
            <w:gridSpan w:val="3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Center 2</w:t>
            </w:r>
          </w:p>
        </w:tc>
      </w:tr>
      <w:tr w:rsidR="00811997" w:rsidRPr="00811997" w:rsidTr="00811997">
        <w:trPr>
          <w:trHeight w:val="300"/>
        </w:trPr>
        <w:tc>
          <w:tcPr>
            <w:tcW w:w="3995" w:type="dxa"/>
            <w:gridSpan w:val="3"/>
            <w:vMerge w:val="restart"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Variable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Control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AToM</w:t>
            </w:r>
            <w:proofErr w:type="spellEnd"/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</w:p>
          <w:p w:rsidR="00811997" w:rsidRPr="00811997" w:rsidRDefault="00811997" w:rsidP="00AC26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Standardized difference (%)</w:t>
            </w: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eastAsia="en-CA"/>
              </w:rPr>
              <w:t>a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Control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AToM</w:t>
            </w:r>
            <w:proofErr w:type="spellEnd"/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</w:p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n-CA"/>
              </w:rPr>
              <w:t>Standardized difference (%)</w:t>
            </w:r>
            <w:r w:rsidRPr="0081199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  <w:lang w:eastAsia="en-CA"/>
              </w:rPr>
              <w:t>a</w:t>
            </w:r>
          </w:p>
        </w:tc>
      </w:tr>
      <w:tr w:rsidR="00811997" w:rsidRPr="00811997" w:rsidTr="00811997">
        <w:trPr>
          <w:trHeight w:val="50"/>
        </w:trPr>
        <w:tc>
          <w:tcPr>
            <w:tcW w:w="3995" w:type="dxa"/>
            <w:gridSpan w:val="3"/>
            <w:vMerge/>
            <w:tcBorders>
              <w:top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n=145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n=56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n=70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n=21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bottom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151"/>
        </w:trPr>
        <w:tc>
          <w:tcPr>
            <w:tcW w:w="3995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Age at diagnosis, mean (SD)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50.0 (11.3)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53.6 (10.9)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-32.4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57.3 (10.5)</w:t>
            </w:r>
          </w:p>
        </w:tc>
        <w:tc>
          <w:tcPr>
            <w:tcW w:w="1635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58.5 (11.0)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-11.3</w:t>
            </w:r>
          </w:p>
        </w:tc>
      </w:tr>
      <w:tr w:rsidR="00811997" w:rsidRPr="00811997" w:rsidTr="00811997">
        <w:trPr>
          <w:trHeight w:val="80"/>
        </w:trPr>
        <w:tc>
          <w:tcPr>
            <w:tcW w:w="39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Neighbourhood Income Quintile, n (%)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59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uppressAutoHyphens w:val="0"/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val="en-US" w:eastAsia="en-US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Lowest Quintile</w:t>
            </w:r>
          </w:p>
        </w:tc>
        <w:tc>
          <w:tcPr>
            <w:tcW w:w="1635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val="en-US" w:eastAsia="en-US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14 (9.7)</w:t>
            </w:r>
          </w:p>
        </w:tc>
        <w:tc>
          <w:tcPr>
            <w:tcW w:w="1635" w:type="dxa"/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11 (19.6)</w:t>
            </w:r>
          </w:p>
        </w:tc>
        <w:tc>
          <w:tcPr>
            <w:tcW w:w="1590" w:type="dxa"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-28.5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uppressAutoHyphens w:val="0"/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val="en-US" w:eastAsia="en-US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&lt;6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6 (28.6)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-58.3</w:t>
            </w: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top w:val="nil"/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Medium to Low Quintile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16 (11.0)</w:t>
            </w:r>
          </w:p>
        </w:tc>
        <w:tc>
          <w:tcPr>
            <w:tcW w:w="1635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6 (10.7)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9 (12.9)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28.9</w:t>
            </w: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Middle Quintile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34 (23.4)</w:t>
            </w:r>
          </w:p>
        </w:tc>
        <w:tc>
          <w:tcPr>
            <w:tcW w:w="1635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12 (21.4)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17 (24.3)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12.7</w:t>
            </w: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Medium to High Quintile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37 (25.5)</w:t>
            </w:r>
          </w:p>
        </w:tc>
        <w:tc>
          <w:tcPr>
            <w:tcW w:w="1635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10 (17.9)</w:t>
            </w:r>
          </w:p>
        </w:tc>
        <w:tc>
          <w:tcPr>
            <w:tcW w:w="1590" w:type="dxa"/>
            <w:tcBorders>
              <w:left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18.7</w:t>
            </w:r>
          </w:p>
        </w:tc>
        <w:tc>
          <w:tcPr>
            <w:tcW w:w="1680" w:type="dxa"/>
            <w:tcBorders>
              <w:left w:val="single" w:sz="8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15 (21.4)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left w:val="nil"/>
            </w:tcBorders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18.7</w:t>
            </w: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top w:val="nil"/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Highest Quintile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42 (29.0)</w:t>
            </w:r>
          </w:p>
        </w:tc>
        <w:tc>
          <w:tcPr>
            <w:tcW w:w="1635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17 (30.4)</w:t>
            </w:r>
          </w:p>
        </w:tc>
        <w:tc>
          <w:tcPr>
            <w:tcW w:w="1590" w:type="dxa"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-3.0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22 (31.4)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7 (33.3)</w:t>
            </w:r>
          </w:p>
        </w:tc>
        <w:tc>
          <w:tcPr>
            <w:tcW w:w="1635" w:type="dxa"/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-4.1</w:t>
            </w:r>
          </w:p>
        </w:tc>
      </w:tr>
      <w:tr w:rsidR="00811997" w:rsidRPr="00811997" w:rsidTr="00811997">
        <w:trPr>
          <w:trHeight w:val="80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3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35" w:type="dxa"/>
            <w:tcBorders>
              <w:left w:val="single" w:sz="4" w:space="0" w:color="auto"/>
              <w:bottom w:val="single" w:sz="4" w:space="0" w:color="C1C1C1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2 (1.4)</w:t>
            </w:r>
          </w:p>
        </w:tc>
        <w:tc>
          <w:tcPr>
            <w:tcW w:w="1635" w:type="dxa"/>
            <w:tcBorders>
              <w:bottom w:val="single" w:sz="4" w:space="0" w:color="C1C1C1"/>
            </w:tcBorders>
            <w:shd w:val="clear" w:color="000000" w:fill="FFFFFF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90" w:type="dxa"/>
            <w:tcBorders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5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811997" w:rsidRPr="00811997" w:rsidTr="00811997">
        <w:trPr>
          <w:trHeight w:val="98"/>
        </w:trPr>
        <w:tc>
          <w:tcPr>
            <w:tcW w:w="39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Stage at diagnosis, n (%)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950" w:type="dxa"/>
            <w:gridSpan w:val="3"/>
            <w:tcBorders>
              <w:top w:val="single" w:sz="4" w:space="0" w:color="auto"/>
              <w:left w:val="single" w:sz="8" w:space="0" w:color="auto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107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DBE5F1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Stage I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25 (17.2)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7 (12.5)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13.4</w:t>
            </w:r>
          </w:p>
        </w:tc>
        <w:tc>
          <w:tcPr>
            <w:tcW w:w="1680" w:type="dxa"/>
            <w:tcBorders>
              <w:top w:val="nil"/>
              <w:left w:val="nil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16 (22.9)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nil"/>
              <w:left w:val="nil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9.4</w:t>
            </w:r>
          </w:p>
        </w:tc>
      </w:tr>
      <w:tr w:rsidR="00811997" w:rsidRPr="00811997" w:rsidTr="00811997">
        <w:trPr>
          <w:trHeight w:val="125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DBE5F1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Stage II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79 (54.5)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30 (53.6)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1.8</w:t>
            </w:r>
          </w:p>
        </w:tc>
        <w:tc>
          <w:tcPr>
            <w:tcW w:w="1680" w:type="dxa"/>
            <w:tcBorders>
              <w:top w:val="nil"/>
              <w:left w:val="nil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41 (58.6)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13 (61.9)</w:t>
            </w:r>
          </w:p>
        </w:tc>
        <w:tc>
          <w:tcPr>
            <w:tcW w:w="1635" w:type="dxa"/>
            <w:tcBorders>
              <w:top w:val="nil"/>
              <w:left w:val="nil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-6.8</w:t>
            </w:r>
          </w:p>
        </w:tc>
      </w:tr>
      <w:tr w:rsidR="00811997" w:rsidRPr="00811997" w:rsidTr="00811997">
        <w:trPr>
          <w:trHeight w:val="80"/>
        </w:trPr>
        <w:tc>
          <w:tcPr>
            <w:tcW w:w="695" w:type="dxa"/>
            <w:gridSpan w:val="2"/>
            <w:tcBorders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Stage III</w:t>
            </w:r>
          </w:p>
        </w:tc>
        <w:tc>
          <w:tcPr>
            <w:tcW w:w="163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41 (28.3)</w:t>
            </w:r>
          </w:p>
        </w:tc>
        <w:tc>
          <w:tcPr>
            <w:tcW w:w="1635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19 (33.9)</w:t>
            </w:r>
          </w:p>
        </w:tc>
        <w:tc>
          <w:tcPr>
            <w:tcW w:w="159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-12.2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13 (18.6)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rFonts w:cs="Arial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635" w:type="dxa"/>
            <w:tcBorders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-1.2</w:t>
            </w:r>
          </w:p>
        </w:tc>
      </w:tr>
      <w:tr w:rsidR="00811997" w:rsidRPr="00811997" w:rsidTr="00811997">
        <w:trPr>
          <w:trHeight w:val="89"/>
        </w:trPr>
        <w:tc>
          <w:tcPr>
            <w:tcW w:w="3995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Regimen categories, n (%)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AC-P weekly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21 (30.0)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7 (33.3)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-7.2</w:t>
            </w: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AC-P Q14D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64 (44.1)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30 (53.6)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-19.0</w:t>
            </w: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20 (28.6)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22.5</w:t>
            </w: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AC-P Q21D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14 - 19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-2.3</w:t>
            </w: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FEC-100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10 - 15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-12.8</w:t>
            </w: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FEC-T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57 (39.3)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15 (26.8)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26.9</w:t>
            </w: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89"/>
        </w:trPr>
        <w:tc>
          <w:tcPr>
            <w:tcW w:w="695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TC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19-23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6-10</w:t>
            </w:r>
          </w:p>
        </w:tc>
        <w:tc>
          <w:tcPr>
            <w:tcW w:w="159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-5.3</w:t>
            </w:r>
          </w:p>
        </w:tc>
        <w:tc>
          <w:tcPr>
            <w:tcW w:w="1680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188"/>
        </w:trPr>
        <w:tc>
          <w:tcPr>
            <w:tcW w:w="695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3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Other</w:t>
            </w:r>
          </w:p>
        </w:tc>
        <w:tc>
          <w:tcPr>
            <w:tcW w:w="163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59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-9.9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635" w:type="dxa"/>
            <w:tcBorders>
              <w:left w:val="nil"/>
              <w:bottom w:val="single" w:sz="4" w:space="0" w:color="auto"/>
            </w:tcBorders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811997" w:rsidRPr="00811997" w:rsidTr="00811997">
        <w:trPr>
          <w:trHeight w:val="107"/>
        </w:trPr>
        <w:tc>
          <w:tcPr>
            <w:tcW w:w="3995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Number of chemotherapy administrations, mean (SD)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6.5 (2.3)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6.7 (2.1)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-11.7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7.2 (5.4)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9.4 (4.7)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-45.1</w:t>
            </w:r>
          </w:p>
        </w:tc>
      </w:tr>
      <w:tr w:rsidR="00811997" w:rsidRPr="00811997" w:rsidTr="00811997">
        <w:trPr>
          <w:trHeight w:val="107"/>
        </w:trPr>
        <w:tc>
          <w:tcPr>
            <w:tcW w:w="39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Charlson</w:t>
            </w:r>
            <w:proofErr w:type="spellEnd"/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 xml:space="preserve"> comorbidity score, mean (SD)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0.0 (0.1)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0.0 (0.0)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16.7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0.1 (0.4)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0.2 (0.5)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-38.9</w:t>
            </w:r>
          </w:p>
        </w:tc>
      </w:tr>
      <w:tr w:rsidR="00811997" w:rsidRPr="00811997" w:rsidTr="00811997">
        <w:trPr>
          <w:trHeight w:val="107"/>
        </w:trPr>
        <w:tc>
          <w:tcPr>
            <w:tcW w:w="39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At least one hospitalization one year prior to cancer diagnosis, n (%)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10 (6.9)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25.3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EEAF6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EEAF6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-20.8</w:t>
            </w:r>
          </w:p>
        </w:tc>
      </w:tr>
      <w:tr w:rsidR="00811997" w:rsidRPr="00811997" w:rsidTr="00811997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3995" w:type="dxa"/>
            <w:gridSpan w:val="3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97" w:rsidRPr="00811997" w:rsidRDefault="00811997" w:rsidP="00AC2647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11997">
              <w:rPr>
                <w:rFonts w:eastAsia="Times New Roman"/>
                <w:b/>
                <w:color w:val="000000"/>
                <w:sz w:val="18"/>
                <w:szCs w:val="18"/>
                <w:lang w:eastAsia="en-CA"/>
              </w:rPr>
              <w:t>At least one ED visit one year prior to cancer diagnosis, n (%)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24 (16.6)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8 (14.3)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6.3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811997" w:rsidRPr="00811997" w:rsidRDefault="00811997" w:rsidP="00AC26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23 (32.9)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*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811997" w:rsidRPr="00811997" w:rsidRDefault="00811997" w:rsidP="0081199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11997">
              <w:rPr>
                <w:sz w:val="18"/>
                <w:szCs w:val="18"/>
              </w:rPr>
              <w:t>44.8</w:t>
            </w:r>
          </w:p>
        </w:tc>
      </w:tr>
    </w:tbl>
    <w:p w:rsidR="00811997" w:rsidRPr="00811997" w:rsidRDefault="00811997" w:rsidP="00811997">
      <w:pPr>
        <w:suppressAutoHyphens w:val="0"/>
        <w:spacing w:after="0" w:line="276" w:lineRule="auto"/>
        <w:rPr>
          <w:rFonts w:eastAsia="Calibri"/>
          <w:sz w:val="18"/>
          <w:szCs w:val="18"/>
          <w:lang w:val="en-US" w:eastAsia="en-US"/>
        </w:rPr>
      </w:pPr>
      <w:r w:rsidRPr="00811997">
        <w:rPr>
          <w:rFonts w:eastAsia="Calibri"/>
          <w:sz w:val="18"/>
          <w:szCs w:val="18"/>
          <w:lang w:val="en-US" w:eastAsia="en-US"/>
        </w:rPr>
        <w:t xml:space="preserve">SD = standard deviation; AC-P = Adriamycin, cyclophosphamide and paclitaxel; FEC-100 = 5-fluorouracil, </w:t>
      </w:r>
      <w:proofErr w:type="spellStart"/>
      <w:r w:rsidRPr="00811997">
        <w:rPr>
          <w:rFonts w:eastAsia="Calibri"/>
          <w:sz w:val="18"/>
          <w:szCs w:val="18"/>
          <w:lang w:val="en-US" w:eastAsia="en-US"/>
        </w:rPr>
        <w:t>epirubicin</w:t>
      </w:r>
      <w:proofErr w:type="spellEnd"/>
      <w:r w:rsidRPr="00811997">
        <w:rPr>
          <w:rFonts w:eastAsia="Calibri"/>
          <w:sz w:val="18"/>
          <w:szCs w:val="18"/>
          <w:lang w:val="en-US" w:eastAsia="en-US"/>
        </w:rPr>
        <w:t xml:space="preserve"> and cyclophosphamide; FECT-T = 5-fluorouracil, </w:t>
      </w:r>
      <w:proofErr w:type="spellStart"/>
      <w:r w:rsidRPr="00811997">
        <w:rPr>
          <w:rFonts w:eastAsia="Calibri"/>
          <w:sz w:val="18"/>
          <w:szCs w:val="18"/>
          <w:lang w:val="en-US" w:eastAsia="en-US"/>
        </w:rPr>
        <w:t>epirubicin</w:t>
      </w:r>
      <w:proofErr w:type="spellEnd"/>
      <w:r w:rsidRPr="00811997">
        <w:rPr>
          <w:rFonts w:eastAsia="Calibri"/>
          <w:sz w:val="18"/>
          <w:szCs w:val="18"/>
          <w:lang w:val="en-US" w:eastAsia="en-US"/>
        </w:rPr>
        <w:t>, cyclophosphamide and docetaxel; TC = docetaxel and cyclophosphamide; ED = emergency department.</w:t>
      </w:r>
    </w:p>
    <w:p w:rsidR="00811997" w:rsidRPr="00811997" w:rsidRDefault="00811997" w:rsidP="00811997">
      <w:pPr>
        <w:suppressAutoHyphens w:val="0"/>
        <w:spacing w:after="0" w:line="276" w:lineRule="auto"/>
        <w:rPr>
          <w:rFonts w:eastAsia="Calibri"/>
          <w:sz w:val="18"/>
          <w:szCs w:val="18"/>
          <w:lang w:val="en-US" w:eastAsia="en-US"/>
        </w:rPr>
      </w:pPr>
      <w:proofErr w:type="gramStart"/>
      <w:r w:rsidRPr="00811997">
        <w:rPr>
          <w:rFonts w:eastAsia="Calibri"/>
          <w:sz w:val="18"/>
          <w:szCs w:val="18"/>
          <w:vertAlign w:val="superscript"/>
          <w:lang w:val="en-US" w:eastAsia="en-US"/>
        </w:rPr>
        <w:t>a</w:t>
      </w:r>
      <w:proofErr w:type="gramEnd"/>
      <w:r w:rsidRPr="00811997">
        <w:rPr>
          <w:rFonts w:eastAsia="Calibri"/>
          <w:sz w:val="18"/>
          <w:szCs w:val="18"/>
          <w:lang w:val="en-US" w:eastAsia="en-US"/>
        </w:rPr>
        <w:t xml:space="preserve"> Standardized difference in excess of 10% may indicate meaningful covariate imbalance between control and </w:t>
      </w:r>
      <w:proofErr w:type="spellStart"/>
      <w:r w:rsidRPr="00811997">
        <w:rPr>
          <w:rFonts w:eastAsia="Calibri"/>
          <w:sz w:val="18"/>
          <w:szCs w:val="18"/>
          <w:lang w:val="en-US" w:eastAsia="en-US"/>
        </w:rPr>
        <w:t>AToM</w:t>
      </w:r>
      <w:proofErr w:type="spellEnd"/>
      <w:r w:rsidRPr="00811997">
        <w:rPr>
          <w:rFonts w:eastAsia="Calibri"/>
          <w:sz w:val="18"/>
          <w:szCs w:val="18"/>
          <w:lang w:val="en-US" w:eastAsia="en-US"/>
        </w:rPr>
        <w:t xml:space="preserve"> intervention groups.</w:t>
      </w:r>
    </w:p>
    <w:p w:rsidR="00811997" w:rsidRPr="00811997" w:rsidRDefault="00811997" w:rsidP="00811997">
      <w:pPr>
        <w:suppressAutoHyphens w:val="0"/>
        <w:spacing w:after="0" w:line="276" w:lineRule="auto"/>
        <w:rPr>
          <w:sz w:val="18"/>
          <w:szCs w:val="18"/>
        </w:rPr>
      </w:pPr>
      <w:r w:rsidRPr="00811997">
        <w:rPr>
          <w:rFonts w:eastAsia="Calibri"/>
          <w:sz w:val="18"/>
          <w:szCs w:val="18"/>
          <w:lang w:val="en-US" w:eastAsia="en-US"/>
        </w:rPr>
        <w:t>**Data suppressed due to small sample size</w:t>
      </w:r>
    </w:p>
    <w:p w:rsidR="00913BA1" w:rsidRPr="00811997" w:rsidRDefault="00913BA1">
      <w:pPr>
        <w:rPr>
          <w:sz w:val="18"/>
          <w:szCs w:val="18"/>
        </w:rPr>
      </w:pPr>
    </w:p>
    <w:sectPr w:rsidR="00913BA1" w:rsidRPr="00811997" w:rsidSect="008119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811997"/>
    <w:rsid w:val="003F0264"/>
    <w:rsid w:val="00811997"/>
    <w:rsid w:val="00913BA1"/>
    <w:rsid w:val="00B3684F"/>
    <w:rsid w:val="00C1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97"/>
    <w:pPr>
      <w:suppressAutoHyphens/>
      <w:spacing w:after="160" w:line="259" w:lineRule="auto"/>
    </w:pPr>
    <w:rPr>
      <w:rFonts w:ascii="Calibri" w:eastAsia="SimSun" w:hAnsi="Calibri" w:cs="Times New Roman"/>
      <w:lang w:val="en-CA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97"/>
    <w:pPr>
      <w:suppressAutoHyphens/>
      <w:spacing w:after="160" w:line="259" w:lineRule="auto"/>
    </w:pPr>
    <w:rPr>
      <w:rFonts w:ascii="Calibri" w:eastAsia="SimSun" w:hAnsi="Calibri" w:cs="Times New Roman"/>
      <w:lang w:val="en-CA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363</Words>
  <Characters>1717</Characters>
  <Application>Microsoft Office Word</Application>
  <DocSecurity>0</DocSecurity>
  <Lines>245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UHN Research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Powis, Melanie</dc:creator>
  <cp:lastModifiedBy>AENCILAY</cp:lastModifiedBy>
  <cp:revision>3</cp:revision>
  <dcterms:created xsi:type="dcterms:W3CDTF">2018-08-23T18:11:00Z</dcterms:created>
  <dcterms:modified xsi:type="dcterms:W3CDTF">2019-01-22T11:50:00Z</dcterms:modified>
</cp:coreProperties>
</file>