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DDF" w:rsidRDefault="00872814">
      <w:pPr>
        <w:pBdr>
          <w:top w:val="nil"/>
          <w:left w:val="nil"/>
          <w:bottom w:val="nil"/>
          <w:right w:val="nil"/>
          <w:between w:val="nil"/>
        </w:pBdr>
        <w:spacing w:before="120"/>
        <w:ind w:left="720"/>
        <w:jc w:val="center"/>
        <w:rPr>
          <w:rFonts w:ascii="Cambria" w:eastAsia="Cambria" w:hAnsi="Cambria" w:cs="Cambria"/>
          <w:b/>
          <w:color w:val="000000"/>
          <w:sz w:val="32"/>
          <w:szCs w:val="32"/>
        </w:rPr>
      </w:pPr>
      <w:r>
        <w:rPr>
          <w:rFonts w:ascii="Cambria" w:eastAsia="Cambria" w:hAnsi="Cambria" w:cs="Cambria"/>
          <w:b/>
          <w:color w:val="000000"/>
          <w:sz w:val="32"/>
          <w:szCs w:val="32"/>
        </w:rPr>
        <w:t>CONSORT 2010 checklist of information to include when reporting a pilot or feasibility trial</w:t>
      </w:r>
      <w:r>
        <w:rPr>
          <w:rFonts w:ascii="Cambria" w:eastAsia="Cambria" w:hAnsi="Cambria" w:cs="Cambria"/>
          <w:b/>
          <w:color w:val="000000"/>
        </w:rPr>
        <w:t>*</w:t>
      </w:r>
      <w:r>
        <w:rPr>
          <w:noProof/>
          <w:lang w:val="en-US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posOffset>-76199</wp:posOffset>
            </wp:positionH>
            <wp:positionV relativeFrom="paragraph">
              <wp:posOffset>-38099</wp:posOffset>
            </wp:positionV>
            <wp:extent cx="390525" cy="457200"/>
            <wp:effectExtent l="0" t="0" r="0" b="0"/>
            <wp:wrapNone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45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B5DDF" w:rsidRDefault="003B5DDF">
      <w:pPr>
        <w:pBdr>
          <w:top w:val="nil"/>
          <w:left w:val="nil"/>
          <w:bottom w:val="nil"/>
          <w:right w:val="nil"/>
          <w:between w:val="nil"/>
        </w:pBdr>
        <w:tabs>
          <w:tab w:val="left" w:pos="2160"/>
        </w:tabs>
        <w:spacing w:before="120"/>
        <w:jc w:val="center"/>
        <w:rPr>
          <w:rFonts w:ascii="Cambria" w:eastAsia="Cambria" w:hAnsi="Cambria" w:cs="Cambria"/>
          <w:b/>
          <w:color w:val="000000"/>
          <w:sz w:val="8"/>
          <w:szCs w:val="8"/>
        </w:rPr>
      </w:pPr>
    </w:p>
    <w:tbl>
      <w:tblPr>
        <w:tblStyle w:val="a"/>
        <w:tblW w:w="15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720"/>
        <w:gridCol w:w="11070"/>
        <w:gridCol w:w="1620"/>
      </w:tblGrid>
      <w:tr w:rsidR="003B5DDF">
        <w:tc>
          <w:tcPr>
            <w:tcW w:w="2088" w:type="dxa"/>
            <w:shd w:val="clear" w:color="auto" w:fill="C6D9F1"/>
          </w:tcPr>
          <w:p w:rsidR="003B5DDF" w:rsidRDefault="00872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Section/Topic</w:t>
            </w:r>
          </w:p>
        </w:tc>
        <w:tc>
          <w:tcPr>
            <w:tcW w:w="720" w:type="dxa"/>
            <w:shd w:val="clear" w:color="auto" w:fill="C6D9F1"/>
          </w:tcPr>
          <w:p w:rsidR="003B5DDF" w:rsidRDefault="00872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Item No</w:t>
            </w:r>
          </w:p>
        </w:tc>
        <w:tc>
          <w:tcPr>
            <w:tcW w:w="11070" w:type="dxa"/>
            <w:shd w:val="clear" w:color="auto" w:fill="C6D9F1"/>
          </w:tcPr>
          <w:p w:rsidR="003B5DDF" w:rsidRDefault="00872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Checklist item</w:t>
            </w:r>
          </w:p>
        </w:tc>
        <w:tc>
          <w:tcPr>
            <w:tcW w:w="1620" w:type="dxa"/>
            <w:shd w:val="clear" w:color="auto" w:fill="C6D9F1"/>
          </w:tcPr>
          <w:p w:rsidR="003B5DDF" w:rsidRDefault="00872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Reported on page No</w:t>
            </w:r>
          </w:p>
        </w:tc>
      </w:tr>
      <w:tr w:rsidR="003B5DDF">
        <w:tc>
          <w:tcPr>
            <w:tcW w:w="15498" w:type="dxa"/>
            <w:gridSpan w:val="4"/>
          </w:tcPr>
          <w:p w:rsidR="003B5DDF" w:rsidRDefault="00872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Title and abstract</w:t>
            </w:r>
          </w:p>
        </w:tc>
      </w:tr>
      <w:tr w:rsidR="003B5DDF">
        <w:tc>
          <w:tcPr>
            <w:tcW w:w="2088" w:type="dxa"/>
            <w:vMerge w:val="restart"/>
          </w:tcPr>
          <w:p w:rsidR="003B5DDF" w:rsidRDefault="003B5DDF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1a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Identification as a pilot or feasibility randomised trial in the title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</w:tr>
      <w:tr w:rsidR="003B5DDF">
        <w:tc>
          <w:tcPr>
            <w:tcW w:w="2088" w:type="dxa"/>
            <w:vMerge/>
          </w:tcPr>
          <w:p w:rsidR="003B5DDF" w:rsidRDefault="003B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1b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MetaProLight-Regular" w:eastAsia="MetaProLight-Regular" w:hAnsi="MetaProLight-Regular" w:cs="MetaProLight-Regular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Structured summary of pilot trial design, methods, results, and conclusions (for specific guidance see CONSORT abstract extension for pilot trials)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2-3</w:t>
            </w:r>
          </w:p>
        </w:tc>
      </w:tr>
      <w:tr w:rsidR="003B5DDF">
        <w:tc>
          <w:tcPr>
            <w:tcW w:w="15498" w:type="dxa"/>
            <w:gridSpan w:val="4"/>
          </w:tcPr>
          <w:p w:rsidR="003B5DDF" w:rsidRDefault="00872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Introduction</w:t>
            </w:r>
          </w:p>
        </w:tc>
      </w:tr>
      <w:tr w:rsidR="003B5DDF">
        <w:tc>
          <w:tcPr>
            <w:tcW w:w="2088" w:type="dxa"/>
            <w:vMerge w:val="restart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Background and objectives</w:t>
            </w: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2a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Scientific background and explanation of rationale for future definitive trial, and reasons for randomised pilot trial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3-4</w:t>
            </w:r>
          </w:p>
        </w:tc>
      </w:tr>
      <w:tr w:rsidR="003B5DDF">
        <w:trPr>
          <w:trHeight w:val="400"/>
        </w:trPr>
        <w:tc>
          <w:tcPr>
            <w:tcW w:w="2088" w:type="dxa"/>
            <w:vMerge/>
          </w:tcPr>
          <w:p w:rsidR="003B5DDF" w:rsidRDefault="003B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2b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Specific objectives or research questions for pilot trial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3B5DDF">
        <w:tc>
          <w:tcPr>
            <w:tcW w:w="15498" w:type="dxa"/>
            <w:gridSpan w:val="4"/>
          </w:tcPr>
          <w:p w:rsidR="003B5DDF" w:rsidRDefault="00872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Methods</w:t>
            </w:r>
          </w:p>
        </w:tc>
      </w:tr>
      <w:tr w:rsidR="003B5DDF">
        <w:tc>
          <w:tcPr>
            <w:tcW w:w="2088" w:type="dxa"/>
            <w:vMerge w:val="restart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Trial design</w:t>
            </w: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3a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MetaProLight-Regular" w:eastAsia="MetaProLight-Regular" w:hAnsi="MetaProLight-Regular" w:cs="MetaProLight-Regular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Description of pilot trial design (such as parallel, factorial) including allocation ratio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</w:tr>
      <w:tr w:rsidR="003B5DDF">
        <w:trPr>
          <w:trHeight w:val="300"/>
        </w:trPr>
        <w:tc>
          <w:tcPr>
            <w:tcW w:w="2088" w:type="dxa"/>
            <w:vMerge/>
          </w:tcPr>
          <w:p w:rsidR="003B5DDF" w:rsidRDefault="003B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3b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Important changes to methods after pilot trial commencement (such as eligibility criteria), with reasons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N/A</w:t>
            </w:r>
          </w:p>
        </w:tc>
      </w:tr>
      <w:tr w:rsidR="003B5DDF">
        <w:tc>
          <w:tcPr>
            <w:tcW w:w="2088" w:type="dxa"/>
            <w:vMerge w:val="restart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Participants</w:t>
            </w: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4a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Eligibility criteria for participants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</w:tr>
      <w:tr w:rsidR="003B5DDF">
        <w:tc>
          <w:tcPr>
            <w:tcW w:w="2088" w:type="dxa"/>
            <w:vMerge/>
          </w:tcPr>
          <w:p w:rsidR="003B5DDF" w:rsidRDefault="003B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4b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Settings and locations where the data were collected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</w:tr>
      <w:tr w:rsidR="003B5DDF">
        <w:tc>
          <w:tcPr>
            <w:tcW w:w="2088" w:type="dxa"/>
          </w:tcPr>
          <w:p w:rsidR="003B5DDF" w:rsidRDefault="003B5DDF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4c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How participants were identified and consented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</w:tr>
      <w:tr w:rsidR="003B5DDF">
        <w:tc>
          <w:tcPr>
            <w:tcW w:w="2088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Interventions</w:t>
            </w: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6-7</w:t>
            </w:r>
          </w:p>
        </w:tc>
      </w:tr>
      <w:tr w:rsidR="003B5DDF">
        <w:tc>
          <w:tcPr>
            <w:tcW w:w="2088" w:type="dxa"/>
            <w:vMerge w:val="restart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Outcomes</w:t>
            </w: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6a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MetaProLight-Regular" w:eastAsia="MetaProLight-Regular" w:hAnsi="MetaProLight-Regular" w:cs="MetaProLight-Regular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Completely defined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prespecified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assessments or measurements to address each pilot trial objective specifi</w:t>
            </w:r>
            <w:r>
              <w:rPr>
                <w:rFonts w:ascii="Arial" w:eastAsia="Arial" w:hAnsi="Arial" w:cs="Arial"/>
                <w:sz w:val="22"/>
                <w:szCs w:val="22"/>
              </w:rPr>
              <w:t>ed in 2b, including how and when they were assessed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6-7</w:t>
            </w:r>
          </w:p>
        </w:tc>
      </w:tr>
      <w:tr w:rsidR="003B5DDF">
        <w:tc>
          <w:tcPr>
            <w:tcW w:w="2088" w:type="dxa"/>
            <w:vMerge/>
          </w:tcPr>
          <w:p w:rsidR="003B5DDF" w:rsidRDefault="003B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6b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Any changes to pilot trial assessments or measurements after the pilot trial commenced, with reasons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N/A</w:t>
            </w:r>
          </w:p>
        </w:tc>
      </w:tr>
      <w:tr w:rsidR="003B5DDF">
        <w:tc>
          <w:tcPr>
            <w:tcW w:w="2088" w:type="dxa"/>
          </w:tcPr>
          <w:p w:rsidR="003B5DDF" w:rsidRDefault="003B5DDF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6c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If applicable,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prespecified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criteria used to judge whether, or how, to proceed with future definitive trial</w:t>
            </w:r>
          </w:p>
        </w:tc>
        <w:tc>
          <w:tcPr>
            <w:tcW w:w="1620" w:type="dxa"/>
          </w:tcPr>
          <w:p w:rsidR="003B5DDF" w:rsidRDefault="00AB6D7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  <w:tr w:rsidR="003B5DDF">
        <w:tc>
          <w:tcPr>
            <w:tcW w:w="2088" w:type="dxa"/>
            <w:vMerge w:val="restart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Sample size</w:t>
            </w: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7a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Rationale for numbers in the pilot trial</w:t>
            </w:r>
          </w:p>
        </w:tc>
        <w:tc>
          <w:tcPr>
            <w:tcW w:w="1620" w:type="dxa"/>
          </w:tcPr>
          <w:p w:rsidR="003B5DDF" w:rsidRDefault="00AB6D7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</w:tr>
      <w:tr w:rsidR="003B5DDF">
        <w:tc>
          <w:tcPr>
            <w:tcW w:w="2088" w:type="dxa"/>
            <w:vMerge/>
          </w:tcPr>
          <w:p w:rsidR="003B5DDF" w:rsidRDefault="003B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7b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When applicable, explanation of any interim analyses and stopping guidelines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N/A</w:t>
            </w:r>
          </w:p>
        </w:tc>
      </w:tr>
      <w:tr w:rsidR="003B5DDF">
        <w:tc>
          <w:tcPr>
            <w:tcW w:w="2088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Randomisation:</w:t>
            </w:r>
          </w:p>
        </w:tc>
        <w:tc>
          <w:tcPr>
            <w:tcW w:w="720" w:type="dxa"/>
          </w:tcPr>
          <w:p w:rsidR="003B5DDF" w:rsidRDefault="003B5DDF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070" w:type="dxa"/>
          </w:tcPr>
          <w:p w:rsidR="003B5DDF" w:rsidRDefault="003B5DDF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3B5DDF" w:rsidRDefault="003B5DDF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B5DDF">
        <w:tc>
          <w:tcPr>
            <w:tcW w:w="2088" w:type="dxa"/>
            <w:vMerge w:val="restart"/>
          </w:tcPr>
          <w:p w:rsidR="003B5DDF" w:rsidRDefault="00872814">
            <w:pPr>
              <w:ind w:left="540" w:hanging="5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Sequence </w:t>
            </w:r>
          </w:p>
          <w:p w:rsidR="003B5DDF" w:rsidRDefault="00872814">
            <w:pPr>
              <w:ind w:left="540" w:hanging="5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generation</w:t>
            </w: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8a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Method used to generate the random allocation sequence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N/A</w:t>
            </w:r>
          </w:p>
        </w:tc>
      </w:tr>
      <w:tr w:rsidR="003B5DDF">
        <w:tc>
          <w:tcPr>
            <w:tcW w:w="2088" w:type="dxa"/>
            <w:vMerge/>
          </w:tcPr>
          <w:p w:rsidR="003B5DDF" w:rsidRDefault="003B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8b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Type of randomisation(s); details of any restriction (such as blocking and block size)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N/A</w:t>
            </w:r>
          </w:p>
        </w:tc>
      </w:tr>
      <w:tr w:rsidR="003B5DDF">
        <w:tc>
          <w:tcPr>
            <w:tcW w:w="2088" w:type="dxa"/>
          </w:tcPr>
          <w:p w:rsidR="003B5DDF" w:rsidRDefault="00872814">
            <w:pPr>
              <w:ind w:left="540" w:hanging="5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Allocation</w:t>
            </w:r>
          </w:p>
          <w:p w:rsidR="003B5DDF" w:rsidRDefault="00872814">
            <w:pPr>
              <w:ind w:left="540" w:hanging="5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concealment</w:t>
            </w:r>
          </w:p>
          <w:p w:rsidR="003B5DDF" w:rsidRDefault="00872814">
            <w:pPr>
              <w:ind w:left="540" w:hanging="5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mechanism</w:t>
            </w: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N/A</w:t>
            </w:r>
          </w:p>
        </w:tc>
      </w:tr>
      <w:tr w:rsidR="003B5DDF">
        <w:tc>
          <w:tcPr>
            <w:tcW w:w="2088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Implementation</w:t>
            </w: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</w:tr>
      <w:tr w:rsidR="003B5DDF">
        <w:tc>
          <w:tcPr>
            <w:tcW w:w="2088" w:type="dxa"/>
            <w:vMerge w:val="restart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Blinding</w:t>
            </w: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11a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If done, who was blinded after assignment to interventions (for example, participants, care providers, those </w:t>
            </w: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assessing o</w:t>
            </w:r>
            <w:r>
              <w:rPr>
                <w:rFonts w:ascii="Arial" w:eastAsia="Arial" w:hAnsi="Arial" w:cs="Arial"/>
                <w:sz w:val="22"/>
                <w:szCs w:val="22"/>
              </w:rPr>
              <w:t>utcomes) and how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N/A</w:t>
            </w:r>
          </w:p>
        </w:tc>
      </w:tr>
      <w:tr w:rsidR="003B5DDF">
        <w:tc>
          <w:tcPr>
            <w:tcW w:w="2088" w:type="dxa"/>
            <w:vMerge/>
          </w:tcPr>
          <w:p w:rsidR="003B5DDF" w:rsidRDefault="003B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11b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If relevant, description of the similarity of interventions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N/A</w:t>
            </w:r>
          </w:p>
        </w:tc>
      </w:tr>
      <w:tr w:rsidR="003B5DDF">
        <w:tc>
          <w:tcPr>
            <w:tcW w:w="2088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Statistical methods</w:t>
            </w: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12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Methods used to address each pilot trial objective whether qualitative or quantitative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6-7</w:t>
            </w:r>
          </w:p>
        </w:tc>
      </w:tr>
      <w:tr w:rsidR="003B5DDF">
        <w:tc>
          <w:tcPr>
            <w:tcW w:w="15498" w:type="dxa"/>
            <w:gridSpan w:val="4"/>
          </w:tcPr>
          <w:p w:rsidR="003B5DDF" w:rsidRDefault="00872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Results</w:t>
            </w:r>
          </w:p>
        </w:tc>
      </w:tr>
      <w:tr w:rsidR="003B5DDF">
        <w:tc>
          <w:tcPr>
            <w:tcW w:w="2088" w:type="dxa"/>
            <w:vMerge w:val="restart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Participant flow (a diagram is strongly recommended)</w:t>
            </w: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13a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For each group, the numbers of participants who were approached and/or assessed for eligibility, randomly assigned, received intended treatment, and were assessed for each objective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</w:tr>
      <w:tr w:rsidR="003B5DDF">
        <w:tc>
          <w:tcPr>
            <w:tcW w:w="2088" w:type="dxa"/>
            <w:vMerge/>
          </w:tcPr>
          <w:p w:rsidR="003B5DDF" w:rsidRDefault="003B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13b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For each group, losses and exclusions after randomisation, together with reasons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</w:tr>
      <w:tr w:rsidR="003B5DDF">
        <w:tc>
          <w:tcPr>
            <w:tcW w:w="2088" w:type="dxa"/>
            <w:vMerge w:val="restart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Recruitment</w:t>
            </w: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14a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Dates defining the periods of recruitment and follow-up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</w:tr>
      <w:tr w:rsidR="003B5DDF">
        <w:tc>
          <w:tcPr>
            <w:tcW w:w="2088" w:type="dxa"/>
            <w:vMerge/>
          </w:tcPr>
          <w:p w:rsidR="003B5DDF" w:rsidRDefault="003B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14b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Why the pilot trial ended or was stopped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</w:tr>
      <w:tr w:rsidR="003B5DDF">
        <w:tc>
          <w:tcPr>
            <w:tcW w:w="2088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Baseline data</w:t>
            </w: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 table showing baseline demographic and clinical characteristics for each group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</w:tr>
      <w:tr w:rsidR="003B5DDF">
        <w:tc>
          <w:tcPr>
            <w:tcW w:w="2088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Numbers analysed</w:t>
            </w: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16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For each objective, number of participants (denominator) included in each analysis. If relevant, these numbers</w:t>
            </w:r>
          </w:p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should be by randomised group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7-11</w:t>
            </w:r>
          </w:p>
        </w:tc>
      </w:tr>
      <w:tr w:rsidR="003B5DDF">
        <w:tc>
          <w:tcPr>
            <w:tcW w:w="2088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Outcomes and estimation</w:t>
            </w: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17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For each objective, results including expressions of uncertainty (such as 95% confidence interval) for any</w:t>
            </w:r>
          </w:p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estimates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. If relevant, these results should be by randomised group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12-13</w:t>
            </w:r>
          </w:p>
        </w:tc>
      </w:tr>
      <w:tr w:rsidR="003B5DDF">
        <w:tc>
          <w:tcPr>
            <w:tcW w:w="2088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Ancillary analyses</w:t>
            </w: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Results of any other analyses performed that could be used to inform the future definitive trial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8-10</w:t>
            </w:r>
          </w:p>
        </w:tc>
      </w:tr>
      <w:tr w:rsidR="003B5DDF">
        <w:tc>
          <w:tcPr>
            <w:tcW w:w="2088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Harms</w:t>
            </w: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19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All important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harms or unintended effects in each group </w:t>
            </w:r>
            <w:r>
              <w:rPr>
                <w:rFonts w:ascii="Arial" w:eastAsia="Arial" w:hAnsi="Arial" w:cs="Arial"/>
                <w:sz w:val="20"/>
                <w:szCs w:val="20"/>
              </w:rPr>
              <w:t>(for specific guidance see CONSORT for harms)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N/A</w:t>
            </w:r>
          </w:p>
        </w:tc>
      </w:tr>
      <w:tr w:rsidR="003B5DDF">
        <w:tc>
          <w:tcPr>
            <w:tcW w:w="2088" w:type="dxa"/>
          </w:tcPr>
          <w:p w:rsidR="003B5DDF" w:rsidRDefault="003B5DDF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19a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If relevant, other important unintended consequences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N/A</w:t>
            </w:r>
          </w:p>
        </w:tc>
      </w:tr>
      <w:tr w:rsidR="003B5DDF">
        <w:tc>
          <w:tcPr>
            <w:tcW w:w="15498" w:type="dxa"/>
            <w:gridSpan w:val="4"/>
          </w:tcPr>
          <w:p w:rsidR="003B5DDF" w:rsidRDefault="00872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Discussion</w:t>
            </w:r>
          </w:p>
        </w:tc>
      </w:tr>
      <w:tr w:rsidR="003B5DDF">
        <w:tc>
          <w:tcPr>
            <w:tcW w:w="2088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Limitations</w:t>
            </w: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20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Pilot trial limitations, addressing sources of potential bias and remaining uncertainty about feasibility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</w:tr>
      <w:tr w:rsidR="003B5DDF">
        <w:tc>
          <w:tcPr>
            <w:tcW w:w="2088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Generalisability</w:t>
            </w: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21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Generalisability (applicability) of pilot trial methods and findings to future definitive trial and other studies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11-12</w:t>
            </w:r>
          </w:p>
        </w:tc>
      </w:tr>
      <w:tr w:rsidR="003B5DDF">
        <w:tc>
          <w:tcPr>
            <w:tcW w:w="2088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22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Interpretation consistent with pilot trial objectives and findings, balancing potential benefits and harms, and</w:t>
            </w:r>
          </w:p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considering other relevant evidence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</w:tr>
      <w:tr w:rsidR="003B5DDF">
        <w:tc>
          <w:tcPr>
            <w:tcW w:w="2088" w:type="dxa"/>
          </w:tcPr>
          <w:p w:rsidR="003B5DDF" w:rsidRDefault="003B5DDF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22a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Implications for progression from pilot to future definitive trial, including any proposed amendments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12-13</w:t>
            </w:r>
          </w:p>
        </w:tc>
      </w:tr>
      <w:tr w:rsidR="003B5DDF">
        <w:tc>
          <w:tcPr>
            <w:tcW w:w="13878" w:type="dxa"/>
            <w:gridSpan w:val="3"/>
          </w:tcPr>
          <w:p w:rsidR="003B5DDF" w:rsidRDefault="00872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Other information</w:t>
            </w:r>
          </w:p>
        </w:tc>
        <w:tc>
          <w:tcPr>
            <w:tcW w:w="1620" w:type="dxa"/>
          </w:tcPr>
          <w:p w:rsidR="003B5DDF" w:rsidRDefault="003B5DDF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3B5DDF">
        <w:tc>
          <w:tcPr>
            <w:tcW w:w="2088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23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Registration number for pilot trial and name of trial registry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</w:tr>
      <w:tr w:rsidR="003B5DDF">
        <w:tc>
          <w:tcPr>
            <w:tcW w:w="2088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Protocol</w:t>
            </w: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24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Where the pilot trial protocol can be accessed, if available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</w:tr>
      <w:tr w:rsidR="003B5DDF">
        <w:tc>
          <w:tcPr>
            <w:tcW w:w="2088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Funding</w:t>
            </w: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25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Sources of funding and other support (such as supply of drugs), role of funders</w:t>
            </w:r>
          </w:p>
        </w:tc>
        <w:tc>
          <w:tcPr>
            <w:tcW w:w="162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14</w:t>
            </w:r>
          </w:p>
        </w:tc>
      </w:tr>
      <w:tr w:rsidR="003B5DDF">
        <w:tc>
          <w:tcPr>
            <w:tcW w:w="2088" w:type="dxa"/>
          </w:tcPr>
          <w:p w:rsidR="003B5DDF" w:rsidRDefault="003B5DDF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3B5DDF" w:rsidRDefault="0087281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26</w:t>
            </w:r>
          </w:p>
        </w:tc>
        <w:tc>
          <w:tcPr>
            <w:tcW w:w="11070" w:type="dxa"/>
          </w:tcPr>
          <w:p w:rsidR="003B5DDF" w:rsidRDefault="0087281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Ethical approval or approval by research review committee, confirmed with reference number</w:t>
            </w:r>
          </w:p>
        </w:tc>
        <w:tc>
          <w:tcPr>
            <w:tcW w:w="1620" w:type="dxa"/>
          </w:tcPr>
          <w:p w:rsidR="003B5DDF" w:rsidRDefault="008238D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16</w:t>
            </w:r>
            <w:bookmarkStart w:id="0" w:name="_GoBack"/>
            <w:bookmarkEnd w:id="0"/>
          </w:p>
        </w:tc>
      </w:tr>
    </w:tbl>
    <w:p w:rsidR="003B5DDF" w:rsidRDefault="003B5DDF">
      <w:pPr>
        <w:pBdr>
          <w:top w:val="nil"/>
          <w:left w:val="nil"/>
          <w:bottom w:val="nil"/>
          <w:right w:val="nil"/>
          <w:between w:val="nil"/>
        </w:pBdr>
        <w:tabs>
          <w:tab w:val="left" w:pos="4830"/>
        </w:tabs>
        <w:rPr>
          <w:color w:val="000000"/>
          <w:sz w:val="8"/>
          <w:szCs w:val="8"/>
        </w:rPr>
      </w:pPr>
    </w:p>
    <w:p w:rsidR="003B5DDF" w:rsidRDefault="0087281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Citation: Eldridge SM, Chan CL, Campbell MJ, Bond CM, Hopewell S, </w:t>
      </w:r>
      <w:proofErr w:type="spellStart"/>
      <w:r>
        <w:rPr>
          <w:color w:val="000000"/>
          <w:sz w:val="20"/>
          <w:szCs w:val="20"/>
        </w:rPr>
        <w:t>Thabane</w:t>
      </w:r>
      <w:proofErr w:type="spellEnd"/>
      <w:r>
        <w:rPr>
          <w:color w:val="000000"/>
          <w:sz w:val="20"/>
          <w:szCs w:val="20"/>
        </w:rPr>
        <w:t xml:space="preserve"> L, et al. CONSORT 2010 statement: extension to randomised pilot and feasibility trials. </w:t>
      </w:r>
      <w:proofErr w:type="gramStart"/>
      <w:r>
        <w:rPr>
          <w:color w:val="000000"/>
          <w:sz w:val="20"/>
          <w:szCs w:val="20"/>
        </w:rPr>
        <w:t>BMJ.</w:t>
      </w:r>
      <w:proofErr w:type="gramEnd"/>
      <w:r>
        <w:rPr>
          <w:color w:val="000000"/>
          <w:sz w:val="20"/>
          <w:szCs w:val="20"/>
        </w:rPr>
        <w:t xml:space="preserve"> 2016</w:t>
      </w:r>
      <w:proofErr w:type="gramStart"/>
      <w:r>
        <w:rPr>
          <w:color w:val="000000"/>
          <w:sz w:val="20"/>
          <w:szCs w:val="20"/>
        </w:rPr>
        <w:t>;355</w:t>
      </w:r>
      <w:proofErr w:type="gramEnd"/>
      <w:r>
        <w:rPr>
          <w:color w:val="000000"/>
          <w:sz w:val="20"/>
          <w:szCs w:val="20"/>
        </w:rPr>
        <w:t>.</w:t>
      </w:r>
    </w:p>
    <w:p w:rsidR="003B5DDF" w:rsidRDefault="0087281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*We strongly recommend reading this statement in conjunction with the CONSORT 2</w:t>
      </w:r>
      <w:r>
        <w:rPr>
          <w:color w:val="000000"/>
          <w:sz w:val="20"/>
          <w:szCs w:val="20"/>
        </w:rPr>
        <w:t>010, extension to randomised pilot and feasibility trials, Explanation and Elaboration for important clarifications on all the items. If relevant, we also recommend reading CONSORT extensions for cluster randomised trials, non-inferiority and equivalence t</w:t>
      </w:r>
      <w:r>
        <w:rPr>
          <w:color w:val="000000"/>
          <w:sz w:val="20"/>
          <w:szCs w:val="20"/>
        </w:rPr>
        <w:t xml:space="preserve">rials, non-pharmacological treatments, herbal interventions, and pragmatic trials. Additional extensions are forthcoming: for those and for up to date references relevant to this checklist, see </w:t>
      </w:r>
      <w:hyperlink r:id="rId8">
        <w:r>
          <w:rPr>
            <w:color w:val="0000FF"/>
            <w:sz w:val="20"/>
            <w:szCs w:val="20"/>
            <w:u w:val="single"/>
          </w:rPr>
          <w:t>www.consor</w:t>
        </w:r>
        <w:r>
          <w:rPr>
            <w:color w:val="0000FF"/>
            <w:sz w:val="20"/>
            <w:szCs w:val="20"/>
            <w:u w:val="single"/>
          </w:rPr>
          <w:t>t-statement.org</w:t>
        </w:r>
      </w:hyperlink>
      <w:r>
        <w:rPr>
          <w:color w:val="000000"/>
          <w:sz w:val="20"/>
          <w:szCs w:val="20"/>
        </w:rPr>
        <w:t>.</w:t>
      </w:r>
    </w:p>
    <w:sectPr w:rsidR="003B5DDF">
      <w:footerReference w:type="even" r:id="rId9"/>
      <w:footerReference w:type="default" r:id="rId10"/>
      <w:pgSz w:w="16834" w:h="11909"/>
      <w:pgMar w:top="720" w:right="720" w:bottom="720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814" w:rsidRDefault="00872814">
      <w:r>
        <w:separator/>
      </w:r>
    </w:p>
  </w:endnote>
  <w:endnote w:type="continuationSeparator" w:id="0">
    <w:p w:rsidR="00872814" w:rsidRDefault="00872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etaProLight-Regular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DDF" w:rsidRDefault="0087281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:rsidR="003B5DDF" w:rsidRDefault="003B5DD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rFonts w:ascii="Arial" w:eastAsia="Arial" w:hAnsi="Arial" w:cs="Arial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DDF" w:rsidRDefault="003B5DDF">
    <w:pPr>
      <w:pBdr>
        <w:top w:val="single" w:sz="4" w:space="1" w:color="000000"/>
        <w:left w:val="nil"/>
        <w:bottom w:val="nil"/>
        <w:right w:val="nil"/>
        <w:between w:val="nil"/>
      </w:pBdr>
      <w:tabs>
        <w:tab w:val="right" w:pos="15390"/>
      </w:tabs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814" w:rsidRDefault="00872814">
      <w:r>
        <w:separator/>
      </w:r>
    </w:p>
  </w:footnote>
  <w:footnote w:type="continuationSeparator" w:id="0">
    <w:p w:rsidR="00872814" w:rsidRDefault="00872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B5DDF"/>
    <w:rsid w:val="003B5DDF"/>
    <w:rsid w:val="008238D3"/>
    <w:rsid w:val="00872814"/>
    <w:rsid w:val="00AB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spacing w:before="240" w:after="60"/>
      <w:ind w:left="720"/>
      <w:outlineLvl w:val="1"/>
    </w:pPr>
    <w:rPr>
      <w:rFonts w:ascii="Arial" w:eastAsia="Arial" w:hAnsi="Arial" w:cs="Arial"/>
      <w:b/>
      <w:i/>
    </w:rPr>
  </w:style>
  <w:style w:type="paragraph" w:styleId="Heading3">
    <w:name w:val="heading 3"/>
    <w:basedOn w:val="Normal"/>
    <w:next w:val="Normal"/>
    <w:pPr>
      <w:keepNext/>
      <w:spacing w:before="240" w:after="60"/>
      <w:ind w:left="1440"/>
      <w:outlineLvl w:val="2"/>
    </w:pPr>
    <w:rPr>
      <w:rFonts w:ascii="Arial" w:eastAsia="Arial" w:hAnsi="Arial" w:cs="Arial"/>
    </w:rPr>
  </w:style>
  <w:style w:type="paragraph" w:styleId="Heading4">
    <w:name w:val="heading 4"/>
    <w:basedOn w:val="Normal"/>
    <w:next w:val="Normal"/>
    <w:pPr>
      <w:keepNext/>
      <w:spacing w:before="240" w:after="60"/>
      <w:ind w:left="2160"/>
      <w:outlineLvl w:val="3"/>
    </w:pPr>
    <w:rPr>
      <w:rFonts w:ascii="Arial" w:eastAsia="Arial" w:hAnsi="Arial" w:cs="Arial"/>
      <w:b/>
    </w:rPr>
  </w:style>
  <w:style w:type="paragraph" w:styleId="Heading5">
    <w:name w:val="heading 5"/>
    <w:basedOn w:val="Normal"/>
    <w:next w:val="Normal"/>
    <w:pPr>
      <w:spacing w:before="240" w:after="60"/>
      <w:ind w:left="288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pPr>
      <w:spacing w:before="240" w:after="60"/>
      <w:ind w:left="3600"/>
      <w:outlineLvl w:val="5"/>
    </w:pPr>
    <w:rPr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60" w:after="60"/>
    </w:pPr>
    <w:rPr>
      <w:b/>
      <w:sz w:val="28"/>
      <w:szCs w:val="28"/>
    </w:rPr>
  </w:style>
  <w:style w:type="paragraph" w:styleId="Subtitle">
    <w:name w:val="Subtitle"/>
    <w:basedOn w:val="Normal"/>
    <w:next w:val="Normal"/>
    <w:pPr>
      <w:spacing w:after="60"/>
    </w:pPr>
    <w:rPr>
      <w:i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spacing w:before="240" w:after="60"/>
      <w:ind w:left="720"/>
      <w:outlineLvl w:val="1"/>
    </w:pPr>
    <w:rPr>
      <w:rFonts w:ascii="Arial" w:eastAsia="Arial" w:hAnsi="Arial" w:cs="Arial"/>
      <w:b/>
      <w:i/>
    </w:rPr>
  </w:style>
  <w:style w:type="paragraph" w:styleId="Heading3">
    <w:name w:val="heading 3"/>
    <w:basedOn w:val="Normal"/>
    <w:next w:val="Normal"/>
    <w:pPr>
      <w:keepNext/>
      <w:spacing w:before="240" w:after="60"/>
      <w:ind w:left="1440"/>
      <w:outlineLvl w:val="2"/>
    </w:pPr>
    <w:rPr>
      <w:rFonts w:ascii="Arial" w:eastAsia="Arial" w:hAnsi="Arial" w:cs="Arial"/>
    </w:rPr>
  </w:style>
  <w:style w:type="paragraph" w:styleId="Heading4">
    <w:name w:val="heading 4"/>
    <w:basedOn w:val="Normal"/>
    <w:next w:val="Normal"/>
    <w:pPr>
      <w:keepNext/>
      <w:spacing w:before="240" w:after="60"/>
      <w:ind w:left="2160"/>
      <w:outlineLvl w:val="3"/>
    </w:pPr>
    <w:rPr>
      <w:rFonts w:ascii="Arial" w:eastAsia="Arial" w:hAnsi="Arial" w:cs="Arial"/>
      <w:b/>
    </w:rPr>
  </w:style>
  <w:style w:type="paragraph" w:styleId="Heading5">
    <w:name w:val="heading 5"/>
    <w:basedOn w:val="Normal"/>
    <w:next w:val="Normal"/>
    <w:pPr>
      <w:spacing w:before="240" w:after="60"/>
      <w:ind w:left="288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pPr>
      <w:spacing w:before="240" w:after="60"/>
      <w:ind w:left="3600"/>
      <w:outlineLvl w:val="5"/>
    </w:pPr>
    <w:rPr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60" w:after="60"/>
    </w:pPr>
    <w:rPr>
      <w:b/>
      <w:sz w:val="28"/>
      <w:szCs w:val="28"/>
    </w:rPr>
  </w:style>
  <w:style w:type="paragraph" w:styleId="Subtitle">
    <w:name w:val="Subtitle"/>
    <w:basedOn w:val="Normal"/>
    <w:next w:val="Normal"/>
    <w:pPr>
      <w:spacing w:after="60"/>
    </w:pPr>
    <w:rPr>
      <w:i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ort-statement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NYU Langone Medical Center</Company>
  <LinksUpToDate>false</LinksUpToDate>
  <CharactersWithSpaces>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2018-09-24T18:16:00Z</dcterms:created>
  <dcterms:modified xsi:type="dcterms:W3CDTF">2018-09-24T18:34:00Z</dcterms:modified>
</cp:coreProperties>
</file>