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59"/>
        <w:gridCol w:w="780"/>
        <w:gridCol w:w="388"/>
        <w:gridCol w:w="1167"/>
        <w:gridCol w:w="5"/>
        <w:gridCol w:w="575"/>
        <w:gridCol w:w="8"/>
        <w:gridCol w:w="11"/>
        <w:gridCol w:w="1055"/>
        <w:gridCol w:w="5"/>
        <w:gridCol w:w="1457"/>
        <w:gridCol w:w="5"/>
        <w:gridCol w:w="1457"/>
        <w:gridCol w:w="1304"/>
      </w:tblGrid>
      <w:tr w:rsidR="0003139D" w:rsidRPr="00521F4D" w:rsidTr="00604C0D">
        <w:trPr>
          <w:trHeight w:val="600"/>
          <w:tblHeader/>
        </w:trPr>
        <w:tc>
          <w:tcPr>
            <w:tcW w:w="5000" w:type="pct"/>
            <w:gridSpan w:val="14"/>
            <w:tcBorders>
              <w:top w:val="single" w:sz="4" w:space="0" w:color="auto"/>
              <w:bottom w:val="single" w:sz="4" w:space="0" w:color="auto"/>
            </w:tcBorders>
            <w:shd w:val="clear" w:color="auto" w:fill="DBE5F1" w:themeFill="accent1" w:themeFillTint="33"/>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bookmarkStart w:id="0" w:name="_GoBack"/>
            <w:bookmarkEnd w:id="0"/>
            <w:r w:rsidRPr="00521F4D">
              <w:rPr>
                <w:rFonts w:ascii="Arial" w:eastAsia="Times New Roman" w:hAnsi="Arial" w:cs="Arial"/>
                <w:b/>
                <w:color w:val="000000" w:themeColor="text1"/>
                <w:sz w:val="20"/>
                <w:szCs w:val="20"/>
                <w:lang w:eastAsia="en-GB"/>
              </w:rPr>
              <w:t>Potential secondary outcome measures</w:t>
            </w:r>
          </w:p>
        </w:tc>
      </w:tr>
      <w:tr w:rsidR="0003139D" w:rsidRPr="00521F4D" w:rsidTr="00604C0D">
        <w:trPr>
          <w:trHeight w:val="1020"/>
          <w:tblHeader/>
        </w:trPr>
        <w:tc>
          <w:tcPr>
            <w:tcW w:w="710" w:type="pct"/>
            <w:vMerge w:val="restart"/>
            <w:tcBorders>
              <w:top w:val="single" w:sz="4" w:space="0" w:color="auto"/>
              <w:bottom w:val="single" w:sz="4" w:space="0" w:color="auto"/>
              <w:right w:val="single" w:sz="4" w:space="0" w:color="auto"/>
            </w:tcBorders>
            <w:shd w:val="clear" w:color="auto" w:fill="DBE5F1" w:themeFill="accent1" w:themeFillTint="33"/>
            <w:noWrap/>
            <w:vAlign w:val="center"/>
          </w:tcPr>
          <w:p w:rsidR="0003139D" w:rsidRPr="00521F4D" w:rsidRDefault="0003139D" w:rsidP="00604C0D">
            <w:pPr>
              <w:spacing w:after="0" w:line="240" w:lineRule="auto"/>
              <w:rPr>
                <w:rFonts w:ascii="Arial" w:eastAsia="Times New Roman" w:hAnsi="Arial" w:cs="Arial"/>
                <w:b/>
                <w:bCs/>
                <w:color w:val="000000" w:themeColor="text1"/>
                <w:sz w:val="20"/>
                <w:szCs w:val="20"/>
                <w:lang w:eastAsia="en-GB"/>
              </w:rPr>
            </w:pPr>
            <w:r w:rsidRPr="00521F4D">
              <w:rPr>
                <w:rFonts w:ascii="Arial" w:eastAsia="Times New Roman" w:hAnsi="Arial" w:cs="Arial"/>
                <w:b/>
                <w:bCs/>
                <w:color w:val="000000" w:themeColor="text1"/>
                <w:lang w:eastAsia="en-GB"/>
              </w:rPr>
              <w:t>Variable</w:t>
            </w:r>
          </w:p>
          <w:p w:rsidR="0003139D" w:rsidRPr="00521F4D" w:rsidRDefault="0003139D" w:rsidP="00604C0D">
            <w:pPr>
              <w:spacing w:after="0" w:line="240" w:lineRule="auto"/>
              <w:rPr>
                <w:rFonts w:ascii="Arial" w:eastAsia="Times New Roman" w:hAnsi="Arial" w:cs="Arial"/>
                <w:b/>
                <w:bCs/>
                <w:color w:val="000000" w:themeColor="text1"/>
                <w:sz w:val="20"/>
                <w:szCs w:val="20"/>
                <w:lang w:eastAsia="en-GB"/>
              </w:rPr>
            </w:pPr>
          </w:p>
        </w:tc>
        <w:tc>
          <w:tcPr>
            <w:tcW w:w="408" w:type="pct"/>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r w:rsidRPr="00521F4D">
              <w:rPr>
                <w:rFonts w:ascii="Arial" w:eastAsia="Times New Roman" w:hAnsi="Arial" w:cs="Arial"/>
                <w:b/>
                <w:bCs/>
                <w:color w:val="000000" w:themeColor="text1"/>
                <w:lang w:eastAsia="en-GB"/>
              </w:rPr>
              <w:t>Time point</w:t>
            </w:r>
          </w:p>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816"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eastAsia="Times New Roman" w:hAnsi="Arial" w:cs="Arial"/>
                <w:b/>
                <w:bCs/>
                <w:color w:val="000000" w:themeColor="text1"/>
                <w:lang w:eastAsia="en-GB"/>
              </w:rPr>
              <w:t>Usual care</w:t>
            </w:r>
          </w:p>
        </w:tc>
        <w:tc>
          <w:tcPr>
            <w:tcW w:w="862" w:type="pct"/>
            <w:gridSpan w:val="5"/>
            <w:tcBorders>
              <w:top w:val="single" w:sz="4" w:space="0" w:color="auto"/>
              <w:left w:val="single" w:sz="4" w:space="0" w:color="auto"/>
              <w:bottom w:val="nil"/>
            </w:tcBorders>
            <w:shd w:val="clear" w:color="auto" w:fill="DBE5F1" w:themeFill="accent1" w:themeFillTint="33"/>
            <w:noWrap/>
            <w:vAlign w:val="center"/>
          </w:tcPr>
          <w:p w:rsidR="0003139D" w:rsidRPr="00521F4D" w:rsidRDefault="0003139D" w:rsidP="00604C0D">
            <w:pPr>
              <w:spacing w:after="0" w:line="240" w:lineRule="auto"/>
              <w:jc w:val="center"/>
              <w:rPr>
                <w:rFonts w:ascii="Arial" w:hAnsi="Arial" w:cs="Arial"/>
                <w:color w:val="000000" w:themeColor="text1"/>
                <w:sz w:val="20"/>
                <w:szCs w:val="20"/>
              </w:rPr>
            </w:pPr>
            <w:proofErr w:type="spellStart"/>
            <w:r w:rsidRPr="00521F4D">
              <w:rPr>
                <w:rFonts w:ascii="Arial" w:eastAsia="Times New Roman" w:hAnsi="Arial" w:cs="Arial"/>
                <w:b/>
                <w:bCs/>
                <w:color w:val="000000" w:themeColor="text1"/>
                <w:lang w:eastAsia="en-GB"/>
              </w:rPr>
              <w:t>BRiMS</w:t>
            </w:r>
            <w:proofErr w:type="spellEnd"/>
          </w:p>
        </w:tc>
        <w:tc>
          <w:tcPr>
            <w:tcW w:w="1521" w:type="pct"/>
            <w:gridSpan w:val="3"/>
            <w:tcBorders>
              <w:top w:val="single" w:sz="4" w:space="0" w:color="auto"/>
              <w:left w:val="single" w:sz="4" w:space="0" w:color="auto"/>
            </w:tcBorders>
            <w:shd w:val="clear" w:color="auto" w:fill="DBE5F1" w:themeFill="accent1" w:themeFillTint="33"/>
            <w:vAlign w:val="center"/>
          </w:tcPr>
          <w:p w:rsidR="0003139D" w:rsidRPr="00521F4D" w:rsidRDefault="0003139D" w:rsidP="00604C0D">
            <w:pPr>
              <w:spacing w:after="0" w:line="240" w:lineRule="auto"/>
              <w:jc w:val="center"/>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Difference between allocated groups</w:t>
            </w:r>
          </w:p>
          <w:p w:rsidR="0003139D" w:rsidRPr="00521F4D" w:rsidRDefault="0003139D" w:rsidP="00604C0D">
            <w:pPr>
              <w:spacing w:after="0" w:line="240" w:lineRule="auto"/>
              <w:jc w:val="center"/>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w:t>
            </w:r>
            <w:proofErr w:type="spellStart"/>
            <w:r w:rsidRPr="00521F4D">
              <w:rPr>
                <w:rFonts w:ascii="Arial" w:eastAsia="Times New Roman" w:hAnsi="Arial" w:cs="Arial"/>
                <w:b/>
                <w:bCs/>
                <w:color w:val="000000" w:themeColor="text1"/>
                <w:sz w:val="20"/>
                <w:szCs w:val="20"/>
                <w:lang w:eastAsia="en-GB"/>
              </w:rPr>
              <w:t>BRiMS</w:t>
            </w:r>
            <w:proofErr w:type="spellEnd"/>
            <w:r w:rsidRPr="00521F4D">
              <w:rPr>
                <w:rFonts w:ascii="Arial" w:eastAsia="Times New Roman" w:hAnsi="Arial" w:cs="Arial"/>
                <w:b/>
                <w:bCs/>
                <w:color w:val="000000" w:themeColor="text1"/>
                <w:sz w:val="20"/>
                <w:szCs w:val="20"/>
                <w:lang w:eastAsia="en-GB"/>
              </w:rPr>
              <w:t xml:space="preserve">  – usual care</w:t>
            </w:r>
            <w:r w:rsidRPr="00521F4D">
              <w:rPr>
                <w:rFonts w:ascii="Arial" w:eastAsia="Times New Roman" w:hAnsi="Arial" w:cs="Arial"/>
                <w:b/>
                <w:bCs/>
                <w:color w:val="000000" w:themeColor="text1"/>
                <w:lang w:eastAsia="en-GB"/>
              </w:rPr>
              <w:t>)</w:t>
            </w:r>
          </w:p>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eastAsia="Times New Roman" w:hAnsi="Arial" w:cs="Arial"/>
                <w:b/>
                <w:bCs/>
                <w:color w:val="000000" w:themeColor="text1"/>
                <w:lang w:eastAsia="en-GB"/>
              </w:rPr>
              <w:t>Mean (95% CI)</w:t>
            </w:r>
          </w:p>
        </w:tc>
        <w:tc>
          <w:tcPr>
            <w:tcW w:w="683" w:type="pct"/>
            <w:vMerge w:val="restart"/>
            <w:tcBorders>
              <w:top w:val="single" w:sz="4" w:space="0" w:color="auto"/>
              <w:left w:val="single" w:sz="4" w:space="0" w:color="auto"/>
            </w:tcBorders>
            <w:shd w:val="clear" w:color="auto" w:fill="DBE5F1" w:themeFill="accent1" w:themeFillTint="33"/>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eastAsia="Times New Roman" w:hAnsi="Arial" w:cs="Arial"/>
                <w:b/>
                <w:bCs/>
                <w:color w:val="000000" w:themeColor="text1"/>
                <w:lang w:eastAsia="en-GB"/>
              </w:rPr>
              <w:t>Minimal clinically important difference (MCID), where available</w:t>
            </w:r>
          </w:p>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blHeader/>
        </w:trPr>
        <w:tc>
          <w:tcPr>
            <w:tcW w:w="710" w:type="pct"/>
            <w:vMerge/>
            <w:tcBorders>
              <w:top w:val="single" w:sz="4" w:space="0" w:color="auto"/>
              <w:bottom w:val="nil"/>
              <w:right w:val="single" w:sz="4" w:space="0" w:color="auto"/>
            </w:tcBorders>
            <w:shd w:val="clear" w:color="auto" w:fill="DBE5F1" w:themeFill="accent1" w:themeFillTint="33"/>
            <w:noWrap/>
            <w:vAlign w:val="center"/>
          </w:tcPr>
          <w:p w:rsidR="0003139D" w:rsidRPr="00521F4D" w:rsidRDefault="0003139D" w:rsidP="00604C0D">
            <w:pPr>
              <w:spacing w:after="0" w:line="240" w:lineRule="auto"/>
              <w:rPr>
                <w:rFonts w:ascii="Arial" w:eastAsia="Times New Roman" w:hAnsi="Arial" w:cs="Arial"/>
                <w:b/>
                <w:bCs/>
                <w:color w:val="000000" w:themeColor="text1"/>
                <w:lang w:eastAsia="en-GB"/>
              </w:rPr>
            </w:pPr>
          </w:p>
        </w:tc>
        <w:tc>
          <w:tcPr>
            <w:tcW w:w="408" w:type="pct"/>
            <w:vMerge/>
            <w:tcBorders>
              <w:top w:val="single" w:sz="4" w:space="0" w:color="auto"/>
              <w:left w:val="single" w:sz="4" w:space="0" w:color="auto"/>
              <w:bottom w:val="nil"/>
              <w:right w:val="single" w:sz="4" w:space="0" w:color="auto"/>
            </w:tcBorders>
            <w:shd w:val="clear" w:color="auto" w:fill="DBE5F1" w:themeFill="accent1" w:themeFillTint="33"/>
            <w:noWrap/>
            <w:vAlign w:val="center"/>
          </w:tcPr>
          <w:p w:rsidR="0003139D" w:rsidRPr="00521F4D" w:rsidRDefault="0003139D" w:rsidP="00604C0D">
            <w:pPr>
              <w:spacing w:after="0" w:line="240" w:lineRule="auto"/>
              <w:rPr>
                <w:rFonts w:ascii="Arial" w:eastAsia="Times New Roman" w:hAnsi="Arial" w:cs="Arial"/>
                <w:b/>
                <w:bCs/>
                <w:color w:val="000000" w:themeColor="text1"/>
                <w:lang w:eastAsia="en-GB"/>
              </w:rPr>
            </w:pPr>
          </w:p>
        </w:tc>
        <w:tc>
          <w:tcPr>
            <w:tcW w:w="203"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03139D" w:rsidRPr="00521F4D" w:rsidRDefault="0003139D" w:rsidP="00604C0D">
            <w:pPr>
              <w:spacing w:after="0" w:line="240" w:lineRule="auto"/>
              <w:jc w:val="center"/>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N</w:t>
            </w:r>
          </w:p>
        </w:tc>
        <w:tc>
          <w:tcPr>
            <w:tcW w:w="613"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3139D" w:rsidRPr="00521F4D" w:rsidRDefault="0003139D" w:rsidP="00604C0D">
            <w:pPr>
              <w:spacing w:after="0" w:line="240" w:lineRule="auto"/>
              <w:jc w:val="center"/>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Mean (SD)</w:t>
            </w:r>
          </w:p>
          <w:p w:rsidR="0003139D" w:rsidRPr="00521F4D" w:rsidRDefault="0003139D" w:rsidP="00604C0D">
            <w:pPr>
              <w:spacing w:after="0" w:line="240" w:lineRule="auto"/>
              <w:jc w:val="center"/>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[Min - Max]</w:t>
            </w:r>
          </w:p>
        </w:tc>
        <w:tc>
          <w:tcPr>
            <w:tcW w:w="300" w:type="pct"/>
            <w:tcBorders>
              <w:top w:val="single" w:sz="4" w:space="0" w:color="auto"/>
              <w:left w:val="single" w:sz="4" w:space="0" w:color="auto"/>
              <w:bottom w:val="single" w:sz="4" w:space="0" w:color="auto"/>
            </w:tcBorders>
            <w:shd w:val="clear" w:color="auto" w:fill="DBE5F1" w:themeFill="accent1" w:themeFillTint="33"/>
            <w:noWrap/>
            <w:vAlign w:val="center"/>
          </w:tcPr>
          <w:p w:rsidR="0003139D" w:rsidRPr="00521F4D" w:rsidRDefault="0003139D" w:rsidP="00604C0D">
            <w:pPr>
              <w:spacing w:after="0" w:line="240" w:lineRule="auto"/>
              <w:jc w:val="center"/>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N</w:t>
            </w:r>
          </w:p>
        </w:tc>
        <w:tc>
          <w:tcPr>
            <w:tcW w:w="562" w:type="pct"/>
            <w:gridSpan w:val="4"/>
            <w:tcBorders>
              <w:top w:val="single" w:sz="4" w:space="0" w:color="auto"/>
              <w:left w:val="single" w:sz="4" w:space="0" w:color="auto"/>
              <w:bottom w:val="single" w:sz="4" w:space="0" w:color="auto"/>
            </w:tcBorders>
            <w:shd w:val="clear" w:color="auto" w:fill="DBE5F1" w:themeFill="accent1" w:themeFillTint="33"/>
            <w:vAlign w:val="center"/>
          </w:tcPr>
          <w:p w:rsidR="0003139D" w:rsidRPr="00521F4D" w:rsidRDefault="0003139D" w:rsidP="00604C0D">
            <w:pPr>
              <w:spacing w:after="0" w:line="240" w:lineRule="auto"/>
              <w:jc w:val="center"/>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Mean (SD)</w:t>
            </w:r>
          </w:p>
          <w:p w:rsidR="0003139D" w:rsidRPr="00521F4D" w:rsidRDefault="0003139D" w:rsidP="00604C0D">
            <w:pPr>
              <w:spacing w:after="0" w:line="240" w:lineRule="auto"/>
              <w:jc w:val="center"/>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[Min - Max]</w:t>
            </w:r>
          </w:p>
        </w:tc>
        <w:tc>
          <w:tcPr>
            <w:tcW w:w="762" w:type="pct"/>
            <w:gridSpan w:val="2"/>
            <w:tcBorders>
              <w:top w:val="single" w:sz="4" w:space="0" w:color="auto"/>
              <w:left w:val="single" w:sz="4" w:space="0" w:color="auto"/>
            </w:tcBorders>
            <w:shd w:val="clear" w:color="auto" w:fill="DBE5F1" w:themeFill="accent1" w:themeFillTint="33"/>
            <w:vAlign w:val="center"/>
          </w:tcPr>
          <w:p w:rsidR="0003139D" w:rsidRPr="00521F4D" w:rsidRDefault="0003139D" w:rsidP="00604C0D">
            <w:pPr>
              <w:spacing w:after="0" w:line="240" w:lineRule="auto"/>
              <w:jc w:val="center"/>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Unadjusted</w:t>
            </w:r>
          </w:p>
        </w:tc>
        <w:tc>
          <w:tcPr>
            <w:tcW w:w="759" w:type="pct"/>
            <w:tcBorders>
              <w:top w:val="single" w:sz="4" w:space="0" w:color="auto"/>
              <w:left w:val="single" w:sz="4" w:space="0" w:color="auto"/>
            </w:tcBorders>
            <w:shd w:val="clear" w:color="auto" w:fill="DBE5F1" w:themeFill="accent1" w:themeFillTint="33"/>
            <w:vAlign w:val="center"/>
          </w:tcPr>
          <w:p w:rsidR="0003139D" w:rsidRPr="00521F4D" w:rsidRDefault="0003139D" w:rsidP="00604C0D">
            <w:pPr>
              <w:spacing w:after="0" w:line="240" w:lineRule="auto"/>
              <w:jc w:val="center"/>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Adjusted</w:t>
            </w:r>
          </w:p>
        </w:tc>
        <w:tc>
          <w:tcPr>
            <w:tcW w:w="683" w:type="pct"/>
            <w:vMerge/>
            <w:tcBorders>
              <w:left w:val="single" w:sz="4" w:space="0" w:color="auto"/>
            </w:tcBorders>
            <w:shd w:val="clear" w:color="auto" w:fill="DBE5F1" w:themeFill="accent1" w:themeFillTint="33"/>
            <w:vAlign w:val="center"/>
          </w:tcPr>
          <w:p w:rsidR="0003139D" w:rsidRPr="00521F4D" w:rsidRDefault="0003139D" w:rsidP="00604C0D">
            <w:pPr>
              <w:spacing w:after="0" w:line="240" w:lineRule="auto"/>
              <w:jc w:val="center"/>
              <w:rPr>
                <w:rFonts w:ascii="Arial" w:eastAsia="Times New Roman" w:hAnsi="Arial" w:cs="Arial"/>
                <w:b/>
                <w:bCs/>
                <w:color w:val="000000" w:themeColor="text1"/>
                <w:lang w:eastAsia="en-GB"/>
              </w:rPr>
            </w:pPr>
          </w:p>
        </w:tc>
      </w:tr>
      <w:tr w:rsidR="0003139D" w:rsidRPr="00521F4D" w:rsidTr="00604C0D">
        <w:trPr>
          <w:trHeight w:val="300"/>
        </w:trPr>
        <w:tc>
          <w:tcPr>
            <w:tcW w:w="5000" w:type="pct"/>
            <w:gridSpan w:val="14"/>
            <w:tcBorders>
              <w:top w:val="single" w:sz="4" w:space="0" w:color="auto"/>
              <w:bottom w:val="nil"/>
            </w:tcBorders>
            <w:shd w:val="clear" w:color="auto" w:fill="auto"/>
            <w:noWrap/>
            <w:vAlign w:val="center"/>
          </w:tcPr>
          <w:p w:rsidR="0003139D" w:rsidRPr="00521F4D" w:rsidRDefault="0003139D" w:rsidP="00604C0D">
            <w:pPr>
              <w:spacing w:after="0" w:line="240" w:lineRule="auto"/>
              <w:rPr>
                <w:rFonts w:ascii="Arial" w:hAnsi="Arial" w:cs="Arial"/>
                <w:color w:val="000000" w:themeColor="text1"/>
                <w:sz w:val="20"/>
                <w:szCs w:val="20"/>
              </w:rPr>
            </w:pPr>
            <w:r w:rsidRPr="00521F4D">
              <w:rPr>
                <w:rFonts w:ascii="Arial" w:hAnsi="Arial" w:cs="Arial"/>
                <w:b/>
                <w:bCs/>
                <w:color w:val="000000" w:themeColor="text1"/>
                <w:sz w:val="20"/>
                <w:szCs w:val="20"/>
              </w:rPr>
              <w:t>Clinician-rated measures</w:t>
            </w:r>
          </w:p>
        </w:tc>
      </w:tr>
      <w:tr w:rsidR="0003139D" w:rsidRPr="00521F4D" w:rsidTr="00604C0D">
        <w:trPr>
          <w:trHeight w:val="300"/>
        </w:trPr>
        <w:tc>
          <w:tcPr>
            <w:tcW w:w="710" w:type="pct"/>
            <w:vMerge w:val="restart"/>
            <w:tcBorders>
              <w:top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bCs/>
                <w:color w:val="000000" w:themeColor="text1"/>
                <w:sz w:val="20"/>
                <w:szCs w:val="20"/>
                <w:lang w:eastAsia="en-GB"/>
              </w:rPr>
            </w:pPr>
            <w:r w:rsidRPr="00521F4D">
              <w:rPr>
                <w:rFonts w:ascii="Arial" w:eastAsia="Times New Roman" w:hAnsi="Arial" w:cs="Arial"/>
                <w:b/>
                <w:bCs/>
                <w:color w:val="000000" w:themeColor="text1"/>
                <w:sz w:val="20"/>
                <w:szCs w:val="20"/>
                <w:lang w:eastAsia="en-GB"/>
              </w:rPr>
              <w:t>2MWT</w:t>
            </w:r>
            <w:r w:rsidRPr="00521F4D">
              <w:rPr>
                <w:rFonts w:ascii="Arial" w:eastAsia="Times New Roman" w:hAnsi="Arial" w:cs="Arial"/>
                <w:b/>
                <w:bCs/>
                <w:color w:val="000000" w:themeColor="text1"/>
                <w:sz w:val="20"/>
                <w:szCs w:val="20"/>
                <w:vertAlign w:val="superscript"/>
                <w:lang w:eastAsia="en-GB"/>
              </w:rPr>
              <w:t>b</w:t>
            </w:r>
            <w:r w:rsidRPr="00521F4D">
              <w:rPr>
                <w:rFonts w:ascii="Arial" w:eastAsia="Times New Roman" w:hAnsi="Arial" w:cs="Arial"/>
                <w:b/>
                <w:bCs/>
                <w:color w:val="000000" w:themeColor="text1"/>
                <w:sz w:val="20"/>
                <w:szCs w:val="20"/>
                <w:lang w:eastAsia="en-GB"/>
              </w:rPr>
              <w:t>*</w:t>
            </w:r>
          </w:p>
          <w:p w:rsidR="0003139D" w:rsidRPr="00521F4D" w:rsidRDefault="0003139D" w:rsidP="00604C0D">
            <w:pPr>
              <w:spacing w:after="0" w:line="240" w:lineRule="auto"/>
              <w:rPr>
                <w:rFonts w:ascii="Arial" w:eastAsia="Times New Roman" w:hAnsi="Arial" w:cs="Arial"/>
                <w:b/>
                <w:bCs/>
                <w:color w:val="000000" w:themeColor="text1"/>
                <w:sz w:val="20"/>
                <w:szCs w:val="20"/>
                <w:lang w:eastAsia="en-GB"/>
              </w:rPr>
            </w:pPr>
            <w:r w:rsidRPr="00521F4D">
              <w:rPr>
                <w:rFonts w:ascii="Arial" w:eastAsia="Times New Roman" w:hAnsi="Arial" w:cs="Arial"/>
                <w:b/>
                <w:bCs/>
                <w:color w:val="000000" w:themeColor="text1"/>
                <w:sz w:val="20"/>
                <w:szCs w:val="20"/>
                <w:lang w:eastAsia="en-GB"/>
              </w:rPr>
              <w:t>(</w:t>
            </w:r>
            <w:proofErr w:type="spellStart"/>
            <w:r w:rsidRPr="00521F4D">
              <w:rPr>
                <w:rFonts w:ascii="Arial" w:eastAsia="Times New Roman" w:hAnsi="Arial" w:cs="Arial"/>
                <w:b/>
                <w:bCs/>
                <w:color w:val="000000" w:themeColor="text1"/>
                <w:sz w:val="20"/>
                <w:szCs w:val="20"/>
                <w:lang w:eastAsia="en-GB"/>
              </w:rPr>
              <w:t>metres</w:t>
            </w:r>
            <w:proofErr w:type="spellEnd"/>
            <w:r w:rsidRPr="00521F4D">
              <w:rPr>
                <w:rFonts w:ascii="Arial" w:eastAsia="Times New Roman" w:hAnsi="Arial" w:cs="Arial"/>
                <w:b/>
                <w:bCs/>
                <w:color w:val="000000" w:themeColor="text1"/>
                <w:sz w:val="20"/>
                <w:szCs w:val="20"/>
                <w:lang w:eastAsia="en-GB"/>
              </w:rPr>
              <w:t>)</w:t>
            </w: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r w:rsidRPr="00521F4D">
              <w:rPr>
                <w:rFonts w:ascii="Arial" w:eastAsia="Times New Roman" w:hAnsi="Arial" w:cs="Arial"/>
                <w:b/>
                <w:color w:val="000000" w:themeColor="text1"/>
                <w:sz w:val="20"/>
                <w:szCs w:val="20"/>
                <w:lang w:eastAsia="en-GB"/>
              </w:rPr>
              <w:t>Baseline</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26</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52.7 (27.2)</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30</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53 (32)</w:t>
            </w:r>
          </w:p>
        </w:tc>
        <w:tc>
          <w:tcPr>
            <w:tcW w:w="1521" w:type="pct"/>
            <w:gridSpan w:val="3"/>
            <w:vMerge w:val="restart"/>
            <w:tcBorders>
              <w:top w:val="single" w:sz="4" w:space="0" w:color="auto"/>
              <w:left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12.2 to 14.7</w:t>
            </w:r>
            <w:r w:rsidRPr="00521F4D">
              <w:rPr>
                <w:rFonts w:ascii="Arial" w:hAnsi="Arial" w:cs="Arial"/>
                <w:color w:val="000000" w:themeColor="text1"/>
                <w:sz w:val="20"/>
                <w:szCs w:val="20"/>
              </w:rPr>
              <w:fldChar w:fldCharType="begin" w:fldLock="1"/>
            </w:r>
            <w:r>
              <w:rPr>
                <w:rFonts w:ascii="Arial" w:hAnsi="Arial" w:cs="Arial"/>
                <w:color w:val="000000" w:themeColor="text1"/>
                <w:sz w:val="20"/>
                <w:szCs w:val="20"/>
              </w:rPr>
              <w:instrText>ADDIN CSL_CITATION {"citationItems":[{"id":"ITEM-1","itemData":{"DOI":"10.3138/physio.61.2.78","ISSN":"0300-0508","PMID":"20190990","abstract":"PURPOSE This study's purposes were to examine the measurement properties of the 2-minute walk test (2MWT), to illustrate the use of reliability coefficients in clinical practice, and to estimate sample size for a subsequent validity study. METHOD Sixteen residents of long-term care (LTC; mean age = 87 years) completed two 2MWTs with Rater A and two 2MWTs with Rater B on test days 1 and 2, approximately 1 week apart. On a third test day, subjects completed one trial of the Berg Balance Scale (BBS), timed up-and-go (TUG) test, and 6-minute walk test (6MWT) with Rater A. On 2 other test days, approximately 1 week apart, Rater A administered the 2MWT to five older adults living in a retirement facility. Absolute and relative reliability and concurrent and known-groups validity coefficients were calculated. RESULTS No main effect for rater, trial, or occasion was found. Test-retest reliability estimates of 0.94 and 0.95 were obtained. The 2MWT demonstrated concurrent validity (r &gt;or = 0.84) with the BBS, TUG, and 6MWT. Comparison of distance walked by LTC and retirement residents showed a difference of 72.9 m (95% CI: 44.2, 101.6). The results suggest that 90% of truly stable older adults will display random fluctuations in 2MWT performance within a boundary of 15 m. CONCLUSION The 2MWT had sound measurement properties in this sample of LTC residents. Based on our results, 24 subjects would be required for a subsequent hypothesis-testing validity study.","author":[{"dropping-particle":"","family":"Connelly","given":"D M","non-dropping-particle":"","parse-names":false,"suffix":""},{"dropping-particle":"","family":"Thomas","given":"B K","non-dropping-particle":"","parse-names":false,"suffix":""},{"dropping-particle":"","family":"Cliffe","given":"S J","non-dropping-particle":"","parse-names":false,"suffix":""},{"dropping-particle":"","family":"Perry","given":"W M","non-dropping-particle":"","parse-names":false,"suffix":""},{"dropping-particle":"","family":"Smith","given":"R E","non-dropping-particle":"","parse-names":false,"suffix":""}],"container-title":"Physiotherapy Canada. Physiotherapie Canada","id":"ITEM-1","issue":"2","issued":{"date-parts":[["2009"]]},"page":"78-87","publisher":"Canadian Physiotherapy Association","title":"Clinical utility of the 2-minute walk test for older adults living in long-term care.","type":"article-journal","volume":"61"},"uris":["http://www.mendeley.com/documents/?uuid=9f5b22db-b3da-4067-a03f-d090bf29fed4"]}],"mendeley":{"formattedCitation":"&lt;sup&gt;[64]&lt;/sup&gt;","plainTextFormattedCitation":"[64]","previouslyFormattedCitation":"&lt;sup&gt;[53]&lt;/sup&gt;"},"properties":{"noteIndex":0},"schema":"https://github.com/citation-style-language/schema/raw/master/csl-citation.json"}</w:instrText>
            </w:r>
            <w:r w:rsidRPr="00521F4D">
              <w:rPr>
                <w:rFonts w:ascii="Arial" w:hAnsi="Arial" w:cs="Arial"/>
                <w:color w:val="000000" w:themeColor="text1"/>
                <w:sz w:val="20"/>
                <w:szCs w:val="20"/>
                <w:vertAlign w:val="superscript"/>
              </w:rPr>
              <w:fldChar w:fldCharType="separate"/>
            </w:r>
            <w:r w:rsidRPr="00753276">
              <w:rPr>
                <w:rFonts w:ascii="Arial" w:hAnsi="Arial" w:cs="Arial"/>
                <w:noProof/>
                <w:color w:val="000000" w:themeColor="text1"/>
                <w:sz w:val="20"/>
                <w:szCs w:val="20"/>
                <w:vertAlign w:val="superscript"/>
              </w:rPr>
              <w:t>[64]</w:t>
            </w:r>
            <w:r w:rsidRPr="00521F4D">
              <w:rPr>
                <w:rFonts w:ascii="Arial" w:hAnsi="Arial" w:cs="Arial"/>
                <w:color w:val="000000" w:themeColor="text1"/>
                <w:sz w:val="20"/>
                <w:szCs w:val="20"/>
              </w:rPr>
              <w:fldChar w:fldCharType="end"/>
            </w:r>
            <w:r w:rsidRPr="00521F4D">
              <w:rPr>
                <w:rFonts w:ascii="Arial" w:hAnsi="Arial" w:cs="Arial"/>
                <w:color w:val="000000" w:themeColor="text1"/>
                <w:sz w:val="20"/>
                <w:szCs w:val="20"/>
              </w:rPr>
              <w:t xml:space="preserve"> or 19.21 </w:t>
            </w:r>
            <w:proofErr w:type="spellStart"/>
            <w:r w:rsidRPr="00521F4D">
              <w:rPr>
                <w:rFonts w:ascii="Arial" w:hAnsi="Arial" w:cs="Arial"/>
                <w:color w:val="000000" w:themeColor="text1"/>
                <w:sz w:val="20"/>
                <w:szCs w:val="20"/>
              </w:rPr>
              <w:t>metres</w:t>
            </w:r>
            <w:proofErr w:type="spellEnd"/>
            <w:r w:rsidRPr="00521F4D">
              <w:rPr>
                <w:rFonts w:ascii="Arial" w:hAnsi="Arial" w:cs="Arial"/>
                <w:color w:val="000000" w:themeColor="text1"/>
                <w:sz w:val="20"/>
                <w:szCs w:val="20"/>
              </w:rPr>
              <w:fldChar w:fldCharType="begin" w:fldLock="1"/>
            </w:r>
            <w:r w:rsidRPr="00521F4D">
              <w:rPr>
                <w:rFonts w:ascii="Arial" w:hAnsi="Arial" w:cs="Arial"/>
                <w:color w:val="000000" w:themeColor="text1"/>
                <w:sz w:val="20"/>
                <w:szCs w:val="20"/>
              </w:rPr>
              <w:instrText>ADDIN CSL_CITATION {"citationItems":[{"id":"ITEM-1","itemData":{"DOI":"10.1177/1352458510361357","ISSN":"1352-4585","PMID":"20207785","abstract":"The objective was to establish the extent to which physical functioning capacity and self-report measures are able to predict the habitual walking performance in ambulatory persons with multiple sclerosis. Fifty persons with multiple sclerosis (Expanded Disability Status Scale, EDSS, 1.5-6.5) were tested on leg muscle strength as well as walking and balance capacity, and completed self-report indices on perceived physical functioning. Habitual walking performance, that is, the real amount of steps that is performed in the customary living environment, was registered by means of an ambulant accelerometer-based monitor during seven consecutive days. Mild (EDSS 1.5-4.0, n = 29) and moderate (EDSS 4.5-6.5, n = 21) multiple sclerosis subgroups were additionally distinguished as predictor variables and values were hypothesized to differ depending on multiple sclerosis severity and concomitant ambulatory function. Multiple regression analyses yielded a single most significant predictor for each (sub)group with other variables making no independent contribution to the variation in habitual walking performance. For the total study sample, this was the 6-Minute Walking Test (R(2) = 0.458, p &lt; 0.01). In the mild multiple sclerosis subgroup, the 6-Minute Walking Test was again most predictive, yet to a modest degree (R(2) = 0. 187, p = 0.02). In the moderate multiple sclerosis subgroup, the 2-Minute Walking Test explained over half of the variance (R(2) = 0.532, p &lt; 0.01). Habitual walking performance is best reflected by longer walking capacity tests. The extent to which it can be predicted based on clinical testing is larger in a multiple sclerosis patient sample with more severe walking disability. Ambulatory monitoring, however, includes aspects of community ambulation not captured in the clinic, and must be considered as an additional outcome for evaluating interventions in multiple sclerosis.","author":[{"dropping-particle":"","family":"Gijbels","given":"Domien","non-dropping-particle":"","parse-names":false,"suffix":""},{"dropping-particle":"","family":"Alders","given":"Geert","non-dropping-particle":"","parse-names":false,"suffix":""},{"dropping-particle":"","family":"Hoof","given":"Elke","non-dropping-particle":"Van","parse-names":false,"suffix":""},{"dropping-particle":"","family":"Charlier","given":"Caroline","non-dropping-particle":"","parse-names":false,"suffix":""},{"dropping-particle":"","family":"Roelants","given":"Machteld","non-dropping-particle":"","parse-names":false,"suffix":""},{"dropping-particle":"","family":"Broekmans","given":"Tom","non-dropping-particle":"","parse-names":false,"suffix":""},{"dropping-particle":"","family":"Op 't Eijnde","given":"Bert","non-dropping-particle":"","parse-names":false,"suffix":""},{"dropping-particle":"","family":"Feys","given":"Peter","non-dropping-particle":"","parse-names":false,"suffix":""}],"container-title":"Multiple Sclerosis Journal","id":"ITEM-1","issue":"5","issued":{"date-parts":[["2010","5","5"]]},"page":"618-626","title":"Predicting habitual walking performance in multiple sclerosis: relevance of capacity and self-report measures","type":"article-journal","volume":"16"},"uris":["http://www.mendeley.com/documents/?uuid=0e5e9318-ace1-476e-89ad-b18dd1262c71"]}],"mendeley":{"formattedCitation":"&lt;sup&gt;[46]&lt;/sup&gt;","plainTextFormattedCitation":"[46]","previouslyFormattedCitation":"&lt;sup&gt;[46]&lt;/sup&gt;"},"properties":{"noteIndex":0},"schema":"https://github.com/citation-style-language/schema/raw/master/csl-citation.json"}</w:instrText>
            </w:r>
            <w:r w:rsidRPr="00521F4D">
              <w:rPr>
                <w:rFonts w:ascii="Arial" w:hAnsi="Arial" w:cs="Arial"/>
                <w:color w:val="000000" w:themeColor="text1"/>
                <w:sz w:val="20"/>
                <w:szCs w:val="20"/>
                <w:vertAlign w:val="superscript"/>
              </w:rPr>
              <w:fldChar w:fldCharType="separate"/>
            </w:r>
            <w:r w:rsidRPr="00521F4D">
              <w:rPr>
                <w:rFonts w:ascii="Arial" w:hAnsi="Arial" w:cs="Arial"/>
                <w:noProof/>
                <w:color w:val="000000" w:themeColor="text1"/>
                <w:sz w:val="20"/>
                <w:szCs w:val="20"/>
                <w:vertAlign w:val="superscript"/>
              </w:rPr>
              <w:t>[46]</w:t>
            </w:r>
            <w:r w:rsidRPr="00521F4D">
              <w:rPr>
                <w:rFonts w:ascii="Arial" w:hAnsi="Arial" w:cs="Arial"/>
                <w:color w:val="000000" w:themeColor="text1"/>
                <w:sz w:val="20"/>
                <w:szCs w:val="20"/>
              </w:rPr>
              <w:fldChar w:fldCharType="end"/>
            </w:r>
            <w:r w:rsidRPr="00521F4D">
              <w:rPr>
                <w:rFonts w:ascii="Arial" w:hAnsi="Arial" w:cs="Arial"/>
                <w:color w:val="000000" w:themeColor="text1"/>
                <w:sz w:val="20"/>
                <w:szCs w:val="20"/>
              </w:rPr>
              <w:t xml:space="preserve"> </w:t>
            </w: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[7 - 138.5]</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[9 - 133]</w:t>
            </w:r>
          </w:p>
        </w:tc>
        <w:tc>
          <w:tcPr>
            <w:tcW w:w="1521" w:type="pct"/>
            <w:gridSpan w:val="3"/>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15</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24</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51.9 (29.5)</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24</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53.3 (27)</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1.4 (-15 to 17.9)</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0.3 (-9.4 to 10)</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[8.5 - 120]</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[13 - 101]</w:t>
            </w:r>
          </w:p>
        </w:tc>
        <w:tc>
          <w:tcPr>
            <w:tcW w:w="762" w:type="pct"/>
            <w:gridSpan w:val="2"/>
            <w:vMerge/>
            <w:tcBorders>
              <w:left w:val="single" w:sz="4" w:space="0" w:color="auto"/>
              <w:bottom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759" w:type="pct"/>
            <w:vMerge/>
            <w:tcBorders>
              <w:left w:val="single" w:sz="4" w:space="0" w:color="auto"/>
              <w:bottom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27</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21</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56.3 (31.1)</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20</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55 (27.4)</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-1.3 (-19.9 to 17.2)</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-2.2 (-14.6 to 10.2)</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[12 - 126.8]</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[16 - 103]</w:t>
            </w:r>
          </w:p>
        </w:tc>
        <w:tc>
          <w:tcPr>
            <w:tcW w:w="762" w:type="pct"/>
            <w:gridSpan w:val="2"/>
            <w:vMerge/>
            <w:tcBorders>
              <w:left w:val="single" w:sz="4" w:space="0" w:color="auto"/>
              <w:bottom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759" w:type="pct"/>
            <w:vMerge/>
            <w:tcBorders>
              <w:left w:val="single" w:sz="4" w:space="0" w:color="auto"/>
              <w:bottom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683" w:type="pct"/>
            <w:vMerge/>
            <w:tcBorders>
              <w:left w:val="single" w:sz="4" w:space="0" w:color="auto"/>
              <w:bottom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val="restart"/>
            <w:tcBorders>
              <w:top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bCs/>
                <w:color w:val="000000" w:themeColor="text1"/>
                <w:sz w:val="20"/>
                <w:szCs w:val="20"/>
                <w:vertAlign w:val="superscript"/>
                <w:lang w:eastAsia="en-GB"/>
              </w:rPr>
            </w:pPr>
            <w:proofErr w:type="spellStart"/>
            <w:r w:rsidRPr="00521F4D">
              <w:rPr>
                <w:rFonts w:ascii="Arial" w:eastAsia="Times New Roman" w:hAnsi="Arial" w:cs="Arial"/>
                <w:b/>
                <w:bCs/>
                <w:color w:val="000000" w:themeColor="text1"/>
                <w:sz w:val="20"/>
                <w:szCs w:val="20"/>
                <w:lang w:eastAsia="en-GB"/>
              </w:rPr>
              <w:t>MiniBEST</w:t>
            </w:r>
            <w:r w:rsidRPr="00521F4D">
              <w:rPr>
                <w:rFonts w:ascii="Arial" w:eastAsia="Times New Roman" w:hAnsi="Arial" w:cs="Arial"/>
                <w:b/>
                <w:bCs/>
                <w:color w:val="000000" w:themeColor="text1"/>
                <w:sz w:val="20"/>
                <w:szCs w:val="20"/>
                <w:vertAlign w:val="superscript"/>
                <w:lang w:eastAsia="en-GB"/>
              </w:rPr>
              <w:t>b</w:t>
            </w:r>
            <w:proofErr w:type="spellEnd"/>
          </w:p>
          <w:p w:rsidR="0003139D" w:rsidRPr="00521F4D" w:rsidRDefault="0003139D" w:rsidP="00604C0D">
            <w:pPr>
              <w:spacing w:after="0" w:line="240" w:lineRule="auto"/>
              <w:rPr>
                <w:rFonts w:ascii="Arial" w:hAnsi="Arial"/>
                <w:b/>
                <w:color w:val="000000" w:themeColor="text1"/>
                <w:sz w:val="20"/>
              </w:rPr>
            </w:pPr>
            <w:r w:rsidRPr="00521F4D">
              <w:rPr>
                <w:rFonts w:ascii="Arial" w:eastAsia="Times New Roman" w:hAnsi="Arial" w:cs="Arial"/>
                <w:b/>
                <w:bCs/>
                <w:color w:val="000000" w:themeColor="text1"/>
                <w:sz w:val="20"/>
                <w:szCs w:val="20"/>
                <w:lang w:eastAsia="en-GB"/>
              </w:rPr>
              <w:t>(Scale range 0-28)</w:t>
            </w: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r w:rsidRPr="00521F4D">
              <w:rPr>
                <w:rFonts w:ascii="Arial" w:eastAsia="Times New Roman" w:hAnsi="Arial" w:cs="Arial"/>
                <w:b/>
                <w:color w:val="000000" w:themeColor="text1"/>
                <w:sz w:val="20"/>
                <w:szCs w:val="20"/>
                <w:lang w:eastAsia="en-GB"/>
              </w:rPr>
              <w:t>Baseline</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26</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12.2 (3.8)</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29</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10.7 (5.2)</w:t>
            </w:r>
          </w:p>
        </w:tc>
        <w:tc>
          <w:tcPr>
            <w:tcW w:w="1521" w:type="pct"/>
            <w:gridSpan w:val="3"/>
            <w:vMerge w:val="restart"/>
            <w:tcBorders>
              <w:top w:val="single" w:sz="4" w:space="0" w:color="auto"/>
              <w:left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683"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3.5</w:t>
            </w:r>
            <w:r w:rsidRPr="00521F4D">
              <w:rPr>
                <w:rFonts w:ascii="Arial" w:hAnsi="Arial" w:cs="Arial"/>
                <w:color w:val="000000" w:themeColor="text1"/>
                <w:sz w:val="20"/>
                <w:szCs w:val="20"/>
              </w:rPr>
              <w:fldChar w:fldCharType="begin" w:fldLock="1"/>
            </w:r>
            <w:r>
              <w:rPr>
                <w:rFonts w:ascii="Arial" w:hAnsi="Arial" w:cs="Arial"/>
                <w:color w:val="000000" w:themeColor="text1"/>
                <w:sz w:val="20"/>
                <w:szCs w:val="20"/>
              </w:rPr>
              <w:instrText>ADDIN CSL_CITATION {"citationItems":[{"id":"ITEM-1","itemData":{"DOI":"10.2522/ptj.20120171","ISSN":"0031-9023","PMID":"23023812","abstract":"BACKGROUND: Recently, a new tool for assessing dynamic balance impairments has been presented: the 14-item Mini-BESTest.$\\$n$\\$nOBJECTIVE: The aim of this study was to compare the psychometric performance of the Mini-BESTest and the Berg Balance Scale (BBS).$\\$n$\\$nDESIGN: A prospective, single-group, observational design was used in the study.$\\$n$\\$nMETHODS: Ninety-three participants (mean age=66.2 years, SD=13.2; 53 women, 40 men) with balance deficits were recruited. Interrater (3 raters) and test-retest (1-3 days) reliability were calculated using intraclass correlation coefficients (ICCs). Responsiveness and minimal important change were assessed (after 10 sessions of physical therapy) using both distribution-based and anchor-based methods (external criterion: the 15-point Global Rating of Change [GRC] scale).$\\$n$\\$nRESULTS: At baseline, neither floor effects nor ceiling effects were found in either the Mini-BESTest or the BBS. After treatment, the maximum score was found in 12 participants (12.9%) with BBS and in 2 participants (2.1%) with Mini-BESTest. Test-retest reliability for total scores was significantly higher for the Mini-BESTest (ICC=.96) than for the BBS (ICC=.92), whereas interrater reliability was similar (ICC=.98 versus .97, respectively). The standard error of measurement (SEM) was 1.26 and the minimum detectable change at the 95% confidence level (MDC(95)) was 3.5 points for Mini-BESTest, whereas the SEM was 2.18 and the MDC(95) was 6.2 points for the BBS. In receiver operating characteristic curves, the area under the curve was 0.92 for the Mini-BESTest and 0.91 for the BBS. The best minimal important change (MIC) was 4 points for the Mini-BESTest and 7 points for the BBS. After treatment, 38 participants evaluated with the Mini-BESTest and only 23 participants evaluated with the BBS (out of the 40 participants who had a GRC score of</w:instrText>
            </w:r>
            <w:r>
              <w:rPr>
                <w:rFonts w:ascii="Arial" w:hAnsi="Arial" w:cs="Arial" w:hint="eastAsia"/>
                <w:color w:val="000000" w:themeColor="text1"/>
                <w:sz w:val="20"/>
                <w:szCs w:val="20"/>
              </w:rPr>
              <w:instrText xml:space="preserve"> </w:instrText>
            </w:r>
            <w:r>
              <w:rPr>
                <w:rFonts w:ascii="Arial" w:hAnsi="Arial" w:cs="Arial" w:hint="eastAsia"/>
                <w:color w:val="000000" w:themeColor="text1"/>
                <w:sz w:val="20"/>
                <w:szCs w:val="20"/>
              </w:rPr>
              <w:instrText>≥</w:instrText>
            </w:r>
            <w:r>
              <w:rPr>
                <w:rFonts w:ascii="Arial" w:hAnsi="Arial" w:cs="Arial" w:hint="eastAsia"/>
                <w:color w:val="000000" w:themeColor="text1"/>
                <w:sz w:val="20"/>
                <w:szCs w:val="20"/>
              </w:rPr>
              <w:instrText xml:space="preserve"> 3.5) showed a score change equal to or greater than the MIC values.$\\$n$\\$nLIMITATIONS: The consecutive sampling method drawn from a single rehabilitation facility and the intrinsic weakness of the GRC for calculating MIC values were limitations of t</w:instrText>
            </w:r>
            <w:r>
              <w:rPr>
                <w:rFonts w:ascii="Arial" w:hAnsi="Arial" w:cs="Arial"/>
                <w:color w:val="000000" w:themeColor="text1"/>
                <w:sz w:val="20"/>
                <w:szCs w:val="20"/>
              </w:rPr>
              <w:instrText>he study.$\\$n$\\$nCONCLUSIONS: The 2 scales behave similarly, but the Mini-BESTest appears to have a lower ceiling effect, slightly higher reliability levels, and greater accuracy in classifying individual patients who show significant improvement in balance function.","author":[{"dropping-particle":"","family":"Godi","given":"Marco","non-dropping-particle":"","parse-names":false,"suffix":""},{"dropping-particle":"","family":"Franchignoni","given":"Franco","non-dropping-particle":"","parse-names":false,"suffix":""},{"dropping-particle":"","family":"Caligari","given":"Marco","non-dropping-particle":"","parse-names":false,"suffix":""},{"dropping-particle":"","family":"Giordano","given":"Andrea","non-dropping-particle":"","parse-names":false,"suffix":""},{"dropping-particle":"","family":"Turcato","given":"Anna Maria","non-dropping-particle":"","parse-names":false,"suffix":""},{"dropping-particle":"","family":"Nardone","given":"Antonio","non-dropping-particle":"","parse-names":false,"suffix":""}],"container-title":"Physical Therapy","id":"ITEM-1","issue":"2","issued":{"date-parts":[["2012","2","1"]]},"page":"158-167","publisher":"Oxford University Press","title":"Comparison of Reliability, Validity, and Responsiveness of the Mini-BESTest and Berg Balance Scale in Patients With Balance Disorders","type":"article-journal","volume":"93"},"uris":["http://www.mendeley.com/documents/?uuid=18606734-5e3d-49f4-a357-494cc40fd365"]}],"mendeley":{"formattedCitation":"&lt;sup&gt;[56]&lt;/sup&gt;","plainTextFormattedCitation":"[56]","previouslyFormattedCitation":"&lt;sup&gt;[54]&lt;/sup&gt;"},"properties":{"noteIndex":0},"schema":"https://github.com/citation-style-language/schema/raw/master/csl-citation.json"}</w:instrText>
            </w:r>
            <w:r w:rsidRPr="00521F4D">
              <w:rPr>
                <w:rFonts w:ascii="Arial" w:hAnsi="Arial" w:cs="Arial"/>
                <w:color w:val="000000" w:themeColor="text1"/>
                <w:sz w:val="20"/>
                <w:szCs w:val="20"/>
                <w:vertAlign w:val="superscript"/>
              </w:rPr>
              <w:fldChar w:fldCharType="separate"/>
            </w:r>
            <w:r w:rsidRPr="00753276">
              <w:rPr>
                <w:rFonts w:ascii="Arial" w:hAnsi="Arial" w:cs="Arial"/>
                <w:noProof/>
                <w:color w:val="000000" w:themeColor="text1"/>
                <w:sz w:val="20"/>
                <w:szCs w:val="20"/>
                <w:vertAlign w:val="superscript"/>
              </w:rPr>
              <w:t>[56]</w:t>
            </w:r>
            <w:r w:rsidRPr="00521F4D">
              <w:rPr>
                <w:rFonts w:ascii="Arial" w:hAnsi="Arial" w:cs="Arial"/>
                <w:color w:val="000000" w:themeColor="text1"/>
                <w:sz w:val="20"/>
                <w:szCs w:val="20"/>
              </w:rPr>
              <w:fldChar w:fldCharType="end"/>
            </w: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[6 - 21]</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[2 - 20]</w:t>
            </w:r>
          </w:p>
        </w:tc>
        <w:tc>
          <w:tcPr>
            <w:tcW w:w="1521" w:type="pct"/>
            <w:gridSpan w:val="3"/>
            <w:vMerge/>
            <w:tcBorders>
              <w:left w:val="single" w:sz="4" w:space="0" w:color="auto"/>
              <w:bottom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15</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24</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12.5 (6.2)</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24</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14.2 (6.2)</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1.7 (-1.9 to 5.3)</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2.6 (-0.1 to 5.4)</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[1 - 25]</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[4 - 27]</w:t>
            </w:r>
          </w:p>
        </w:tc>
        <w:tc>
          <w:tcPr>
            <w:tcW w:w="762" w:type="pct"/>
            <w:gridSpan w:val="2"/>
            <w:vMerge/>
            <w:tcBorders>
              <w:left w:val="single" w:sz="4" w:space="0" w:color="auto"/>
              <w:bottom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c>
          <w:tcPr>
            <w:tcW w:w="759" w:type="pct"/>
            <w:vMerge/>
            <w:tcBorders>
              <w:left w:val="single" w:sz="4" w:space="0" w:color="auto"/>
              <w:bottom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27</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21</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13.6 (6)</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20</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14.1 (5.7)</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0.5 (-3.2 to 4.2)</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1.2 (-1.2 to 3.6)</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[3 - 27]</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[3 - 22]</w:t>
            </w:r>
          </w:p>
        </w:tc>
        <w:tc>
          <w:tcPr>
            <w:tcW w:w="762" w:type="pct"/>
            <w:gridSpan w:val="2"/>
            <w:vMerge/>
            <w:tcBorders>
              <w:left w:val="single" w:sz="4" w:space="0" w:color="auto"/>
              <w:bottom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759" w:type="pct"/>
            <w:vMerge/>
            <w:tcBorders>
              <w:left w:val="single" w:sz="4" w:space="0" w:color="auto"/>
              <w:bottom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683" w:type="pct"/>
            <w:vMerge/>
            <w:tcBorders>
              <w:left w:val="single" w:sz="4" w:space="0" w:color="auto"/>
              <w:bottom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val="restart"/>
            <w:tcBorders>
              <w:top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bCs/>
                <w:color w:val="000000" w:themeColor="text1"/>
                <w:sz w:val="20"/>
                <w:szCs w:val="20"/>
                <w:vertAlign w:val="superscript"/>
                <w:lang w:eastAsia="en-GB"/>
              </w:rPr>
            </w:pPr>
            <w:r w:rsidRPr="00521F4D">
              <w:rPr>
                <w:rFonts w:ascii="Arial" w:eastAsia="Times New Roman" w:hAnsi="Arial" w:cs="Arial"/>
                <w:b/>
                <w:bCs/>
                <w:color w:val="000000" w:themeColor="text1"/>
                <w:sz w:val="20"/>
                <w:szCs w:val="20"/>
                <w:lang w:eastAsia="en-GB"/>
              </w:rPr>
              <w:t xml:space="preserve">Forward </w:t>
            </w:r>
            <w:proofErr w:type="spellStart"/>
            <w:r w:rsidRPr="00521F4D">
              <w:rPr>
                <w:rFonts w:ascii="Arial" w:eastAsia="Times New Roman" w:hAnsi="Arial" w:cs="Arial"/>
                <w:b/>
                <w:bCs/>
                <w:color w:val="000000" w:themeColor="text1"/>
                <w:sz w:val="20"/>
                <w:szCs w:val="20"/>
                <w:lang w:eastAsia="en-GB"/>
              </w:rPr>
              <w:t>FRT</w:t>
            </w:r>
            <w:r w:rsidRPr="00521F4D">
              <w:rPr>
                <w:rFonts w:ascii="Arial" w:eastAsia="Times New Roman" w:hAnsi="Arial" w:cs="Arial"/>
                <w:b/>
                <w:bCs/>
                <w:color w:val="000000" w:themeColor="text1"/>
                <w:sz w:val="20"/>
                <w:szCs w:val="20"/>
                <w:vertAlign w:val="superscript"/>
                <w:lang w:eastAsia="en-GB"/>
              </w:rPr>
              <w:t>b</w:t>
            </w:r>
            <w:proofErr w:type="spellEnd"/>
          </w:p>
          <w:p w:rsidR="0003139D" w:rsidRPr="00521F4D" w:rsidRDefault="0003139D" w:rsidP="00604C0D">
            <w:pPr>
              <w:spacing w:after="0" w:line="240" w:lineRule="auto"/>
              <w:rPr>
                <w:rFonts w:ascii="Arial" w:hAnsi="Arial"/>
                <w:b/>
                <w:color w:val="000000" w:themeColor="text1"/>
                <w:sz w:val="20"/>
              </w:rPr>
            </w:pPr>
            <w:r w:rsidRPr="00521F4D">
              <w:rPr>
                <w:rFonts w:ascii="Arial" w:eastAsia="Times New Roman" w:hAnsi="Arial" w:cs="Arial"/>
                <w:b/>
                <w:bCs/>
                <w:color w:val="000000" w:themeColor="text1"/>
                <w:sz w:val="20"/>
                <w:szCs w:val="20"/>
                <w:lang w:eastAsia="en-GB"/>
              </w:rPr>
              <w:t>(cm)</w:t>
            </w: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r w:rsidRPr="00521F4D">
              <w:rPr>
                <w:rFonts w:ascii="Arial" w:eastAsia="Times New Roman" w:hAnsi="Arial" w:cs="Arial"/>
                <w:b/>
                <w:color w:val="000000" w:themeColor="text1"/>
                <w:sz w:val="20"/>
                <w:szCs w:val="20"/>
                <w:lang w:eastAsia="en-GB"/>
              </w:rPr>
              <w:t>Baseline</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26</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16.6 (6.4)</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30</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18.1 (7.9)</w:t>
            </w:r>
          </w:p>
        </w:tc>
        <w:tc>
          <w:tcPr>
            <w:tcW w:w="1521" w:type="pct"/>
            <w:gridSpan w:val="3"/>
            <w:vMerge w:val="restart"/>
            <w:tcBorders>
              <w:top w:val="single" w:sz="4" w:space="0" w:color="auto"/>
              <w:left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683"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6.35-6.79 (vestibular disorders)</w:t>
            </w:r>
            <w:r w:rsidRPr="00521F4D">
              <w:rPr>
                <w:rFonts w:ascii="Arial" w:hAnsi="Arial" w:cs="Arial"/>
                <w:color w:val="000000" w:themeColor="text1"/>
                <w:sz w:val="20"/>
                <w:szCs w:val="20"/>
              </w:rPr>
              <w:fldChar w:fldCharType="begin" w:fldLock="1"/>
            </w:r>
            <w:r>
              <w:rPr>
                <w:rFonts w:ascii="Arial" w:hAnsi="Arial" w:cs="Arial"/>
                <w:color w:val="000000" w:themeColor="text1"/>
                <w:sz w:val="20"/>
                <w:szCs w:val="20"/>
              </w:rPr>
              <w:instrText>ADDIN CSL_CITATION {"citationItems":[{"id":"ITEM-1","itemData":{"ISSN":"0957-4271","PMID":"9004971","abstract":"The purpose of this study was to compare functional reach distance and right single leg stance time in patients who had peripheral vestibular disease. Twenty-eight patients (15 female, 13 male) between the ages of 35 and 84 were asked to perform 3 trials each of functional reach (FR) and right single leg stance (SLS). SLS times were measured by a Kistler static force platform on line with a Caspar personal computer. FR distance was measured by using a free-standing 147-cm rule. In addition, each subject filled out the Dizziness Handicap Inventory (DHI). Trials were randomized to prevent fatigue or practice effects. A Pearson product-moment correlation was performed between FR and SLS (r = 0.59, P = 0.001). Post hoc analyses of the first, the best, and the average scores highlighted the importance of using means for comparison in a population as variable as the vestibularly impaired. Post hoc analyses showed no correlation between the DHI score and either functional reach distance or single leg stance time. However, when the subjects were divided into groups based on DHI score (group 1 with DHI &lt; or = 49/100, group 2 with DHI &gt; or = 50/100) and a pooled two-sample t-test was performed, a significant difference (P = 0.05) was found in functional reach distance; the subjects who reported less perception of handicap reached farther than those who reported more perception of handicap. No difference was found between the two DHI groups in single leg stance time. Post hoc correlations of functional reach and single leg stance time. Post hoc correlations of functional reach and single leg stance within the two DHI groups showed a higher correlation in group 1 (DHI &lt; or = 49/100), with r equals 0.65 (P &lt; or = 0.01), than in group 2 (DHI &gt; or = 50/100), with r equals 0.38 (P = 0.20). The study found a highly significant, moderate correlation between functional reach distance and single leg stance times in patients with peripheral vestibular disease. These results support the use of FR as an additional assessment tool with patients who have peripheral vestibular disease.","author":[{"dropping-particle":"","family":"Mann","given":"G C","non-dropping-particle":"","parse-names":false,"suffix":""},{"dropping-particle":"","family":"Whitney","given":"S L","non-dropping-particle":"","parse-names":false,"suffix":""},{"dropping-particle":"","family":"Redfern","given":"M S","non-dropping-particle":"","parse-names":false,"suffix":""},{"dropping-particle":"","family":"Borello-France","given":"D F","non-dropping-particle":"","parse-names":false,"suffix":""},{"dropping-particle":"","family":"Furman","given":"J M","non-dropping-particle":"","parse-names":false,"suffix":""}],"container-title":"Journal of vestibular research : equilibrium &amp; orientation","id":"ITEM-1","issue":"5","issued":{"date-parts":[["0"]]},"page":"343-53","title":"Functional reach and single leg stance in patients with peripheral vestibular disorders.","type":"article-journal","volume":"6"},"uris":["http://www.mendeley.com/documents/?uuid=013fe688-01c8-307c-bfc7-62c338bd9548"]}],"mendeley":{"formattedCitation":"&lt;sup&gt;[65]&lt;/sup&gt;","plainTextFormattedCitation":"[65]","previouslyFormattedCitation":"&lt;sup&gt;[55]&lt;/sup&gt;"},"properties":{"noteIndex":0},"schema":"https://github.com/citation-style-language/schema/raw/master/csl-citation.json"}</w:instrText>
            </w:r>
            <w:r w:rsidRPr="00521F4D">
              <w:rPr>
                <w:rFonts w:ascii="Arial" w:hAnsi="Arial" w:cs="Arial"/>
                <w:color w:val="000000" w:themeColor="text1"/>
                <w:sz w:val="20"/>
                <w:szCs w:val="20"/>
                <w:vertAlign w:val="superscript"/>
              </w:rPr>
              <w:fldChar w:fldCharType="separate"/>
            </w:r>
            <w:r w:rsidRPr="00753276">
              <w:rPr>
                <w:rFonts w:ascii="Arial" w:hAnsi="Arial" w:cs="Arial"/>
                <w:noProof/>
                <w:color w:val="000000" w:themeColor="text1"/>
                <w:sz w:val="20"/>
                <w:szCs w:val="20"/>
                <w:vertAlign w:val="superscript"/>
              </w:rPr>
              <w:t>[65]</w:t>
            </w:r>
            <w:r w:rsidRPr="00521F4D">
              <w:rPr>
                <w:rFonts w:ascii="Arial" w:hAnsi="Arial" w:cs="Arial"/>
                <w:color w:val="000000" w:themeColor="text1"/>
                <w:sz w:val="20"/>
                <w:szCs w:val="20"/>
              </w:rPr>
              <w:fldChar w:fldCharType="end"/>
            </w: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[1 - 28.7]</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[0 - 32.3]</w:t>
            </w:r>
          </w:p>
        </w:tc>
        <w:tc>
          <w:tcPr>
            <w:tcW w:w="1521" w:type="pct"/>
            <w:gridSpan w:val="3"/>
            <w:vMerge/>
            <w:tcBorders>
              <w:left w:val="single" w:sz="4" w:space="0" w:color="auto"/>
              <w:bottom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15</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24</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16.1 (6.4)</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24</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20.8 (7.6)</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4.7 (0.6 to 8.8)</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2.7 (-0.3 to 5.7)</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[0 - 29.3]</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[7.7 - 38.7]</w:t>
            </w:r>
          </w:p>
        </w:tc>
        <w:tc>
          <w:tcPr>
            <w:tcW w:w="762" w:type="pct"/>
            <w:gridSpan w:val="2"/>
            <w:vMerge/>
            <w:tcBorders>
              <w:left w:val="single" w:sz="4" w:space="0" w:color="auto"/>
              <w:bottom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759" w:type="pct"/>
            <w:vMerge/>
            <w:tcBorders>
              <w:left w:val="single" w:sz="4" w:space="0" w:color="auto"/>
              <w:bottom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27</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21</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17 (7.8)</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20</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19.5 (5.9)</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2.5 (-1.9 to 6.9)</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1 (-2.7 to 4.6)</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[0 - 32]</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[6.3 - 33.7]</w:t>
            </w:r>
          </w:p>
        </w:tc>
        <w:tc>
          <w:tcPr>
            <w:tcW w:w="762" w:type="pct"/>
            <w:gridSpan w:val="2"/>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759" w:type="pct"/>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bottom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val="restart"/>
            <w:tcBorders>
              <w:top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bCs/>
                <w:color w:val="000000" w:themeColor="text1"/>
                <w:sz w:val="20"/>
                <w:szCs w:val="20"/>
                <w:vertAlign w:val="superscript"/>
                <w:lang w:eastAsia="en-GB"/>
              </w:rPr>
            </w:pPr>
            <w:r w:rsidRPr="00521F4D">
              <w:rPr>
                <w:rFonts w:ascii="Arial" w:eastAsia="Times New Roman" w:hAnsi="Arial" w:cs="Arial"/>
                <w:b/>
                <w:bCs/>
                <w:color w:val="000000" w:themeColor="text1"/>
                <w:sz w:val="20"/>
                <w:szCs w:val="20"/>
                <w:lang w:eastAsia="en-GB"/>
              </w:rPr>
              <w:t xml:space="preserve">Lateral </w:t>
            </w:r>
            <w:proofErr w:type="spellStart"/>
            <w:r w:rsidRPr="00521F4D">
              <w:rPr>
                <w:rFonts w:ascii="Arial" w:eastAsia="Times New Roman" w:hAnsi="Arial" w:cs="Arial"/>
                <w:b/>
                <w:bCs/>
                <w:color w:val="000000" w:themeColor="text1"/>
                <w:sz w:val="20"/>
                <w:szCs w:val="20"/>
                <w:lang w:eastAsia="en-GB"/>
              </w:rPr>
              <w:t>FRT</w:t>
            </w:r>
            <w:r w:rsidRPr="00521F4D">
              <w:rPr>
                <w:rFonts w:ascii="Arial" w:eastAsia="Times New Roman" w:hAnsi="Arial" w:cs="Arial"/>
                <w:b/>
                <w:bCs/>
                <w:color w:val="000000" w:themeColor="text1"/>
                <w:sz w:val="20"/>
                <w:szCs w:val="20"/>
                <w:vertAlign w:val="superscript"/>
                <w:lang w:eastAsia="en-GB"/>
              </w:rPr>
              <w:t>b</w:t>
            </w:r>
            <w:proofErr w:type="spellEnd"/>
          </w:p>
          <w:p w:rsidR="0003139D" w:rsidRPr="00521F4D" w:rsidRDefault="0003139D" w:rsidP="00604C0D">
            <w:pPr>
              <w:spacing w:after="0" w:line="240" w:lineRule="auto"/>
              <w:rPr>
                <w:rFonts w:ascii="Arial" w:hAnsi="Arial"/>
                <w:b/>
                <w:color w:val="000000" w:themeColor="text1"/>
                <w:sz w:val="20"/>
              </w:rPr>
            </w:pPr>
            <w:r w:rsidRPr="00521F4D">
              <w:rPr>
                <w:rFonts w:ascii="Arial" w:eastAsia="Times New Roman" w:hAnsi="Arial" w:cs="Arial"/>
                <w:b/>
                <w:bCs/>
                <w:color w:val="000000" w:themeColor="text1"/>
                <w:sz w:val="20"/>
                <w:szCs w:val="20"/>
                <w:lang w:eastAsia="en-GB"/>
              </w:rPr>
              <w:t>(cm)</w:t>
            </w: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r w:rsidRPr="00521F4D">
              <w:rPr>
                <w:rFonts w:ascii="Arial" w:eastAsia="Times New Roman" w:hAnsi="Arial" w:cs="Arial"/>
                <w:b/>
                <w:color w:val="000000" w:themeColor="text1"/>
                <w:sz w:val="20"/>
                <w:szCs w:val="20"/>
                <w:lang w:eastAsia="en-GB"/>
              </w:rPr>
              <w:t>Baseline</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26</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13.3 (6.2)</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30</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13.4 (6.9)</w:t>
            </w:r>
          </w:p>
        </w:tc>
        <w:tc>
          <w:tcPr>
            <w:tcW w:w="1521" w:type="pct"/>
            <w:gridSpan w:val="3"/>
            <w:tcBorders>
              <w:top w:val="single" w:sz="4" w:space="0" w:color="auto"/>
              <w:left w:val="single" w:sz="4" w:space="0" w:color="auto"/>
              <w:bottom w:val="nil"/>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N/A</w:t>
            </w: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[0 - 30]</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[0 - 27.3]</w:t>
            </w:r>
          </w:p>
        </w:tc>
        <w:tc>
          <w:tcPr>
            <w:tcW w:w="762" w:type="pct"/>
            <w:gridSpan w:val="2"/>
            <w:tcBorders>
              <w:top w:val="nil"/>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759" w:type="pct"/>
            <w:tcBorders>
              <w:top w:val="nil"/>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15</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24</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12.3 (5.2)</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24</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16.7 (7.6)</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4.4 (0.6 to 8.2)</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4.2 (0.9 to 7.5)</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[0 - 20.7]</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[5 - 33.3]</w:t>
            </w:r>
          </w:p>
        </w:tc>
        <w:tc>
          <w:tcPr>
            <w:tcW w:w="762" w:type="pct"/>
            <w:gridSpan w:val="2"/>
            <w:vMerge/>
            <w:tcBorders>
              <w:left w:val="single" w:sz="4" w:space="0" w:color="auto"/>
              <w:bottom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759" w:type="pct"/>
            <w:vMerge/>
            <w:tcBorders>
              <w:left w:val="single" w:sz="4" w:space="0" w:color="auto"/>
              <w:bottom w:val="single" w:sz="4" w:space="0" w:color="auto"/>
            </w:tcBorders>
          </w:tcPr>
          <w:p w:rsidR="0003139D" w:rsidRPr="00521F4D" w:rsidRDefault="0003139D" w:rsidP="00604C0D">
            <w:pPr>
              <w:spacing w:after="0" w:line="240" w:lineRule="auto"/>
              <w:jc w:val="center"/>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27</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21</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11.9 (5.4)</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20</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16.1 (4.9)</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4.2 (0.9 to 7.5)</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4 (1.1 to 6.9)</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[0 - 21.3]</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[6 - 24.3]</w:t>
            </w:r>
          </w:p>
        </w:tc>
        <w:tc>
          <w:tcPr>
            <w:tcW w:w="762" w:type="pct"/>
            <w:gridSpan w:val="2"/>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759" w:type="pct"/>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bottom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514"/>
          <w:tblHeader/>
        </w:trPr>
        <w:tc>
          <w:tcPr>
            <w:tcW w:w="4317" w:type="pct"/>
            <w:gridSpan w:val="13"/>
            <w:tcBorders>
              <w:top w:val="single" w:sz="4" w:space="0" w:color="auto"/>
            </w:tcBorders>
            <w:shd w:val="clear" w:color="auto" w:fill="auto"/>
            <w:noWrap/>
            <w:vAlign w:val="center"/>
          </w:tcPr>
          <w:p w:rsidR="0003139D" w:rsidRPr="00521F4D" w:rsidRDefault="0003139D" w:rsidP="00604C0D">
            <w:pPr>
              <w:spacing w:after="0" w:line="240" w:lineRule="auto"/>
              <w:rPr>
                <w:rFonts w:ascii="Arial" w:eastAsia="Times New Roman" w:hAnsi="Arial" w:cs="Arial"/>
                <w:b/>
                <w:bCs/>
                <w:color w:val="000000" w:themeColor="text1"/>
                <w:sz w:val="20"/>
                <w:szCs w:val="20"/>
                <w:lang w:eastAsia="en-GB"/>
              </w:rPr>
            </w:pPr>
            <w:r w:rsidRPr="00521F4D">
              <w:rPr>
                <w:rFonts w:ascii="Arial" w:eastAsia="Times New Roman" w:hAnsi="Arial" w:cs="Arial"/>
                <w:b/>
                <w:bCs/>
                <w:color w:val="000000" w:themeColor="text1"/>
                <w:sz w:val="20"/>
                <w:szCs w:val="20"/>
                <w:lang w:eastAsia="en-GB"/>
              </w:rPr>
              <w:lastRenderedPageBreak/>
              <w:t>Self-reported outcomes</w:t>
            </w:r>
          </w:p>
        </w:tc>
        <w:tc>
          <w:tcPr>
            <w:tcW w:w="683" w:type="pct"/>
            <w:tcBorders>
              <w:top w:val="single" w:sz="4" w:space="0" w:color="auto"/>
            </w:tcBorders>
            <w:vAlign w:val="center"/>
          </w:tcPr>
          <w:p w:rsidR="0003139D" w:rsidRPr="00521F4D" w:rsidRDefault="0003139D" w:rsidP="00604C0D">
            <w:pPr>
              <w:spacing w:after="0" w:line="240" w:lineRule="auto"/>
              <w:jc w:val="center"/>
              <w:rPr>
                <w:rFonts w:ascii="Arial" w:eastAsia="Times New Roman" w:hAnsi="Arial" w:cs="Arial"/>
                <w:b/>
                <w:color w:val="000000" w:themeColor="text1"/>
                <w:sz w:val="20"/>
                <w:szCs w:val="20"/>
                <w:lang w:eastAsia="en-GB"/>
              </w:rPr>
            </w:pPr>
          </w:p>
        </w:tc>
      </w:tr>
      <w:tr w:rsidR="0003139D" w:rsidRPr="00521F4D" w:rsidTr="00604C0D">
        <w:trPr>
          <w:trHeight w:val="139"/>
        </w:trPr>
        <w:tc>
          <w:tcPr>
            <w:tcW w:w="710" w:type="pct"/>
            <w:vMerge w:val="restart"/>
            <w:tcBorders>
              <w:top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bCs/>
                <w:color w:val="000000" w:themeColor="text1"/>
                <w:sz w:val="20"/>
                <w:szCs w:val="20"/>
                <w:vertAlign w:val="superscript"/>
                <w:lang w:eastAsia="en-GB"/>
              </w:rPr>
            </w:pPr>
            <w:proofErr w:type="spellStart"/>
            <w:r w:rsidRPr="00521F4D">
              <w:rPr>
                <w:rFonts w:ascii="Arial" w:eastAsia="Times New Roman" w:hAnsi="Arial" w:cs="Arial"/>
                <w:b/>
                <w:bCs/>
                <w:color w:val="000000" w:themeColor="text1"/>
                <w:sz w:val="20"/>
                <w:szCs w:val="20"/>
                <w:lang w:eastAsia="en-GB"/>
              </w:rPr>
              <w:t>FESi</w:t>
            </w:r>
            <w:r w:rsidRPr="00521F4D">
              <w:rPr>
                <w:rFonts w:ascii="Arial" w:eastAsia="Times New Roman" w:hAnsi="Arial" w:cs="Arial"/>
                <w:b/>
                <w:bCs/>
                <w:color w:val="000000" w:themeColor="text1"/>
                <w:sz w:val="20"/>
                <w:szCs w:val="20"/>
                <w:vertAlign w:val="superscript"/>
                <w:lang w:eastAsia="en-GB"/>
              </w:rPr>
              <w:t>a</w:t>
            </w:r>
            <w:proofErr w:type="spellEnd"/>
          </w:p>
          <w:p w:rsidR="0003139D" w:rsidRPr="00521F4D" w:rsidRDefault="0003139D" w:rsidP="00604C0D">
            <w:pPr>
              <w:spacing w:after="0" w:line="240" w:lineRule="auto"/>
              <w:rPr>
                <w:rFonts w:ascii="Arial" w:hAnsi="Arial"/>
                <w:b/>
                <w:color w:val="000000" w:themeColor="text1"/>
                <w:sz w:val="20"/>
              </w:rPr>
            </w:pPr>
            <w:r w:rsidRPr="00521F4D">
              <w:rPr>
                <w:rFonts w:ascii="Arial" w:eastAsia="Times New Roman" w:hAnsi="Arial" w:cs="Arial"/>
                <w:b/>
                <w:bCs/>
                <w:color w:val="000000" w:themeColor="text1"/>
                <w:sz w:val="20"/>
                <w:szCs w:val="20"/>
                <w:lang w:eastAsia="en-GB"/>
              </w:rPr>
              <w:t>(Scale range 16-64)</w:t>
            </w: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r w:rsidRPr="00521F4D">
              <w:rPr>
                <w:rFonts w:ascii="Arial" w:eastAsia="Times New Roman" w:hAnsi="Arial" w:cs="Arial"/>
                <w:b/>
                <w:color w:val="000000" w:themeColor="text1"/>
                <w:sz w:val="20"/>
                <w:szCs w:val="20"/>
                <w:lang w:eastAsia="en-GB"/>
              </w:rPr>
              <w:t>Baseline</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26</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43.7 (9.8)</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30</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44.1 (9)</w:t>
            </w:r>
          </w:p>
        </w:tc>
        <w:tc>
          <w:tcPr>
            <w:tcW w:w="1521" w:type="pct"/>
            <w:gridSpan w:val="3"/>
            <w:vMerge w:val="restart"/>
            <w:tcBorders>
              <w:top w:val="single" w:sz="4" w:space="0" w:color="auto"/>
              <w:left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8.2 (vestibular disorders)</w:t>
            </w:r>
            <w:r w:rsidRPr="00521F4D">
              <w:rPr>
                <w:rFonts w:ascii="Arial" w:hAnsi="Arial" w:cs="Arial"/>
                <w:color w:val="000000" w:themeColor="text1"/>
                <w:sz w:val="20"/>
                <w:szCs w:val="20"/>
              </w:rPr>
              <w:fldChar w:fldCharType="begin" w:fldLock="1"/>
            </w:r>
            <w:r>
              <w:rPr>
                <w:rFonts w:ascii="Arial" w:hAnsi="Arial" w:cs="Arial"/>
                <w:color w:val="000000" w:themeColor="text1"/>
                <w:sz w:val="20"/>
                <w:szCs w:val="20"/>
              </w:rPr>
              <w:instrText>ADDIN CSL_CITATION {"citationItems":[{"id":"ITEM-1","itemData":{"DOI":"10.1097/MAO.0b013e318281df5d","ISSN":"1537-4505","PMID":"23542134","abstract":"HYPOTHESIS The purpose of this research is to establish the test-retest reliability and convergent validity of the Falls Efficacy Scale-International (FES-I) in people with vestibular disorders. BACKGROUND Individuals with vestibular dysfunction have an increased risk of falling. The FES-I is a measure used to quantify an individual's concern of falling during different tasks. METHODS A cross-sectional descriptive study was used to determine the test-retest reliability and convergent validity of the FES-I. Fifty-three individuals with vestibular or balance dysfunction completed the FES-I twice during an initial evaluation by a neurotologist. Test-retest reliability was assessed using the intraclass correlation coefficient. The convergent validity was measured by correlating the FES-I with the Activities-Specific Balance Confidence (ABC) scale, Dizziness Handicap Inventory (DHI), Vestibular Activities and Participation (VAP) scale, 4-item Dynamic Gait Index (DGI-4), and measuring gait speed. RESULTS The FES-I demonstrated high test-retest reliability (intraclass correlation coefficient, model 3,1: 0.94; 95% confidence interval, 0.90-0.97) and had concurrent validity with other self-report and physical performance measures (correlation coefficients for the ABC, -0.84; DHI, 0.75; VAP, 0.78; gait speed, -0.55; and DGI-4, -0.55). CONCLUSION The FES-I is a reliable and valid tool for measuring an individual's concern of falling in a sample of people with vestibular disorders.","author":[{"dropping-particle":"","family":"Morgan","given":"Michael T","non-dropping-particle":"","parse-names":false,"suffix":""},{"dropping-particle":"","family":"Friscia","given":"Lauren A","non-dropping-particle":"","parse-names":false,"suffix":""},{"dropping-particle":"","family":"Whitney","given":"Susan L","non-dropping-particle":"","parse-names":false,"suffix":""},{"dropping-particle":"","family":"Furman","given":"Joseph M","non-dropping-particle":"","parse-names":false,"suffix":""},{"dropping-particle":"","family":"Sparto","given":"Patrick J","non-dropping-particle":"","parse-names":false,"suffix":""}],"container-title":"Otology &amp; neurotology : official publication of the American Otological Society, American Neurotology Society [and] European Academy of Otology and Neurotology","id":"ITEM-1","issue":"6","issued":{"date-parts":[["2013","8"]]},"page":"1104-1108","publisher":"NIH Public Access","title":"Reliability and validity of the Falls Efficacy Scale-International (FES-I) in individuals with dizziness and imbalance.","type":"article-journal","volume":"34"},"uris":["http://www.mendeley.com/documents/?uuid=a7573048-1f4f-46b2-a7fc-ed04a26d0438"]}],"mendeley":{"formattedCitation":"&lt;sup&gt;[66]&lt;/sup&gt;","plainTextFormattedCitation":"[66]","previouslyFormattedCitation":"&lt;sup&gt;[56]&lt;/sup&gt;"},"properties":{"noteIndex":0},"schema":"https://github.com/citation-style-language/schema/raw/master/csl-citation.json"}</w:instrText>
            </w:r>
            <w:r w:rsidRPr="00521F4D">
              <w:rPr>
                <w:rFonts w:ascii="Arial" w:hAnsi="Arial" w:cs="Arial"/>
                <w:color w:val="000000" w:themeColor="text1"/>
                <w:sz w:val="20"/>
                <w:szCs w:val="20"/>
                <w:vertAlign w:val="superscript"/>
              </w:rPr>
              <w:fldChar w:fldCharType="separate"/>
            </w:r>
            <w:r w:rsidRPr="00753276">
              <w:rPr>
                <w:rFonts w:ascii="Arial" w:hAnsi="Arial" w:cs="Arial"/>
                <w:noProof/>
                <w:color w:val="000000" w:themeColor="text1"/>
                <w:sz w:val="20"/>
                <w:szCs w:val="20"/>
                <w:vertAlign w:val="superscript"/>
              </w:rPr>
              <w:t>[66]</w:t>
            </w:r>
            <w:r w:rsidRPr="00521F4D">
              <w:rPr>
                <w:rFonts w:ascii="Arial" w:hAnsi="Arial" w:cs="Arial"/>
                <w:color w:val="000000" w:themeColor="text1"/>
                <w:sz w:val="20"/>
                <w:szCs w:val="20"/>
              </w:rPr>
              <w:fldChar w:fldCharType="end"/>
            </w: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[24.0 – 61.0]</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[27.0 – 60.0]</w:t>
            </w:r>
          </w:p>
        </w:tc>
        <w:tc>
          <w:tcPr>
            <w:tcW w:w="1521" w:type="pct"/>
            <w:gridSpan w:val="3"/>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15</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24</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44.3 (10)</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25</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40.1 (8.1)</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r w:rsidRPr="00521F4D">
              <w:rPr>
                <w:rFonts w:ascii="Arial" w:hAnsi="Arial" w:cs="Arial"/>
                <w:color w:val="000000" w:themeColor="text1"/>
                <w:sz w:val="20"/>
                <w:szCs w:val="20"/>
              </w:rPr>
              <w:t>-4.2 (-9.4 to 1)</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r w:rsidRPr="00521F4D">
              <w:rPr>
                <w:rFonts w:ascii="Arial" w:hAnsi="Arial" w:cs="Arial"/>
                <w:color w:val="000000" w:themeColor="text1"/>
                <w:sz w:val="20"/>
                <w:szCs w:val="20"/>
              </w:rPr>
              <w:t>-5.1 (-9.8 to -0.4)</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[27.0 – 58.0]</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[28.0 – 55.0]</w:t>
            </w:r>
          </w:p>
        </w:tc>
        <w:tc>
          <w:tcPr>
            <w:tcW w:w="762" w:type="pct"/>
            <w:gridSpan w:val="2"/>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759" w:type="pct"/>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27</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22</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44.5 (12)</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22</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41.6 (8.4)</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r w:rsidRPr="00521F4D">
              <w:rPr>
                <w:rFonts w:ascii="Arial" w:hAnsi="Arial" w:cs="Arial"/>
                <w:color w:val="000000" w:themeColor="text1"/>
                <w:sz w:val="20"/>
                <w:szCs w:val="20"/>
              </w:rPr>
              <w:t>-2.9 (-9.2 to 3.4)</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r w:rsidRPr="00521F4D">
              <w:rPr>
                <w:rFonts w:ascii="Arial" w:hAnsi="Arial" w:cs="Arial"/>
                <w:color w:val="000000" w:themeColor="text1"/>
                <w:sz w:val="20"/>
                <w:szCs w:val="20"/>
              </w:rPr>
              <w:t>-3.7 (-8.8 to 1.4)</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[22.0 – 62.0]</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[24.0 – 55.0]</w:t>
            </w:r>
          </w:p>
        </w:tc>
        <w:tc>
          <w:tcPr>
            <w:tcW w:w="762" w:type="pct"/>
            <w:gridSpan w:val="2"/>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759" w:type="pct"/>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bottom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val="restart"/>
            <w:tcBorders>
              <w:top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bCs/>
                <w:color w:val="000000" w:themeColor="text1"/>
                <w:sz w:val="20"/>
                <w:szCs w:val="20"/>
                <w:lang w:eastAsia="en-GB"/>
              </w:rPr>
            </w:pPr>
            <w:r w:rsidRPr="00521F4D">
              <w:rPr>
                <w:rFonts w:ascii="Arial" w:eastAsia="Times New Roman" w:hAnsi="Arial" w:cs="Arial"/>
                <w:b/>
                <w:bCs/>
                <w:color w:val="000000" w:themeColor="text1"/>
                <w:sz w:val="20"/>
                <w:szCs w:val="20"/>
                <w:lang w:eastAsia="en-GB"/>
              </w:rPr>
              <w:t>CPI 1</w:t>
            </w:r>
          </w:p>
          <w:p w:rsidR="0003139D" w:rsidRPr="00521F4D" w:rsidRDefault="0003139D" w:rsidP="00604C0D">
            <w:pPr>
              <w:spacing w:after="0" w:line="240" w:lineRule="auto"/>
              <w:rPr>
                <w:rFonts w:ascii="Arial" w:hAnsi="Arial"/>
                <w:b/>
                <w:color w:val="000000" w:themeColor="text1"/>
                <w:sz w:val="20"/>
              </w:rPr>
            </w:pPr>
            <w:r w:rsidRPr="00521F4D">
              <w:rPr>
                <w:rFonts w:ascii="Arial" w:eastAsia="Times New Roman" w:hAnsi="Arial" w:cs="Arial"/>
                <w:b/>
                <w:bCs/>
                <w:color w:val="000000" w:themeColor="text1"/>
                <w:sz w:val="20"/>
                <w:szCs w:val="20"/>
                <w:lang w:eastAsia="en-GB"/>
              </w:rPr>
              <w:t>(%)</w:t>
            </w: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r w:rsidRPr="00521F4D">
              <w:rPr>
                <w:rFonts w:ascii="Arial" w:eastAsia="Times New Roman" w:hAnsi="Arial" w:cs="Arial"/>
                <w:b/>
                <w:color w:val="000000" w:themeColor="text1"/>
                <w:sz w:val="20"/>
                <w:szCs w:val="20"/>
                <w:lang w:eastAsia="en-GB"/>
              </w:rPr>
              <w:t>Baseline</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25</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97.4 (39.2)</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27</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101 (55.5)</w:t>
            </w:r>
          </w:p>
        </w:tc>
        <w:tc>
          <w:tcPr>
            <w:tcW w:w="1521" w:type="pct"/>
            <w:gridSpan w:val="3"/>
            <w:vMerge w:val="restart"/>
            <w:tcBorders>
              <w:top w:val="single" w:sz="4" w:space="0" w:color="auto"/>
              <w:left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N/A</w:t>
            </w: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[11.1 - 212.5]</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[38.9 - 266.7]</w:t>
            </w:r>
          </w:p>
        </w:tc>
        <w:tc>
          <w:tcPr>
            <w:tcW w:w="1521" w:type="pct"/>
            <w:gridSpan w:val="3"/>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15</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24</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107.5 (59.1)</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24</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100.2 (38.7)</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r w:rsidRPr="00521F4D">
              <w:rPr>
                <w:rFonts w:ascii="Arial" w:hAnsi="Arial" w:cs="Arial"/>
                <w:color w:val="000000" w:themeColor="text1"/>
                <w:sz w:val="20"/>
                <w:szCs w:val="20"/>
              </w:rPr>
              <w:t>-7.3 (-36.3 to 21.7)</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r w:rsidRPr="00521F4D">
              <w:rPr>
                <w:rFonts w:ascii="Arial" w:hAnsi="Arial" w:cs="Arial"/>
                <w:color w:val="000000" w:themeColor="text1"/>
                <w:sz w:val="20"/>
                <w:szCs w:val="20"/>
              </w:rPr>
              <w:t>0.3 (-29.3 to 29.8)</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[33.3 - 271.4]</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[38.9 - 187.5]</w:t>
            </w:r>
          </w:p>
        </w:tc>
        <w:tc>
          <w:tcPr>
            <w:tcW w:w="762" w:type="pct"/>
            <w:gridSpan w:val="2"/>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759" w:type="pct"/>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27</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22</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108.3 (47.6)</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22</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92.6 (34.6)</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r w:rsidRPr="00521F4D">
              <w:rPr>
                <w:rFonts w:ascii="Arial" w:hAnsi="Arial" w:cs="Arial"/>
                <w:color w:val="000000" w:themeColor="text1"/>
                <w:sz w:val="20"/>
                <w:szCs w:val="20"/>
              </w:rPr>
              <w:t>-15.8 (-41.1 to 9.5)</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r w:rsidRPr="00521F4D">
              <w:rPr>
                <w:rFonts w:ascii="Arial" w:hAnsi="Arial" w:cs="Arial"/>
                <w:color w:val="000000" w:themeColor="text1"/>
                <w:sz w:val="20"/>
                <w:szCs w:val="20"/>
              </w:rPr>
              <w:t>-12.2 (-39 to 14.6)</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[17.6 - 200]</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[41.2 - 146.2]</w:t>
            </w:r>
          </w:p>
        </w:tc>
        <w:tc>
          <w:tcPr>
            <w:tcW w:w="762" w:type="pct"/>
            <w:gridSpan w:val="2"/>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759" w:type="pct"/>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bottom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val="restart"/>
            <w:tcBorders>
              <w:top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bCs/>
                <w:color w:val="000000" w:themeColor="text1"/>
                <w:sz w:val="20"/>
                <w:szCs w:val="20"/>
                <w:vertAlign w:val="superscript"/>
                <w:lang w:eastAsia="en-GB"/>
              </w:rPr>
            </w:pPr>
            <w:r w:rsidRPr="00521F4D">
              <w:rPr>
                <w:rFonts w:ascii="Arial" w:eastAsia="Times New Roman" w:hAnsi="Arial" w:cs="Arial"/>
                <w:b/>
                <w:bCs/>
                <w:color w:val="000000" w:themeColor="text1"/>
                <w:sz w:val="20"/>
                <w:szCs w:val="20"/>
                <w:lang w:eastAsia="en-GB"/>
              </w:rPr>
              <w:t>CPI 2</w:t>
            </w:r>
            <w:r w:rsidRPr="00521F4D">
              <w:rPr>
                <w:rFonts w:ascii="Arial" w:eastAsia="Times New Roman" w:hAnsi="Arial" w:cs="Arial"/>
                <w:b/>
                <w:bCs/>
                <w:color w:val="000000" w:themeColor="text1"/>
                <w:sz w:val="20"/>
                <w:szCs w:val="20"/>
                <w:vertAlign w:val="superscript"/>
                <w:lang w:eastAsia="en-GB"/>
              </w:rPr>
              <w:t>b</w:t>
            </w:r>
          </w:p>
          <w:p w:rsidR="0003139D" w:rsidRPr="00521F4D" w:rsidRDefault="0003139D" w:rsidP="00604C0D">
            <w:pPr>
              <w:spacing w:after="0" w:line="240" w:lineRule="auto"/>
              <w:rPr>
                <w:rFonts w:ascii="Arial" w:hAnsi="Arial"/>
                <w:b/>
                <w:color w:val="000000" w:themeColor="text1"/>
                <w:sz w:val="20"/>
              </w:rPr>
            </w:pPr>
            <w:r w:rsidRPr="00521F4D">
              <w:rPr>
                <w:rFonts w:ascii="Arial" w:eastAsia="Times New Roman" w:hAnsi="Arial" w:cs="Arial"/>
                <w:b/>
                <w:bCs/>
                <w:color w:val="000000" w:themeColor="text1"/>
                <w:sz w:val="20"/>
                <w:szCs w:val="20"/>
                <w:lang w:eastAsia="en-GB"/>
              </w:rPr>
              <w:t>(Scale range 0-100)</w:t>
            </w: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r w:rsidRPr="00521F4D">
              <w:rPr>
                <w:rFonts w:ascii="Arial" w:eastAsia="Times New Roman" w:hAnsi="Arial" w:cs="Arial"/>
                <w:b/>
                <w:color w:val="000000" w:themeColor="text1"/>
                <w:sz w:val="20"/>
                <w:szCs w:val="20"/>
                <w:lang w:eastAsia="en-GB"/>
              </w:rPr>
              <w:t>Baseline</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26</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lang w:eastAsia="en-GB"/>
              </w:rPr>
            </w:pPr>
            <w:r w:rsidRPr="00521F4D">
              <w:rPr>
                <w:rFonts w:ascii="Arial" w:hAnsi="Arial" w:cs="Arial"/>
                <w:color w:val="000000" w:themeColor="text1"/>
                <w:sz w:val="20"/>
                <w:szCs w:val="20"/>
              </w:rPr>
              <w:t>42.9 (8.3)</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27</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40.8 (7.9)</w:t>
            </w:r>
          </w:p>
        </w:tc>
        <w:tc>
          <w:tcPr>
            <w:tcW w:w="1521" w:type="pct"/>
            <w:gridSpan w:val="3"/>
            <w:vMerge w:val="restart"/>
            <w:tcBorders>
              <w:top w:val="single" w:sz="4" w:space="0" w:color="auto"/>
              <w:left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N/A</w:t>
            </w: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lang w:eastAsia="en-GB"/>
              </w:rPr>
            </w:pPr>
            <w:r w:rsidRPr="00521F4D">
              <w:rPr>
                <w:rFonts w:ascii="Arial" w:hAnsi="Arial" w:cs="Arial"/>
                <w:color w:val="000000" w:themeColor="text1"/>
                <w:sz w:val="20"/>
                <w:szCs w:val="20"/>
              </w:rPr>
              <w:t>[26.3 - 64.4]</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[26.3 - 53.1]</w:t>
            </w:r>
          </w:p>
        </w:tc>
        <w:tc>
          <w:tcPr>
            <w:tcW w:w="1521" w:type="pct"/>
            <w:gridSpan w:val="3"/>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413"/>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15</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24</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lang w:eastAsia="en-GB"/>
              </w:rPr>
            </w:pPr>
            <w:r w:rsidRPr="00521F4D">
              <w:rPr>
                <w:rFonts w:ascii="Arial" w:hAnsi="Arial" w:cs="Arial"/>
                <w:color w:val="000000" w:themeColor="text1"/>
                <w:sz w:val="20"/>
                <w:szCs w:val="20"/>
              </w:rPr>
              <w:t>40.8 (9.3)</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24</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42.3 (9.9)</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r w:rsidRPr="00521F4D">
              <w:rPr>
                <w:rFonts w:ascii="Arial" w:hAnsi="Arial" w:cs="Arial"/>
                <w:color w:val="000000" w:themeColor="text1"/>
                <w:sz w:val="20"/>
                <w:szCs w:val="20"/>
              </w:rPr>
              <w:t>1.5 (-4.1 to 7.1)</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r w:rsidRPr="00521F4D">
              <w:rPr>
                <w:rFonts w:ascii="Arial" w:hAnsi="Arial" w:cs="Arial"/>
                <w:color w:val="000000" w:themeColor="text1"/>
                <w:sz w:val="20"/>
                <w:szCs w:val="20"/>
              </w:rPr>
              <w:t>2 (-2 to 6.1)</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lang w:eastAsia="en-GB"/>
              </w:rPr>
            </w:pPr>
            <w:r w:rsidRPr="00521F4D">
              <w:rPr>
                <w:rFonts w:ascii="Arial" w:hAnsi="Arial" w:cs="Arial"/>
                <w:color w:val="000000" w:themeColor="text1"/>
                <w:sz w:val="20"/>
                <w:szCs w:val="20"/>
              </w:rPr>
              <w:t>[21.5 - 63.3]</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[11.4 - 57.3]</w:t>
            </w:r>
          </w:p>
        </w:tc>
        <w:tc>
          <w:tcPr>
            <w:tcW w:w="762" w:type="pct"/>
            <w:gridSpan w:val="2"/>
            <w:vMerge/>
            <w:tcBorders>
              <w:left w:val="single" w:sz="4" w:space="0" w:color="auto"/>
              <w:bottom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p>
        </w:tc>
        <w:tc>
          <w:tcPr>
            <w:tcW w:w="759" w:type="pct"/>
            <w:vMerge/>
            <w:tcBorders>
              <w:left w:val="single" w:sz="4" w:space="0" w:color="auto"/>
              <w:bottom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27</w:t>
            </w:r>
          </w:p>
        </w:tc>
        <w:tc>
          <w:tcPr>
            <w:tcW w:w="203" w:type="pct"/>
            <w:vMerge w:val="restart"/>
            <w:tcBorders>
              <w:top w:val="single" w:sz="4" w:space="0" w:color="auto"/>
              <w:left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22</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lang w:eastAsia="en-GB"/>
              </w:rPr>
            </w:pPr>
            <w:r w:rsidRPr="00521F4D">
              <w:rPr>
                <w:rFonts w:ascii="Arial" w:hAnsi="Arial" w:cs="Arial"/>
                <w:color w:val="000000" w:themeColor="text1"/>
                <w:sz w:val="20"/>
                <w:szCs w:val="20"/>
              </w:rPr>
              <w:t>41.7 (11.3)</w:t>
            </w:r>
          </w:p>
        </w:tc>
        <w:tc>
          <w:tcPr>
            <w:tcW w:w="304" w:type="pct"/>
            <w:gridSpan w:val="2"/>
            <w:vMerge w:val="restart"/>
            <w:tcBorders>
              <w:top w:val="single" w:sz="4" w:space="0" w:color="auto"/>
              <w:left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22</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42.2 (9.4)</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r w:rsidRPr="00521F4D">
              <w:rPr>
                <w:rFonts w:ascii="Arial" w:hAnsi="Arial" w:cs="Arial"/>
                <w:color w:val="000000" w:themeColor="text1"/>
                <w:sz w:val="20"/>
                <w:szCs w:val="20"/>
              </w:rPr>
              <w:t>0.5 (-5.8 to 6.8)</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right"/>
              <w:rPr>
                <w:rFonts w:ascii="Arial" w:hAnsi="Arial" w:cs="Arial"/>
                <w:color w:val="000000" w:themeColor="text1"/>
                <w:sz w:val="20"/>
                <w:szCs w:val="20"/>
              </w:rPr>
            </w:pPr>
            <w:r w:rsidRPr="00521F4D">
              <w:rPr>
                <w:rFonts w:ascii="Arial" w:hAnsi="Arial" w:cs="Arial"/>
                <w:color w:val="000000" w:themeColor="text1"/>
                <w:sz w:val="20"/>
                <w:szCs w:val="20"/>
              </w:rPr>
              <w:t>1.8 (-2.6 to 6.1)</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lang w:eastAsia="en-GB"/>
              </w:rPr>
            </w:pPr>
            <w:r w:rsidRPr="00521F4D">
              <w:rPr>
                <w:rFonts w:ascii="Arial" w:hAnsi="Arial" w:cs="Arial"/>
                <w:color w:val="000000" w:themeColor="text1"/>
                <w:sz w:val="20"/>
                <w:szCs w:val="20"/>
              </w:rPr>
              <w:t>[11.4 - 57.3]</w:t>
            </w:r>
          </w:p>
        </w:tc>
        <w:tc>
          <w:tcPr>
            <w:tcW w:w="304" w:type="pct"/>
            <w:gridSpan w:val="2"/>
            <w:vMerge/>
            <w:tcBorders>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[17.8 - 54.7]</w:t>
            </w:r>
          </w:p>
        </w:tc>
        <w:tc>
          <w:tcPr>
            <w:tcW w:w="762" w:type="pct"/>
            <w:gridSpan w:val="2"/>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759" w:type="pct"/>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bottom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val="restart"/>
            <w:tcBorders>
              <w:top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bCs/>
                <w:color w:val="000000" w:themeColor="text1"/>
                <w:sz w:val="20"/>
                <w:szCs w:val="20"/>
                <w:vertAlign w:val="superscript"/>
                <w:lang w:eastAsia="en-GB"/>
              </w:rPr>
            </w:pPr>
            <w:r w:rsidRPr="00521F4D">
              <w:rPr>
                <w:rFonts w:ascii="Arial" w:eastAsia="Times New Roman" w:hAnsi="Arial" w:cs="Arial"/>
                <w:b/>
                <w:bCs/>
                <w:color w:val="000000" w:themeColor="text1"/>
                <w:sz w:val="20"/>
                <w:szCs w:val="20"/>
                <w:lang w:eastAsia="en-GB"/>
              </w:rPr>
              <w:t>CPI 3</w:t>
            </w:r>
            <w:r w:rsidRPr="00521F4D">
              <w:rPr>
                <w:rFonts w:ascii="Arial" w:eastAsia="Times New Roman" w:hAnsi="Arial" w:cs="Arial"/>
                <w:b/>
                <w:bCs/>
                <w:color w:val="000000" w:themeColor="text1"/>
                <w:sz w:val="20"/>
                <w:szCs w:val="20"/>
                <w:vertAlign w:val="superscript"/>
                <w:lang w:eastAsia="en-GB"/>
              </w:rPr>
              <w:t>b</w:t>
            </w:r>
          </w:p>
          <w:p w:rsidR="0003139D" w:rsidRPr="00521F4D" w:rsidRDefault="0003139D" w:rsidP="00604C0D">
            <w:pPr>
              <w:spacing w:after="0" w:line="240" w:lineRule="auto"/>
              <w:rPr>
                <w:rFonts w:ascii="Arial" w:hAnsi="Arial"/>
                <w:b/>
                <w:color w:val="000000" w:themeColor="text1"/>
                <w:sz w:val="20"/>
              </w:rPr>
            </w:pPr>
            <w:r w:rsidRPr="00521F4D">
              <w:rPr>
                <w:rFonts w:ascii="Arial" w:eastAsia="Times New Roman" w:hAnsi="Arial" w:cs="Arial"/>
                <w:b/>
                <w:bCs/>
                <w:color w:val="000000" w:themeColor="text1"/>
                <w:sz w:val="20"/>
                <w:szCs w:val="20"/>
                <w:lang w:eastAsia="en-GB"/>
              </w:rPr>
              <w:t>(Scale range 0-100)</w:t>
            </w: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r w:rsidRPr="00521F4D">
              <w:rPr>
                <w:rFonts w:ascii="Arial" w:eastAsia="Times New Roman" w:hAnsi="Arial" w:cs="Arial"/>
                <w:b/>
                <w:color w:val="000000" w:themeColor="text1"/>
                <w:sz w:val="20"/>
                <w:szCs w:val="20"/>
                <w:lang w:eastAsia="en-GB"/>
              </w:rPr>
              <w:t>Baseline</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26</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lang w:eastAsia="en-GB"/>
              </w:rPr>
            </w:pPr>
            <w:r w:rsidRPr="00521F4D">
              <w:rPr>
                <w:rFonts w:ascii="Arial" w:hAnsi="Arial" w:cs="Arial"/>
                <w:color w:val="000000" w:themeColor="text1"/>
                <w:sz w:val="20"/>
                <w:szCs w:val="20"/>
              </w:rPr>
              <w:t>57.5 (10.4)</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26</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53.7 (9.3)</w:t>
            </w:r>
          </w:p>
        </w:tc>
        <w:tc>
          <w:tcPr>
            <w:tcW w:w="1521" w:type="pct"/>
            <w:gridSpan w:val="3"/>
            <w:vMerge w:val="restart"/>
            <w:tcBorders>
              <w:top w:val="single" w:sz="4" w:space="0" w:color="auto"/>
              <w:left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N/A</w:t>
            </w: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lang w:eastAsia="en-GB"/>
              </w:rPr>
            </w:pPr>
            <w:r w:rsidRPr="00521F4D">
              <w:rPr>
                <w:rFonts w:ascii="Arial" w:hAnsi="Arial" w:cs="Arial"/>
                <w:color w:val="000000" w:themeColor="text1"/>
                <w:sz w:val="20"/>
                <w:szCs w:val="20"/>
              </w:rPr>
              <w:t>[38.1 - 81.4]</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[39 - 81.4]</w:t>
            </w:r>
          </w:p>
        </w:tc>
        <w:tc>
          <w:tcPr>
            <w:tcW w:w="1521" w:type="pct"/>
            <w:gridSpan w:val="3"/>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15</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24</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lang w:eastAsia="en-GB"/>
              </w:rPr>
            </w:pPr>
            <w:r w:rsidRPr="00521F4D">
              <w:rPr>
                <w:rFonts w:ascii="Arial" w:hAnsi="Arial" w:cs="Arial"/>
                <w:color w:val="000000" w:themeColor="text1"/>
                <w:sz w:val="20"/>
                <w:szCs w:val="20"/>
              </w:rPr>
              <w:t>58.4 (14)</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24</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54.1 (11.1)</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-4.2 (-11.6 to 3.1)</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-2.1 (-6.5 to 2.4)</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lang w:eastAsia="en-GB"/>
              </w:rPr>
            </w:pPr>
            <w:r w:rsidRPr="00521F4D">
              <w:rPr>
                <w:rFonts w:ascii="Arial" w:hAnsi="Arial" w:cs="Arial"/>
                <w:color w:val="000000" w:themeColor="text1"/>
                <w:sz w:val="20"/>
                <w:szCs w:val="20"/>
              </w:rPr>
              <w:t>[39 - 100]</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[37.1 - 88.2]</w:t>
            </w:r>
          </w:p>
        </w:tc>
        <w:tc>
          <w:tcPr>
            <w:tcW w:w="762" w:type="pct"/>
            <w:gridSpan w:val="2"/>
            <w:vMerge/>
            <w:tcBorders>
              <w:left w:val="single" w:sz="4" w:space="0" w:color="auto"/>
              <w:bottom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c>
          <w:tcPr>
            <w:tcW w:w="759" w:type="pct"/>
            <w:vMerge/>
            <w:tcBorders>
              <w:left w:val="single" w:sz="4" w:space="0" w:color="auto"/>
              <w:bottom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roofErr w:type="spellStart"/>
            <w:r w:rsidRPr="00521F4D">
              <w:rPr>
                <w:rFonts w:ascii="Arial" w:eastAsia="Times New Roman" w:hAnsi="Arial" w:cs="Arial"/>
                <w:b/>
                <w:color w:val="000000" w:themeColor="text1"/>
                <w:sz w:val="20"/>
                <w:szCs w:val="20"/>
                <w:lang w:eastAsia="en-GB"/>
              </w:rPr>
              <w:t>Wk</w:t>
            </w:r>
            <w:proofErr w:type="spellEnd"/>
            <w:r w:rsidRPr="00521F4D">
              <w:rPr>
                <w:rFonts w:ascii="Arial" w:eastAsia="Times New Roman" w:hAnsi="Arial" w:cs="Arial"/>
                <w:b/>
                <w:color w:val="000000" w:themeColor="text1"/>
                <w:sz w:val="20"/>
                <w:szCs w:val="20"/>
                <w:lang w:eastAsia="en-GB"/>
              </w:rPr>
              <w:t xml:space="preserve"> 27</w:t>
            </w:r>
          </w:p>
        </w:tc>
        <w:tc>
          <w:tcPr>
            <w:tcW w:w="20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22</w:t>
            </w:r>
          </w:p>
        </w:tc>
        <w:tc>
          <w:tcPr>
            <w:tcW w:w="613" w:type="pct"/>
            <w:gridSpan w:val="2"/>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lang w:eastAsia="en-GB"/>
              </w:rPr>
            </w:pPr>
            <w:r w:rsidRPr="00521F4D">
              <w:rPr>
                <w:rFonts w:ascii="Arial" w:hAnsi="Arial" w:cs="Arial"/>
                <w:color w:val="000000" w:themeColor="text1"/>
                <w:sz w:val="20"/>
                <w:szCs w:val="20"/>
              </w:rPr>
              <w:t>59.4 (15.4)</w:t>
            </w:r>
          </w:p>
        </w:tc>
        <w:tc>
          <w:tcPr>
            <w:tcW w:w="304"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22</w:t>
            </w:r>
          </w:p>
        </w:tc>
        <w:tc>
          <w:tcPr>
            <w:tcW w:w="558" w:type="pct"/>
            <w:gridSpan w:val="3"/>
            <w:tcBorders>
              <w:top w:val="single" w:sz="4" w:space="0" w:color="auto"/>
              <w:left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54.2 (10.5)</w:t>
            </w:r>
          </w:p>
        </w:tc>
        <w:tc>
          <w:tcPr>
            <w:tcW w:w="762" w:type="pct"/>
            <w:gridSpan w:val="2"/>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-5.2 (-13.2 to 2.8)</w:t>
            </w:r>
          </w:p>
        </w:tc>
        <w:tc>
          <w:tcPr>
            <w:tcW w:w="759" w:type="pct"/>
            <w:vMerge w:val="restart"/>
            <w:tcBorders>
              <w:top w:val="single" w:sz="4" w:space="0" w:color="auto"/>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r w:rsidRPr="00521F4D">
              <w:rPr>
                <w:rFonts w:ascii="Arial" w:hAnsi="Arial" w:cs="Arial"/>
                <w:color w:val="000000" w:themeColor="text1"/>
                <w:sz w:val="20"/>
                <w:szCs w:val="20"/>
              </w:rPr>
              <w:t>-0.4 (-5.3 to 4.4)</w:t>
            </w:r>
          </w:p>
        </w:tc>
        <w:tc>
          <w:tcPr>
            <w:tcW w:w="683" w:type="pct"/>
            <w:vMerge/>
            <w:tcBorders>
              <w:left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rPr>
          <w:trHeight w:val="300"/>
        </w:trPr>
        <w:tc>
          <w:tcPr>
            <w:tcW w:w="710" w:type="pct"/>
            <w:vMerge/>
            <w:tcBorders>
              <w:top w:val="nil"/>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408" w:type="pct"/>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color w:val="000000" w:themeColor="text1"/>
                <w:sz w:val="20"/>
                <w:szCs w:val="20"/>
                <w:lang w:eastAsia="en-GB"/>
              </w:rPr>
            </w:pPr>
          </w:p>
        </w:tc>
        <w:tc>
          <w:tcPr>
            <w:tcW w:w="203" w:type="pct"/>
            <w:vMerge/>
            <w:tcBorders>
              <w:top w:val="nil"/>
              <w:left w:val="single" w:sz="4" w:space="0" w:color="auto"/>
              <w:bottom w:val="single" w:sz="4" w:space="0" w:color="auto"/>
              <w:right w:val="single" w:sz="4" w:space="0" w:color="auto"/>
            </w:tcBorders>
            <w:shd w:val="clear" w:color="auto" w:fill="auto"/>
            <w:noWrap/>
            <w:vAlign w:val="bottom"/>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3" w:type="pct"/>
            <w:gridSpan w:val="2"/>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hAnsi="Arial" w:cs="Arial"/>
                <w:color w:val="000000" w:themeColor="text1"/>
                <w:sz w:val="20"/>
                <w:szCs w:val="20"/>
                <w:lang w:eastAsia="en-GB"/>
              </w:rPr>
            </w:pPr>
            <w:r w:rsidRPr="00521F4D">
              <w:rPr>
                <w:rFonts w:ascii="Arial" w:hAnsi="Arial" w:cs="Arial"/>
                <w:color w:val="000000" w:themeColor="text1"/>
                <w:sz w:val="20"/>
                <w:szCs w:val="20"/>
              </w:rPr>
              <w:t>[23.7 - 88.2]</w:t>
            </w:r>
          </w:p>
        </w:tc>
        <w:tc>
          <w:tcPr>
            <w:tcW w:w="304" w:type="pct"/>
            <w:gridSpan w:val="2"/>
            <w:vMerge/>
            <w:tcBorders>
              <w:top w:val="nil"/>
              <w:left w:val="single" w:sz="4" w:space="0" w:color="auto"/>
              <w:bottom w:val="single" w:sz="4" w:space="0" w:color="auto"/>
              <w:right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8" w:type="pct"/>
            <w:gridSpan w:val="3"/>
            <w:tcBorders>
              <w:top w:val="nil"/>
              <w:left w:val="single" w:sz="4" w:space="0" w:color="auto"/>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hAnsi="Arial" w:cs="Arial"/>
                <w:color w:val="000000" w:themeColor="text1"/>
                <w:sz w:val="20"/>
                <w:szCs w:val="20"/>
              </w:rPr>
              <w:t>[36.2 - 77.3]</w:t>
            </w:r>
          </w:p>
        </w:tc>
        <w:tc>
          <w:tcPr>
            <w:tcW w:w="762" w:type="pct"/>
            <w:gridSpan w:val="2"/>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759" w:type="pct"/>
            <w:vMerge/>
            <w:tcBorders>
              <w:left w:val="single" w:sz="4" w:space="0" w:color="auto"/>
              <w:bottom w:val="single" w:sz="4" w:space="0" w:color="auto"/>
            </w:tcBorders>
          </w:tcPr>
          <w:p w:rsidR="0003139D" w:rsidRPr="00521F4D" w:rsidRDefault="0003139D" w:rsidP="00604C0D">
            <w:pPr>
              <w:spacing w:after="0" w:line="240" w:lineRule="auto"/>
              <w:jc w:val="right"/>
              <w:rPr>
                <w:rFonts w:ascii="Arial" w:hAnsi="Arial" w:cs="Arial"/>
                <w:color w:val="000000" w:themeColor="text1"/>
                <w:sz w:val="20"/>
                <w:szCs w:val="20"/>
              </w:rPr>
            </w:pPr>
          </w:p>
        </w:tc>
        <w:tc>
          <w:tcPr>
            <w:tcW w:w="683" w:type="pct"/>
            <w:vMerge/>
            <w:tcBorders>
              <w:left w:val="single" w:sz="4" w:space="0" w:color="auto"/>
              <w:bottom w:val="single" w:sz="4" w:space="0" w:color="auto"/>
            </w:tcBorders>
            <w:vAlign w:val="center"/>
          </w:tcPr>
          <w:p w:rsidR="0003139D" w:rsidRPr="00521F4D" w:rsidRDefault="0003139D" w:rsidP="00604C0D">
            <w:pPr>
              <w:spacing w:after="0" w:line="240" w:lineRule="auto"/>
              <w:jc w:val="center"/>
              <w:rPr>
                <w:rFonts w:ascii="Arial" w:hAnsi="Arial" w:cs="Arial"/>
                <w:color w:val="000000" w:themeColor="text1"/>
                <w:sz w:val="20"/>
                <w:szCs w:val="20"/>
              </w:rPr>
            </w:pPr>
          </w:p>
        </w:tc>
      </w:tr>
      <w:tr w:rsidR="0003139D" w:rsidRPr="00521F4D" w:rsidTr="00604C0D">
        <w:tblPrEx>
          <w:tblBorders>
            <w:insideV w:val="single" w:sz="4" w:space="0" w:color="auto"/>
          </w:tblBorders>
        </w:tblPrEx>
        <w:trPr>
          <w:trHeight w:val="300"/>
          <w:tblHeader/>
        </w:trPr>
        <w:tc>
          <w:tcPr>
            <w:tcW w:w="5000" w:type="pct"/>
            <w:gridSpan w:val="14"/>
            <w:tcBorders>
              <w:top w:val="single" w:sz="4" w:space="0" w:color="auto"/>
              <w:bottom w:val="nil"/>
            </w:tcBorders>
            <w:shd w:val="clear" w:color="auto" w:fill="auto"/>
            <w:noWrap/>
            <w:vAlign w:val="center"/>
          </w:tcPr>
          <w:p w:rsidR="0003139D" w:rsidRPr="00521F4D" w:rsidRDefault="0003139D" w:rsidP="00604C0D">
            <w:pPr>
              <w:spacing w:after="0" w:line="240" w:lineRule="auto"/>
              <w:rPr>
                <w:rFonts w:eastAsia="Times New Roman"/>
                <w:b/>
                <w:bCs/>
                <w:color w:val="000000" w:themeColor="text1"/>
                <w:lang w:eastAsia="en-GB"/>
              </w:rPr>
            </w:pPr>
            <w:proofErr w:type="spellStart"/>
            <w:r w:rsidRPr="00521F4D">
              <w:rPr>
                <w:rFonts w:eastAsia="Times New Roman"/>
                <w:b/>
                <w:bCs/>
                <w:color w:val="000000" w:themeColor="text1"/>
                <w:lang w:eastAsia="en-GB"/>
              </w:rPr>
              <w:t>Accelerometry</w:t>
            </w:r>
            <w:proofErr w:type="spellEnd"/>
            <w:r w:rsidRPr="00521F4D">
              <w:rPr>
                <w:rFonts w:eastAsia="Times New Roman"/>
                <w:b/>
                <w:bCs/>
                <w:color w:val="000000" w:themeColor="text1"/>
                <w:lang w:eastAsia="en-GB"/>
              </w:rPr>
              <w:t xml:space="preserve"> data (measured by </w:t>
            </w:r>
            <w:proofErr w:type="spellStart"/>
            <w:r w:rsidRPr="00521F4D">
              <w:rPr>
                <w:rFonts w:eastAsia="Times New Roman"/>
                <w:b/>
                <w:bCs/>
                <w:color w:val="000000" w:themeColor="text1"/>
                <w:lang w:eastAsia="en-GB"/>
              </w:rPr>
              <w:t>ActivPAL</w:t>
            </w:r>
            <w:r w:rsidRPr="00521F4D">
              <w:rPr>
                <w:rFonts w:eastAsia="Times New Roman"/>
                <w:b/>
                <w:bCs/>
                <w:color w:val="000000" w:themeColor="text1"/>
                <w:vertAlign w:val="superscript"/>
                <w:lang w:eastAsia="en-GB"/>
              </w:rPr>
              <w:t>TM</w:t>
            </w:r>
            <w:proofErr w:type="spellEnd"/>
            <w:r w:rsidRPr="00521F4D">
              <w:rPr>
                <w:rFonts w:eastAsia="Times New Roman"/>
                <w:b/>
                <w:bCs/>
                <w:color w:val="000000" w:themeColor="text1"/>
                <w:lang w:eastAsia="en-GB"/>
              </w:rPr>
              <w:t>)</w:t>
            </w:r>
          </w:p>
        </w:tc>
      </w:tr>
      <w:tr w:rsidR="0003139D" w:rsidRPr="00521F4D" w:rsidTr="00604C0D">
        <w:tblPrEx>
          <w:tblBorders>
            <w:insideV w:val="single" w:sz="4" w:space="0" w:color="auto"/>
          </w:tblBorders>
        </w:tblPrEx>
        <w:trPr>
          <w:trHeight w:val="300"/>
        </w:trPr>
        <w:tc>
          <w:tcPr>
            <w:tcW w:w="710" w:type="pct"/>
            <w:vMerge w:val="restart"/>
            <w:tcBorders>
              <w:top w:val="single" w:sz="4" w:space="0" w:color="auto"/>
              <w:bottom w:val="nil"/>
            </w:tcBorders>
            <w:shd w:val="clear" w:color="auto" w:fill="auto"/>
            <w:noWrap/>
            <w:vAlign w:val="center"/>
            <w:hideMark/>
          </w:tcPr>
          <w:p w:rsidR="0003139D" w:rsidRPr="00521F4D" w:rsidRDefault="0003139D" w:rsidP="00604C0D">
            <w:pPr>
              <w:spacing w:after="0" w:line="240" w:lineRule="auto"/>
              <w:rPr>
                <w:rFonts w:eastAsia="Times New Roman"/>
                <w:b/>
                <w:bCs/>
                <w:color w:val="000000" w:themeColor="text1"/>
                <w:lang w:eastAsia="en-GB"/>
              </w:rPr>
            </w:pPr>
            <w:r w:rsidRPr="00521F4D">
              <w:rPr>
                <w:rFonts w:eastAsia="Times New Roman"/>
                <w:b/>
                <w:bCs/>
                <w:color w:val="000000" w:themeColor="text1"/>
                <w:lang w:eastAsia="en-GB"/>
              </w:rPr>
              <w:t>Step count</w:t>
            </w: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eastAsia="Times New Roman"/>
                <w:color w:val="000000" w:themeColor="text1"/>
                <w:lang w:eastAsia="en-GB"/>
              </w:rPr>
            </w:pPr>
            <w:r w:rsidRPr="00521F4D">
              <w:rPr>
                <w:rFonts w:eastAsia="Times New Roman"/>
                <w:color w:val="000000" w:themeColor="text1"/>
                <w:lang w:eastAsia="en-GB"/>
              </w:rPr>
              <w:t>Baseline</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26</w:t>
            </w:r>
          </w:p>
        </w:tc>
        <w:tc>
          <w:tcPr>
            <w:tcW w:w="610"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3286.4 (2760.7)</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28</w:t>
            </w:r>
          </w:p>
        </w:tc>
        <w:tc>
          <w:tcPr>
            <w:tcW w:w="551"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2654.9 (1861.1)</w:t>
            </w:r>
          </w:p>
        </w:tc>
        <w:tc>
          <w:tcPr>
            <w:tcW w:w="1524" w:type="pct"/>
            <w:gridSpan w:val="4"/>
            <w:vMerge w:val="restart"/>
            <w:tcBorders>
              <w:top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tcBorders>
              <w:top w:val="nil"/>
              <w:bottom w:val="nil"/>
            </w:tcBorders>
            <w:shd w:val="clear" w:color="auto" w:fill="auto"/>
            <w:noWrap/>
            <w:vAlign w:val="center"/>
            <w:hideMark/>
          </w:tcPr>
          <w:p w:rsidR="0003139D" w:rsidRPr="00521F4D" w:rsidRDefault="0003139D" w:rsidP="00604C0D">
            <w:pPr>
              <w:spacing w:after="0" w:line="240" w:lineRule="auto"/>
              <w:jc w:val="right"/>
              <w:rPr>
                <w:rFonts w:eastAsia="Times New Roman"/>
                <w:b/>
                <w:color w:val="000000" w:themeColor="text1"/>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eastAsia="Times New Roman"/>
                <w:color w:val="000000" w:themeColor="text1"/>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610"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[256.3 - 11756.4]</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[11.7 - 7543.2]</w:t>
            </w:r>
          </w:p>
        </w:tc>
        <w:tc>
          <w:tcPr>
            <w:tcW w:w="1524" w:type="pct"/>
            <w:gridSpan w:val="4"/>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vMerge/>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tcBorders>
              <w:top w:val="nil"/>
              <w:bottom w:val="nil"/>
            </w:tcBorders>
            <w:shd w:val="clear" w:color="auto" w:fill="auto"/>
            <w:noWrap/>
            <w:vAlign w:val="center"/>
            <w:hideMark/>
          </w:tcPr>
          <w:p w:rsidR="0003139D" w:rsidRPr="00521F4D" w:rsidRDefault="0003139D" w:rsidP="00604C0D">
            <w:pPr>
              <w:spacing w:after="0" w:line="240" w:lineRule="auto"/>
              <w:jc w:val="right"/>
              <w:rPr>
                <w:rFonts w:eastAsia="Times New Roman"/>
                <w:b/>
                <w:color w:val="000000" w:themeColor="text1"/>
                <w:lang w:eastAsia="en-GB"/>
              </w:rPr>
            </w:pP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eastAsia="Times New Roman"/>
                <w:color w:val="000000" w:themeColor="text1"/>
                <w:lang w:eastAsia="en-GB"/>
              </w:rPr>
            </w:pPr>
            <w:proofErr w:type="spellStart"/>
            <w:r w:rsidRPr="00521F4D">
              <w:rPr>
                <w:rFonts w:eastAsia="Times New Roman"/>
                <w:color w:val="000000" w:themeColor="text1"/>
                <w:lang w:eastAsia="en-GB"/>
              </w:rPr>
              <w:t>Wk</w:t>
            </w:r>
            <w:proofErr w:type="spellEnd"/>
            <w:r w:rsidRPr="00521F4D">
              <w:rPr>
                <w:rFonts w:eastAsia="Times New Roman"/>
                <w:color w:val="000000" w:themeColor="text1"/>
                <w:lang w:eastAsia="en-GB"/>
              </w:rPr>
              <w:t xml:space="preserve"> 15</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23</w:t>
            </w:r>
          </w:p>
        </w:tc>
        <w:tc>
          <w:tcPr>
            <w:tcW w:w="610"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3443.6 (3721.8)</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23</w:t>
            </w:r>
          </w:p>
        </w:tc>
        <w:tc>
          <w:tcPr>
            <w:tcW w:w="551"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2841.4 (1841)</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-602.2 (-2347.1 to 1142.7)</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-165.7 (-1047.6 to 716.2)</w:t>
            </w:r>
          </w:p>
        </w:tc>
        <w:tc>
          <w:tcPr>
            <w:tcW w:w="683" w:type="pct"/>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ascii="Arial" w:hAnsi="Arial" w:cs="Arial"/>
                <w:color w:val="000000" w:themeColor="text1"/>
                <w:sz w:val="20"/>
                <w:szCs w:val="20"/>
              </w:rPr>
              <w:t>N/A</w:t>
            </w:r>
          </w:p>
        </w:tc>
      </w:tr>
      <w:tr w:rsidR="0003139D" w:rsidRPr="00521F4D" w:rsidTr="00604C0D">
        <w:tblPrEx>
          <w:tblBorders>
            <w:insideV w:val="single" w:sz="4" w:space="0" w:color="auto"/>
          </w:tblBorders>
        </w:tblPrEx>
        <w:trPr>
          <w:trHeight w:val="300"/>
        </w:trPr>
        <w:tc>
          <w:tcPr>
            <w:tcW w:w="710" w:type="pct"/>
            <w:vMerge/>
            <w:tcBorders>
              <w:top w:val="nil"/>
              <w:bottom w:val="nil"/>
            </w:tcBorders>
            <w:shd w:val="clear" w:color="auto" w:fill="auto"/>
            <w:noWrap/>
            <w:vAlign w:val="center"/>
            <w:hideMark/>
          </w:tcPr>
          <w:p w:rsidR="0003139D" w:rsidRPr="00521F4D" w:rsidRDefault="0003139D" w:rsidP="00604C0D">
            <w:pPr>
              <w:spacing w:after="0" w:line="240" w:lineRule="auto"/>
              <w:jc w:val="right"/>
              <w:rPr>
                <w:rFonts w:eastAsia="Times New Roman"/>
                <w:b/>
                <w:color w:val="000000" w:themeColor="text1"/>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eastAsia="Times New Roman"/>
                <w:color w:val="000000" w:themeColor="text1"/>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610"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[283.2 - 13034.5]</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[5.2 - 7671.2]</w:t>
            </w: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vMerge/>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tcBorders>
              <w:top w:val="nil"/>
              <w:bottom w:val="nil"/>
            </w:tcBorders>
            <w:shd w:val="clear" w:color="auto" w:fill="auto"/>
            <w:noWrap/>
            <w:vAlign w:val="center"/>
            <w:hideMark/>
          </w:tcPr>
          <w:p w:rsidR="0003139D" w:rsidRPr="00521F4D" w:rsidRDefault="0003139D" w:rsidP="00604C0D">
            <w:pPr>
              <w:spacing w:after="0" w:line="240" w:lineRule="auto"/>
              <w:jc w:val="right"/>
              <w:rPr>
                <w:rFonts w:eastAsia="Times New Roman"/>
                <w:b/>
                <w:color w:val="000000" w:themeColor="text1"/>
                <w:lang w:eastAsia="en-GB"/>
              </w:rPr>
            </w:pP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eastAsia="Times New Roman"/>
                <w:color w:val="000000" w:themeColor="text1"/>
                <w:lang w:eastAsia="en-GB"/>
              </w:rPr>
            </w:pPr>
            <w:proofErr w:type="spellStart"/>
            <w:r w:rsidRPr="00521F4D">
              <w:rPr>
                <w:rFonts w:eastAsia="Times New Roman"/>
                <w:color w:val="000000" w:themeColor="text1"/>
                <w:lang w:eastAsia="en-GB"/>
              </w:rPr>
              <w:t>Wk</w:t>
            </w:r>
            <w:proofErr w:type="spellEnd"/>
            <w:r w:rsidRPr="00521F4D">
              <w:rPr>
                <w:rFonts w:eastAsia="Times New Roman"/>
                <w:color w:val="000000" w:themeColor="text1"/>
                <w:lang w:eastAsia="en-GB"/>
              </w:rPr>
              <w:t xml:space="preserve"> 27</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22</w:t>
            </w:r>
          </w:p>
        </w:tc>
        <w:tc>
          <w:tcPr>
            <w:tcW w:w="610"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2982.6 (3248)</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20</w:t>
            </w:r>
          </w:p>
        </w:tc>
        <w:tc>
          <w:tcPr>
            <w:tcW w:w="551"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3633.1 (2268.3)</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650.5 (-1113.7 to 2414.7)</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699.8 (-495.3 to 1894.8)</w:t>
            </w:r>
          </w:p>
        </w:tc>
        <w:tc>
          <w:tcPr>
            <w:tcW w:w="683" w:type="pct"/>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ascii="Arial" w:hAnsi="Arial" w:cs="Arial"/>
                <w:color w:val="000000" w:themeColor="text1"/>
                <w:sz w:val="20"/>
                <w:szCs w:val="20"/>
              </w:rPr>
              <w:t>N/A</w:t>
            </w:r>
          </w:p>
        </w:tc>
      </w:tr>
      <w:tr w:rsidR="0003139D" w:rsidRPr="00521F4D" w:rsidTr="00604C0D">
        <w:tblPrEx>
          <w:tblBorders>
            <w:insideV w:val="single" w:sz="4" w:space="0" w:color="auto"/>
          </w:tblBorders>
        </w:tblPrEx>
        <w:trPr>
          <w:trHeight w:val="300"/>
        </w:trPr>
        <w:tc>
          <w:tcPr>
            <w:tcW w:w="710" w:type="pct"/>
            <w:vMerge/>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right"/>
              <w:rPr>
                <w:rFonts w:eastAsia="Times New Roman"/>
                <w:b/>
                <w:color w:val="000000" w:themeColor="text1"/>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eastAsia="Times New Roman"/>
                <w:color w:val="000000" w:themeColor="text1"/>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610"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[166.7 - 14739.6]</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[118.3 - 9027.2]</w:t>
            </w: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vMerge/>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eastAsia="Times New Roman"/>
                <w:b/>
                <w:bCs/>
                <w:color w:val="000000" w:themeColor="text1"/>
                <w:lang w:eastAsia="en-GB"/>
              </w:rPr>
            </w:pPr>
            <w:r w:rsidRPr="00521F4D">
              <w:rPr>
                <w:rFonts w:eastAsia="Times New Roman"/>
                <w:b/>
                <w:bCs/>
                <w:color w:val="000000" w:themeColor="text1"/>
                <w:lang w:eastAsia="en-GB"/>
              </w:rPr>
              <w:t>Sitting/ Lying time</w:t>
            </w:r>
          </w:p>
          <w:p w:rsidR="0003139D" w:rsidRPr="00521F4D" w:rsidRDefault="0003139D" w:rsidP="00604C0D">
            <w:pPr>
              <w:spacing w:after="0" w:line="240" w:lineRule="auto"/>
              <w:rPr>
                <w:rFonts w:eastAsia="Times New Roman"/>
                <w:b/>
                <w:bCs/>
                <w:color w:val="000000" w:themeColor="text1"/>
                <w:lang w:eastAsia="en-GB"/>
              </w:rPr>
            </w:pPr>
            <w:r w:rsidRPr="00521F4D">
              <w:rPr>
                <w:rFonts w:eastAsia="Times New Roman"/>
                <w:b/>
                <w:bCs/>
                <w:color w:val="000000" w:themeColor="text1"/>
                <w:lang w:eastAsia="en-GB"/>
              </w:rPr>
              <w:t>(hours)</w:t>
            </w: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eastAsia="Times New Roman"/>
                <w:color w:val="000000" w:themeColor="text1"/>
                <w:lang w:eastAsia="en-GB"/>
              </w:rPr>
            </w:pPr>
            <w:r w:rsidRPr="00521F4D">
              <w:rPr>
                <w:rFonts w:eastAsia="Times New Roman"/>
                <w:color w:val="000000" w:themeColor="text1"/>
                <w:lang w:eastAsia="en-GB"/>
              </w:rPr>
              <w:t>Baseline</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26</w:t>
            </w:r>
          </w:p>
        </w:tc>
        <w:tc>
          <w:tcPr>
            <w:tcW w:w="610" w:type="pc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19.7 (1.7)</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28</w:t>
            </w:r>
          </w:p>
        </w:tc>
        <w:tc>
          <w:tcPr>
            <w:tcW w:w="551" w:type="pc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19.9 (2.1)</w:t>
            </w:r>
          </w:p>
        </w:tc>
        <w:tc>
          <w:tcPr>
            <w:tcW w:w="1524" w:type="pct"/>
            <w:gridSpan w:val="4"/>
            <w:vMerge w:val="restart"/>
            <w:tcBorders>
              <w:top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shd w:val="clear" w:color="auto" w:fill="auto"/>
            <w:noWrap/>
            <w:vAlign w:val="center"/>
            <w:hideMark/>
          </w:tcPr>
          <w:p w:rsidR="0003139D" w:rsidRPr="00521F4D" w:rsidRDefault="0003139D" w:rsidP="00604C0D">
            <w:pPr>
              <w:spacing w:after="0" w:line="240" w:lineRule="auto"/>
              <w:jc w:val="right"/>
              <w:rPr>
                <w:rFonts w:eastAsia="Times New Roman"/>
                <w:b/>
                <w:color w:val="000000" w:themeColor="text1"/>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eastAsia="Times New Roman"/>
                <w:color w:val="000000" w:themeColor="text1"/>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610" w:type="pct"/>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[16.8 - 22.9]</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[15.3 - 23.2]</w:t>
            </w:r>
          </w:p>
        </w:tc>
        <w:tc>
          <w:tcPr>
            <w:tcW w:w="1524" w:type="pct"/>
            <w:gridSpan w:val="4"/>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vMerge/>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shd w:val="clear" w:color="auto" w:fill="auto"/>
            <w:noWrap/>
            <w:vAlign w:val="center"/>
            <w:hideMark/>
          </w:tcPr>
          <w:p w:rsidR="0003139D" w:rsidRPr="00521F4D" w:rsidRDefault="0003139D" w:rsidP="00604C0D">
            <w:pPr>
              <w:spacing w:after="0" w:line="240" w:lineRule="auto"/>
              <w:jc w:val="right"/>
              <w:rPr>
                <w:rFonts w:eastAsia="Times New Roman"/>
                <w:b/>
                <w:color w:val="000000" w:themeColor="text1"/>
                <w:lang w:eastAsia="en-GB"/>
              </w:rPr>
            </w:pP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eastAsia="Times New Roman"/>
                <w:color w:val="000000" w:themeColor="text1"/>
                <w:lang w:eastAsia="en-GB"/>
              </w:rPr>
            </w:pPr>
            <w:proofErr w:type="spellStart"/>
            <w:r w:rsidRPr="00521F4D">
              <w:rPr>
                <w:rFonts w:eastAsia="Times New Roman"/>
                <w:color w:val="000000" w:themeColor="text1"/>
                <w:lang w:eastAsia="en-GB"/>
              </w:rPr>
              <w:t>Wk</w:t>
            </w:r>
            <w:proofErr w:type="spellEnd"/>
            <w:r w:rsidRPr="00521F4D">
              <w:rPr>
                <w:rFonts w:eastAsia="Times New Roman"/>
                <w:color w:val="000000" w:themeColor="text1"/>
                <w:lang w:eastAsia="en-GB"/>
              </w:rPr>
              <w:t xml:space="preserve"> 15</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23</w:t>
            </w:r>
          </w:p>
        </w:tc>
        <w:tc>
          <w:tcPr>
            <w:tcW w:w="610"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19.8 (2.3)</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23</w:t>
            </w:r>
          </w:p>
        </w:tc>
        <w:tc>
          <w:tcPr>
            <w:tcW w:w="551"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19.7 (1.9)</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0.0 (-1.3 to 1.2)</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0.3 (-0.8 to 1.4)</w:t>
            </w:r>
          </w:p>
        </w:tc>
        <w:tc>
          <w:tcPr>
            <w:tcW w:w="683" w:type="pct"/>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ascii="Arial" w:hAnsi="Arial" w:cs="Arial"/>
                <w:color w:val="000000" w:themeColor="text1"/>
                <w:sz w:val="20"/>
                <w:szCs w:val="20"/>
              </w:rPr>
              <w:t>N/A</w:t>
            </w:r>
          </w:p>
        </w:tc>
      </w:tr>
      <w:tr w:rsidR="0003139D" w:rsidRPr="00521F4D" w:rsidTr="00604C0D">
        <w:tblPrEx>
          <w:tblBorders>
            <w:insideV w:val="single" w:sz="4" w:space="0" w:color="auto"/>
          </w:tblBorders>
        </w:tblPrEx>
        <w:trPr>
          <w:trHeight w:val="300"/>
        </w:trPr>
        <w:tc>
          <w:tcPr>
            <w:tcW w:w="710" w:type="pct"/>
            <w:vMerge/>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b/>
                <w:color w:val="000000" w:themeColor="text1"/>
                <w:sz w:val="20"/>
                <w:szCs w:val="20"/>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sz w:val="20"/>
                <w:szCs w:val="20"/>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0"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[13.5 - 23.4]</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[16.5 - 22.9]</w:t>
            </w: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vMerge/>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b/>
                <w:color w:val="000000" w:themeColor="text1"/>
                <w:sz w:val="20"/>
                <w:szCs w:val="20"/>
                <w:lang w:eastAsia="en-GB"/>
              </w:rPr>
            </w:pP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roofErr w:type="spellStart"/>
            <w:r w:rsidRPr="00521F4D">
              <w:rPr>
                <w:rFonts w:ascii="Arial" w:eastAsia="Times New Roman" w:hAnsi="Arial" w:cs="Arial"/>
                <w:color w:val="000000" w:themeColor="text1"/>
                <w:lang w:eastAsia="en-GB"/>
              </w:rPr>
              <w:t>Wk</w:t>
            </w:r>
            <w:proofErr w:type="spellEnd"/>
            <w:r w:rsidRPr="00521F4D">
              <w:rPr>
                <w:rFonts w:ascii="Arial" w:eastAsia="Times New Roman" w:hAnsi="Arial" w:cs="Arial"/>
                <w:color w:val="000000" w:themeColor="text1"/>
                <w:lang w:eastAsia="en-GB"/>
              </w:rPr>
              <w:t xml:space="preserve"> 27</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r w:rsidRPr="00521F4D">
              <w:rPr>
                <w:rFonts w:ascii="Arial" w:eastAsia="Times New Roman" w:hAnsi="Arial" w:cs="Arial"/>
                <w:color w:val="000000" w:themeColor="text1"/>
                <w:lang w:eastAsia="en-GB"/>
              </w:rPr>
              <w:t>22</w:t>
            </w:r>
          </w:p>
        </w:tc>
        <w:tc>
          <w:tcPr>
            <w:tcW w:w="610" w:type="pc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19.7 (2.2)</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20</w:t>
            </w:r>
          </w:p>
        </w:tc>
        <w:tc>
          <w:tcPr>
            <w:tcW w:w="551" w:type="pc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19.0 (1.9)</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-0.6 (-1.9 to 0.7)</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-0.2 (-1.1 to 0.8)</w:t>
            </w:r>
          </w:p>
        </w:tc>
        <w:tc>
          <w:tcPr>
            <w:tcW w:w="683" w:type="pct"/>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ascii="Arial" w:hAnsi="Arial" w:cs="Arial"/>
                <w:color w:val="000000" w:themeColor="text1"/>
                <w:sz w:val="20"/>
                <w:szCs w:val="20"/>
              </w:rPr>
              <w:t>N/A</w:t>
            </w:r>
          </w:p>
        </w:tc>
      </w:tr>
      <w:tr w:rsidR="0003139D" w:rsidRPr="00521F4D" w:rsidTr="00604C0D">
        <w:tblPrEx>
          <w:tblBorders>
            <w:insideV w:val="single" w:sz="4" w:space="0" w:color="auto"/>
          </w:tblBorders>
        </w:tblPrEx>
        <w:trPr>
          <w:trHeight w:val="300"/>
        </w:trPr>
        <w:tc>
          <w:tcPr>
            <w:tcW w:w="710"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b/>
                <w:color w:val="000000" w:themeColor="text1"/>
                <w:sz w:val="20"/>
                <w:szCs w:val="20"/>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p>
        </w:tc>
        <w:tc>
          <w:tcPr>
            <w:tcW w:w="610" w:type="pct"/>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[13.5 - 23.1]</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[16.1 - 22.7]</w:t>
            </w: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vMerge/>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val="restart"/>
            <w:tcBorders>
              <w:top w:val="single" w:sz="4" w:space="0" w:color="auto"/>
              <w:bottom w:val="nil"/>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Standing time</w:t>
            </w:r>
          </w:p>
          <w:p w:rsidR="0003139D" w:rsidRPr="00521F4D" w:rsidRDefault="0003139D" w:rsidP="00604C0D">
            <w:pPr>
              <w:spacing w:after="0" w:line="240" w:lineRule="auto"/>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(Hours)</w:t>
            </w: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r w:rsidRPr="00521F4D">
              <w:rPr>
                <w:rFonts w:ascii="Arial" w:eastAsia="Times New Roman" w:hAnsi="Arial" w:cs="Arial"/>
                <w:color w:val="000000" w:themeColor="text1"/>
                <w:lang w:eastAsia="en-GB"/>
              </w:rPr>
              <w:t>Baseline</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r w:rsidRPr="00521F4D">
              <w:rPr>
                <w:rFonts w:ascii="Arial" w:eastAsia="Times New Roman" w:hAnsi="Arial" w:cs="Arial"/>
                <w:color w:val="000000" w:themeColor="text1"/>
                <w:lang w:eastAsia="en-GB"/>
              </w:rPr>
              <w:t>26</w:t>
            </w:r>
          </w:p>
        </w:tc>
        <w:tc>
          <w:tcPr>
            <w:tcW w:w="610"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3.4 (1.4)</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28</w:t>
            </w:r>
          </w:p>
        </w:tc>
        <w:tc>
          <w:tcPr>
            <w:tcW w:w="551"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3.4 (1.9)</w:t>
            </w:r>
          </w:p>
        </w:tc>
        <w:tc>
          <w:tcPr>
            <w:tcW w:w="1524" w:type="pct"/>
            <w:gridSpan w:val="4"/>
            <w:vMerge w:val="restart"/>
            <w:tcBorders>
              <w:top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tcBorders>
              <w:top w:val="nil"/>
              <w:bottom w:val="nil"/>
            </w:tcBorders>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b/>
                <w:color w:val="000000" w:themeColor="text1"/>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p>
        </w:tc>
        <w:tc>
          <w:tcPr>
            <w:tcW w:w="610"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[1.0 - 6.1]</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[0.6 - 8]</w:t>
            </w:r>
          </w:p>
        </w:tc>
        <w:tc>
          <w:tcPr>
            <w:tcW w:w="1524" w:type="pct"/>
            <w:gridSpan w:val="4"/>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tcBorders>
              <w:top w:val="nil"/>
              <w:bottom w:val="nil"/>
            </w:tcBorders>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b/>
                <w:color w:val="000000" w:themeColor="text1"/>
                <w:lang w:eastAsia="en-GB"/>
              </w:rPr>
            </w:pP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roofErr w:type="spellStart"/>
            <w:r w:rsidRPr="00521F4D">
              <w:rPr>
                <w:rFonts w:ascii="Arial" w:eastAsia="Times New Roman" w:hAnsi="Arial" w:cs="Arial"/>
                <w:color w:val="000000" w:themeColor="text1"/>
                <w:lang w:eastAsia="en-GB"/>
              </w:rPr>
              <w:t>Wk</w:t>
            </w:r>
            <w:proofErr w:type="spellEnd"/>
            <w:r w:rsidRPr="00521F4D">
              <w:rPr>
                <w:rFonts w:ascii="Arial" w:eastAsia="Times New Roman" w:hAnsi="Arial" w:cs="Arial"/>
                <w:color w:val="000000" w:themeColor="text1"/>
                <w:lang w:eastAsia="en-GB"/>
              </w:rPr>
              <w:t xml:space="preserve"> 15</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r w:rsidRPr="00521F4D">
              <w:rPr>
                <w:rFonts w:ascii="Arial" w:eastAsia="Times New Roman" w:hAnsi="Arial" w:cs="Arial"/>
                <w:color w:val="000000" w:themeColor="text1"/>
                <w:lang w:eastAsia="en-GB"/>
              </w:rPr>
              <w:t>23</w:t>
            </w:r>
          </w:p>
        </w:tc>
        <w:tc>
          <w:tcPr>
            <w:tcW w:w="610"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3.3 (1.8)</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23</w:t>
            </w:r>
          </w:p>
        </w:tc>
        <w:tc>
          <w:tcPr>
            <w:tcW w:w="551"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3.5 (1.7)</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0.2 (-0.8 to 1.2)</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-0.3 (-1.2 to 0.7)</w:t>
            </w:r>
          </w:p>
        </w:tc>
        <w:tc>
          <w:tcPr>
            <w:tcW w:w="683" w:type="pct"/>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ascii="Arial" w:hAnsi="Arial" w:cs="Arial"/>
                <w:color w:val="000000" w:themeColor="text1"/>
                <w:sz w:val="20"/>
                <w:szCs w:val="20"/>
              </w:rPr>
              <w:t>N/A</w:t>
            </w:r>
          </w:p>
        </w:tc>
      </w:tr>
      <w:tr w:rsidR="0003139D" w:rsidRPr="00521F4D" w:rsidTr="00604C0D">
        <w:tblPrEx>
          <w:tblBorders>
            <w:insideV w:val="single" w:sz="4" w:space="0" w:color="auto"/>
          </w:tblBorders>
        </w:tblPrEx>
        <w:trPr>
          <w:trHeight w:val="300"/>
        </w:trPr>
        <w:tc>
          <w:tcPr>
            <w:tcW w:w="710" w:type="pct"/>
            <w:vMerge/>
            <w:tcBorders>
              <w:top w:val="nil"/>
              <w:bottom w:val="nil"/>
            </w:tcBorders>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b/>
                <w:color w:val="000000" w:themeColor="text1"/>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p>
        </w:tc>
        <w:tc>
          <w:tcPr>
            <w:tcW w:w="610"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[0.4 - 7.5]</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[1.0 - 6.7]</w:t>
            </w: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vMerge/>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tcBorders>
              <w:top w:val="nil"/>
              <w:bottom w:val="nil"/>
            </w:tcBorders>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b/>
                <w:color w:val="000000" w:themeColor="text1"/>
                <w:lang w:eastAsia="en-GB"/>
              </w:rPr>
            </w:pP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roofErr w:type="spellStart"/>
            <w:r w:rsidRPr="00521F4D">
              <w:rPr>
                <w:rFonts w:ascii="Arial" w:eastAsia="Times New Roman" w:hAnsi="Arial" w:cs="Arial"/>
                <w:color w:val="000000" w:themeColor="text1"/>
                <w:lang w:eastAsia="en-GB"/>
              </w:rPr>
              <w:t>Wk</w:t>
            </w:r>
            <w:proofErr w:type="spellEnd"/>
            <w:r w:rsidRPr="00521F4D">
              <w:rPr>
                <w:rFonts w:ascii="Arial" w:eastAsia="Times New Roman" w:hAnsi="Arial" w:cs="Arial"/>
                <w:color w:val="000000" w:themeColor="text1"/>
                <w:lang w:eastAsia="en-GB"/>
              </w:rPr>
              <w:t xml:space="preserve"> 27</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r w:rsidRPr="00521F4D">
              <w:rPr>
                <w:rFonts w:ascii="Arial" w:eastAsia="Times New Roman" w:hAnsi="Arial" w:cs="Arial"/>
                <w:color w:val="000000" w:themeColor="text1"/>
                <w:lang w:eastAsia="en-GB"/>
              </w:rPr>
              <w:t>22</w:t>
            </w:r>
          </w:p>
        </w:tc>
        <w:tc>
          <w:tcPr>
            <w:tcW w:w="610"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3.5 (1.7)</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20</w:t>
            </w:r>
          </w:p>
        </w:tc>
        <w:tc>
          <w:tcPr>
            <w:tcW w:w="551"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4.0 (1.7)</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0.5 (-0.6 to 1.5)</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0.0 (-0.8 to 0.8)</w:t>
            </w:r>
          </w:p>
        </w:tc>
        <w:tc>
          <w:tcPr>
            <w:tcW w:w="683" w:type="pct"/>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ascii="Arial" w:hAnsi="Arial" w:cs="Arial"/>
                <w:color w:val="000000" w:themeColor="text1"/>
                <w:sz w:val="20"/>
                <w:szCs w:val="20"/>
              </w:rPr>
              <w:t>N/A</w:t>
            </w:r>
          </w:p>
        </w:tc>
      </w:tr>
      <w:tr w:rsidR="0003139D" w:rsidRPr="00521F4D" w:rsidTr="00604C0D">
        <w:tblPrEx>
          <w:tblBorders>
            <w:insideV w:val="single" w:sz="4" w:space="0" w:color="auto"/>
          </w:tblBorders>
        </w:tblPrEx>
        <w:trPr>
          <w:trHeight w:val="300"/>
        </w:trPr>
        <w:tc>
          <w:tcPr>
            <w:tcW w:w="710" w:type="pct"/>
            <w:vMerge/>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b/>
                <w:color w:val="000000" w:themeColor="text1"/>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p>
        </w:tc>
        <w:tc>
          <w:tcPr>
            <w:tcW w:w="610"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[0.6 - 7.6]</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[1.2 - 7.2]</w:t>
            </w: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vMerge/>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Stepping time</w:t>
            </w:r>
          </w:p>
          <w:p w:rsidR="0003139D" w:rsidRPr="00521F4D" w:rsidRDefault="0003139D" w:rsidP="00604C0D">
            <w:pPr>
              <w:spacing w:after="0" w:line="240" w:lineRule="auto"/>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(Hours)</w:t>
            </w: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r w:rsidRPr="00521F4D">
              <w:rPr>
                <w:rFonts w:ascii="Arial" w:eastAsia="Times New Roman" w:hAnsi="Arial" w:cs="Arial"/>
                <w:color w:val="000000" w:themeColor="text1"/>
                <w:lang w:eastAsia="en-GB"/>
              </w:rPr>
              <w:t>Baseline</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r w:rsidRPr="00521F4D">
              <w:rPr>
                <w:rFonts w:ascii="Arial" w:eastAsia="Times New Roman" w:hAnsi="Arial" w:cs="Arial"/>
                <w:color w:val="000000" w:themeColor="text1"/>
                <w:lang w:eastAsia="en-GB"/>
              </w:rPr>
              <w:t>26</w:t>
            </w:r>
          </w:p>
        </w:tc>
        <w:tc>
          <w:tcPr>
            <w:tcW w:w="610" w:type="pc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0.9 (0.6)</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28</w:t>
            </w:r>
          </w:p>
        </w:tc>
        <w:tc>
          <w:tcPr>
            <w:tcW w:w="551" w:type="pc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0.8 (0.5)</w:t>
            </w:r>
          </w:p>
        </w:tc>
        <w:tc>
          <w:tcPr>
            <w:tcW w:w="1524" w:type="pct"/>
            <w:gridSpan w:val="4"/>
            <w:vMerge w:val="restart"/>
            <w:tcBorders>
              <w:top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b/>
                <w:color w:val="000000" w:themeColor="text1"/>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p>
        </w:tc>
        <w:tc>
          <w:tcPr>
            <w:tcW w:w="610" w:type="pct"/>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[0.1 - 2.9]</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[0.0 - 2]</w:t>
            </w:r>
          </w:p>
        </w:tc>
        <w:tc>
          <w:tcPr>
            <w:tcW w:w="1524" w:type="pct"/>
            <w:gridSpan w:val="4"/>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b/>
                <w:color w:val="000000" w:themeColor="text1"/>
                <w:lang w:eastAsia="en-GB"/>
              </w:rPr>
            </w:pP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roofErr w:type="spellStart"/>
            <w:r w:rsidRPr="00521F4D">
              <w:rPr>
                <w:rFonts w:ascii="Arial" w:eastAsia="Times New Roman" w:hAnsi="Arial" w:cs="Arial"/>
                <w:color w:val="000000" w:themeColor="text1"/>
                <w:lang w:eastAsia="en-GB"/>
              </w:rPr>
              <w:t>Wk</w:t>
            </w:r>
            <w:proofErr w:type="spellEnd"/>
            <w:r w:rsidRPr="00521F4D">
              <w:rPr>
                <w:rFonts w:ascii="Arial" w:eastAsia="Times New Roman" w:hAnsi="Arial" w:cs="Arial"/>
                <w:color w:val="000000" w:themeColor="text1"/>
                <w:lang w:eastAsia="en-GB"/>
              </w:rPr>
              <w:t xml:space="preserve"> 15</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r w:rsidRPr="00521F4D">
              <w:rPr>
                <w:rFonts w:ascii="Arial" w:eastAsia="Times New Roman" w:hAnsi="Arial" w:cs="Arial"/>
                <w:color w:val="000000" w:themeColor="text1"/>
                <w:lang w:eastAsia="en-GB"/>
              </w:rPr>
              <w:t>23</w:t>
            </w:r>
          </w:p>
        </w:tc>
        <w:tc>
          <w:tcPr>
            <w:tcW w:w="610"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0.9 (0.9)</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23</w:t>
            </w:r>
          </w:p>
        </w:tc>
        <w:tc>
          <w:tcPr>
            <w:tcW w:w="551"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0.8 (0.5)</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0.5 (-0.6 to 1.5)</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0.0 (-0.2 to 0.2)</w:t>
            </w:r>
          </w:p>
        </w:tc>
        <w:tc>
          <w:tcPr>
            <w:tcW w:w="683" w:type="pct"/>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ascii="Arial" w:hAnsi="Arial" w:cs="Arial"/>
                <w:color w:val="000000" w:themeColor="text1"/>
                <w:sz w:val="20"/>
                <w:szCs w:val="20"/>
              </w:rPr>
              <w:t>N/A</w:t>
            </w:r>
          </w:p>
        </w:tc>
      </w:tr>
      <w:tr w:rsidR="0003139D" w:rsidRPr="00521F4D" w:rsidTr="00604C0D">
        <w:tblPrEx>
          <w:tblBorders>
            <w:insideV w:val="single" w:sz="4" w:space="0" w:color="auto"/>
          </w:tblBorders>
        </w:tblPrEx>
        <w:trPr>
          <w:trHeight w:val="300"/>
        </w:trPr>
        <w:tc>
          <w:tcPr>
            <w:tcW w:w="710" w:type="pct"/>
            <w:vMerge/>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b/>
                <w:color w:val="000000" w:themeColor="text1"/>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p>
        </w:tc>
        <w:tc>
          <w:tcPr>
            <w:tcW w:w="610"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[0.1 - 3]</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[0.0 - 1.9]</w:t>
            </w: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vMerge/>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b/>
                <w:color w:val="000000" w:themeColor="text1"/>
                <w:lang w:eastAsia="en-GB"/>
              </w:rPr>
            </w:pP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roofErr w:type="spellStart"/>
            <w:r w:rsidRPr="00521F4D">
              <w:rPr>
                <w:rFonts w:ascii="Arial" w:eastAsia="Times New Roman" w:hAnsi="Arial" w:cs="Arial"/>
                <w:color w:val="000000" w:themeColor="text1"/>
                <w:lang w:eastAsia="en-GB"/>
              </w:rPr>
              <w:t>Wk</w:t>
            </w:r>
            <w:proofErr w:type="spellEnd"/>
            <w:r w:rsidRPr="00521F4D">
              <w:rPr>
                <w:rFonts w:ascii="Arial" w:eastAsia="Times New Roman" w:hAnsi="Arial" w:cs="Arial"/>
                <w:color w:val="000000" w:themeColor="text1"/>
                <w:lang w:eastAsia="en-GB"/>
              </w:rPr>
              <w:t xml:space="preserve"> 27</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r w:rsidRPr="00521F4D">
              <w:rPr>
                <w:rFonts w:ascii="Arial" w:eastAsia="Times New Roman" w:hAnsi="Arial" w:cs="Arial"/>
                <w:color w:val="000000" w:themeColor="text1"/>
                <w:lang w:eastAsia="en-GB"/>
              </w:rPr>
              <w:t>22</w:t>
            </w:r>
          </w:p>
        </w:tc>
        <w:tc>
          <w:tcPr>
            <w:tcW w:w="610" w:type="pc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0.8 (0.7)</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20</w:t>
            </w:r>
          </w:p>
        </w:tc>
        <w:tc>
          <w:tcPr>
            <w:tcW w:w="551" w:type="pc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1.0 (0.5)</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0.2 (-0.2 to 0.5)</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0.2 (-0.1 to 0.4)</w:t>
            </w:r>
          </w:p>
        </w:tc>
        <w:tc>
          <w:tcPr>
            <w:tcW w:w="683" w:type="pct"/>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ascii="Arial" w:hAnsi="Arial" w:cs="Arial"/>
                <w:color w:val="000000" w:themeColor="text1"/>
                <w:sz w:val="20"/>
                <w:szCs w:val="20"/>
              </w:rPr>
              <w:t>N/A</w:t>
            </w:r>
          </w:p>
        </w:tc>
      </w:tr>
      <w:tr w:rsidR="0003139D" w:rsidRPr="00521F4D" w:rsidTr="00604C0D">
        <w:tblPrEx>
          <w:tblBorders>
            <w:insideV w:val="single" w:sz="4" w:space="0" w:color="auto"/>
          </w:tblBorders>
        </w:tblPrEx>
        <w:trPr>
          <w:trHeight w:val="300"/>
        </w:trPr>
        <w:tc>
          <w:tcPr>
            <w:tcW w:w="710"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b/>
                <w:color w:val="000000" w:themeColor="text1"/>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p>
        </w:tc>
        <w:tc>
          <w:tcPr>
            <w:tcW w:w="610" w:type="pct"/>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[0.1 – 3.0]</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[0.1 - 2.2]</w:t>
            </w: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vMerge/>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val="restart"/>
            <w:tcBorders>
              <w:top w:val="single" w:sz="4" w:space="0" w:color="auto"/>
              <w:bottom w:val="nil"/>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lastRenderedPageBreak/>
              <w:t xml:space="preserve">Sit to stand </w:t>
            </w:r>
          </w:p>
          <w:p w:rsidR="0003139D" w:rsidRPr="00521F4D" w:rsidRDefault="0003139D" w:rsidP="00604C0D">
            <w:pPr>
              <w:spacing w:after="0" w:line="240" w:lineRule="auto"/>
              <w:rPr>
                <w:rFonts w:ascii="Arial" w:eastAsia="Times New Roman" w:hAnsi="Arial" w:cs="Arial"/>
                <w:b/>
                <w:bCs/>
                <w:color w:val="000000" w:themeColor="text1"/>
                <w:lang w:eastAsia="en-GB"/>
              </w:rPr>
            </w:pPr>
            <w:r w:rsidRPr="00521F4D">
              <w:rPr>
                <w:rFonts w:ascii="Arial" w:eastAsia="Times New Roman" w:hAnsi="Arial" w:cs="Arial"/>
                <w:b/>
                <w:bCs/>
                <w:color w:val="000000" w:themeColor="text1"/>
                <w:lang w:eastAsia="en-GB"/>
              </w:rPr>
              <w:t>(Transitions)</w:t>
            </w: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r w:rsidRPr="00521F4D">
              <w:rPr>
                <w:rFonts w:ascii="Arial" w:eastAsia="Times New Roman" w:hAnsi="Arial" w:cs="Arial"/>
                <w:color w:val="000000" w:themeColor="text1"/>
                <w:lang w:eastAsia="en-GB"/>
              </w:rPr>
              <w:t>Baseline</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r w:rsidRPr="00521F4D">
              <w:rPr>
                <w:rFonts w:ascii="Arial" w:eastAsia="Times New Roman" w:hAnsi="Arial" w:cs="Arial"/>
                <w:color w:val="000000" w:themeColor="text1"/>
                <w:lang w:eastAsia="en-GB"/>
              </w:rPr>
              <w:t>26</w:t>
            </w:r>
          </w:p>
        </w:tc>
        <w:tc>
          <w:tcPr>
            <w:tcW w:w="610"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48.2 (16.9)</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28</w:t>
            </w:r>
          </w:p>
        </w:tc>
        <w:tc>
          <w:tcPr>
            <w:tcW w:w="551"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48.1 (19.8)</w:t>
            </w:r>
          </w:p>
        </w:tc>
        <w:tc>
          <w:tcPr>
            <w:tcW w:w="1524" w:type="pct"/>
            <w:gridSpan w:val="4"/>
            <w:vMerge w:val="restart"/>
            <w:tcBorders>
              <w:top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tcBorders>
              <w:top w:val="nil"/>
              <w:bottom w:val="nil"/>
            </w:tcBorders>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color w:val="000000" w:themeColor="text1"/>
                <w:sz w:val="20"/>
                <w:szCs w:val="20"/>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p>
        </w:tc>
        <w:tc>
          <w:tcPr>
            <w:tcW w:w="610"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[15.8 - 84.8]</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[17.0 - 95.2]</w:t>
            </w:r>
          </w:p>
        </w:tc>
        <w:tc>
          <w:tcPr>
            <w:tcW w:w="1524" w:type="pct"/>
            <w:gridSpan w:val="4"/>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300"/>
        </w:trPr>
        <w:tc>
          <w:tcPr>
            <w:tcW w:w="710" w:type="pct"/>
            <w:vMerge/>
            <w:tcBorders>
              <w:top w:val="nil"/>
              <w:bottom w:val="nil"/>
            </w:tcBorders>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color w:val="000000" w:themeColor="text1"/>
                <w:sz w:val="20"/>
                <w:szCs w:val="20"/>
                <w:lang w:eastAsia="en-GB"/>
              </w:rPr>
            </w:pP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roofErr w:type="spellStart"/>
            <w:r w:rsidRPr="00521F4D">
              <w:rPr>
                <w:rFonts w:ascii="Arial" w:eastAsia="Times New Roman" w:hAnsi="Arial" w:cs="Arial"/>
                <w:color w:val="000000" w:themeColor="text1"/>
                <w:lang w:eastAsia="en-GB"/>
              </w:rPr>
              <w:t>Wk</w:t>
            </w:r>
            <w:proofErr w:type="spellEnd"/>
            <w:r w:rsidRPr="00521F4D">
              <w:rPr>
                <w:rFonts w:ascii="Arial" w:eastAsia="Times New Roman" w:hAnsi="Arial" w:cs="Arial"/>
                <w:color w:val="000000" w:themeColor="text1"/>
                <w:lang w:eastAsia="en-GB"/>
              </w:rPr>
              <w:t xml:space="preserve"> 15</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r w:rsidRPr="00521F4D">
              <w:rPr>
                <w:rFonts w:ascii="Arial" w:eastAsia="Times New Roman" w:hAnsi="Arial" w:cs="Arial"/>
                <w:color w:val="000000" w:themeColor="text1"/>
                <w:lang w:eastAsia="en-GB"/>
              </w:rPr>
              <w:t>23</w:t>
            </w:r>
          </w:p>
        </w:tc>
        <w:tc>
          <w:tcPr>
            <w:tcW w:w="610"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47.0 (20.8)</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23</w:t>
            </w:r>
          </w:p>
        </w:tc>
        <w:tc>
          <w:tcPr>
            <w:tcW w:w="551"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51.6 (21.6)</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4.6 (-8 to 17.2)</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2.0 (-4.6 to 8.6)</w:t>
            </w:r>
          </w:p>
        </w:tc>
        <w:tc>
          <w:tcPr>
            <w:tcW w:w="683" w:type="pct"/>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ascii="Arial" w:hAnsi="Arial" w:cs="Arial"/>
                <w:color w:val="000000" w:themeColor="text1"/>
                <w:sz w:val="20"/>
                <w:szCs w:val="20"/>
              </w:rPr>
              <w:t>N/A</w:t>
            </w:r>
          </w:p>
        </w:tc>
      </w:tr>
      <w:tr w:rsidR="0003139D" w:rsidRPr="00521F4D" w:rsidTr="00604C0D">
        <w:tblPrEx>
          <w:tblBorders>
            <w:insideV w:val="single" w:sz="4" w:space="0" w:color="auto"/>
          </w:tblBorders>
        </w:tblPrEx>
        <w:trPr>
          <w:trHeight w:val="300"/>
        </w:trPr>
        <w:tc>
          <w:tcPr>
            <w:tcW w:w="710" w:type="pct"/>
            <w:vMerge/>
            <w:tcBorders>
              <w:top w:val="nil"/>
              <w:bottom w:val="nil"/>
            </w:tcBorders>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color w:val="000000" w:themeColor="text1"/>
                <w:sz w:val="20"/>
                <w:szCs w:val="20"/>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p>
        </w:tc>
        <w:tc>
          <w:tcPr>
            <w:tcW w:w="610"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[18.8 - 101.5]</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p>
        </w:tc>
        <w:tc>
          <w:tcPr>
            <w:tcW w:w="551"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[17.2 - 101]</w:t>
            </w: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eastAsia="Times New Roman"/>
                <w:color w:val="000000" w:themeColor="text1"/>
                <w:lang w:eastAsia="en-GB"/>
              </w:rPr>
            </w:pPr>
          </w:p>
        </w:tc>
        <w:tc>
          <w:tcPr>
            <w:tcW w:w="683" w:type="pct"/>
            <w:vMerge/>
            <w:tcBorders>
              <w:bottom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p>
        </w:tc>
      </w:tr>
      <w:tr w:rsidR="0003139D" w:rsidRPr="00521F4D" w:rsidTr="00604C0D">
        <w:tblPrEx>
          <w:tblBorders>
            <w:insideV w:val="single" w:sz="4" w:space="0" w:color="auto"/>
          </w:tblBorders>
        </w:tblPrEx>
        <w:trPr>
          <w:trHeight w:val="70"/>
        </w:trPr>
        <w:tc>
          <w:tcPr>
            <w:tcW w:w="710" w:type="pct"/>
            <w:vMerge/>
            <w:tcBorders>
              <w:top w:val="nil"/>
              <w:bottom w:val="nil"/>
            </w:tcBorders>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color w:val="000000" w:themeColor="text1"/>
                <w:sz w:val="20"/>
                <w:szCs w:val="20"/>
                <w:lang w:eastAsia="en-GB"/>
              </w:rPr>
            </w:pPr>
          </w:p>
        </w:tc>
        <w:tc>
          <w:tcPr>
            <w:tcW w:w="406"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lang w:eastAsia="en-GB"/>
              </w:rPr>
            </w:pPr>
            <w:proofErr w:type="spellStart"/>
            <w:r w:rsidRPr="00521F4D">
              <w:rPr>
                <w:rFonts w:ascii="Arial" w:eastAsia="Times New Roman" w:hAnsi="Arial" w:cs="Arial"/>
                <w:color w:val="000000" w:themeColor="text1"/>
                <w:lang w:eastAsia="en-GB"/>
              </w:rPr>
              <w:t>Wk</w:t>
            </w:r>
            <w:proofErr w:type="spellEnd"/>
            <w:r w:rsidRPr="00521F4D">
              <w:rPr>
                <w:rFonts w:ascii="Arial" w:eastAsia="Times New Roman" w:hAnsi="Arial" w:cs="Arial"/>
                <w:color w:val="000000" w:themeColor="text1"/>
                <w:lang w:eastAsia="en-GB"/>
              </w:rPr>
              <w:t xml:space="preserve"> 27</w:t>
            </w:r>
          </w:p>
        </w:tc>
        <w:tc>
          <w:tcPr>
            <w:tcW w:w="203" w:type="pct"/>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lang w:eastAsia="en-GB"/>
              </w:rPr>
            </w:pPr>
            <w:r w:rsidRPr="00521F4D">
              <w:rPr>
                <w:rFonts w:ascii="Arial" w:eastAsia="Times New Roman" w:hAnsi="Arial" w:cs="Arial"/>
                <w:color w:val="000000" w:themeColor="text1"/>
                <w:lang w:eastAsia="en-GB"/>
              </w:rPr>
              <w:t>22</w:t>
            </w:r>
          </w:p>
        </w:tc>
        <w:tc>
          <w:tcPr>
            <w:tcW w:w="610"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45.0 (19.8)</w:t>
            </w:r>
          </w:p>
        </w:tc>
        <w:tc>
          <w:tcPr>
            <w:tcW w:w="313" w:type="pct"/>
            <w:gridSpan w:val="4"/>
            <w:vMerge w:val="restart"/>
            <w:tcBorders>
              <w:top w:val="single" w:sz="4" w:space="0" w:color="auto"/>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20</w:t>
            </w:r>
          </w:p>
        </w:tc>
        <w:tc>
          <w:tcPr>
            <w:tcW w:w="551" w:type="pct"/>
            <w:tcBorders>
              <w:top w:val="single" w:sz="4" w:space="0" w:color="auto"/>
              <w:bottom w:val="nil"/>
            </w:tcBorders>
            <w:shd w:val="clear" w:color="auto" w:fill="auto"/>
            <w:noWrap/>
            <w:vAlign w:val="center"/>
            <w:hideMark/>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56.2 (20.2)</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11.1 (-1.4 to 23.6)</w:t>
            </w:r>
          </w:p>
        </w:tc>
        <w:tc>
          <w:tcPr>
            <w:tcW w:w="762" w:type="pct"/>
            <w:gridSpan w:val="2"/>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eastAsia="Times New Roman"/>
                <w:color w:val="000000" w:themeColor="text1"/>
                <w:lang w:eastAsia="en-GB"/>
              </w:rPr>
              <w:t>4.7 (-4.1 to 13.6)</w:t>
            </w:r>
          </w:p>
        </w:tc>
        <w:tc>
          <w:tcPr>
            <w:tcW w:w="683" w:type="pct"/>
            <w:vMerge w:val="restart"/>
            <w:tcBorders>
              <w:top w:val="single" w:sz="4" w:space="0" w:color="auto"/>
            </w:tcBorders>
            <w:vAlign w:val="center"/>
          </w:tcPr>
          <w:p w:rsidR="0003139D" w:rsidRPr="00521F4D" w:rsidRDefault="0003139D" w:rsidP="00604C0D">
            <w:pPr>
              <w:spacing w:after="0" w:line="240" w:lineRule="auto"/>
              <w:jc w:val="center"/>
              <w:rPr>
                <w:rFonts w:eastAsia="Times New Roman"/>
                <w:color w:val="000000" w:themeColor="text1"/>
                <w:lang w:eastAsia="en-GB"/>
              </w:rPr>
            </w:pPr>
            <w:r w:rsidRPr="00521F4D">
              <w:rPr>
                <w:rFonts w:ascii="Arial" w:hAnsi="Arial" w:cs="Arial"/>
                <w:color w:val="000000" w:themeColor="text1"/>
                <w:sz w:val="20"/>
                <w:szCs w:val="20"/>
              </w:rPr>
              <w:t>N/A</w:t>
            </w:r>
          </w:p>
        </w:tc>
      </w:tr>
      <w:tr w:rsidR="0003139D" w:rsidRPr="00521F4D" w:rsidTr="00604C0D">
        <w:tblPrEx>
          <w:tblBorders>
            <w:insideV w:val="single" w:sz="4" w:space="0" w:color="auto"/>
          </w:tblBorders>
        </w:tblPrEx>
        <w:trPr>
          <w:trHeight w:val="300"/>
        </w:trPr>
        <w:tc>
          <w:tcPr>
            <w:tcW w:w="710" w:type="pct"/>
            <w:vMerge/>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right"/>
              <w:rPr>
                <w:rFonts w:ascii="Arial" w:eastAsia="Times New Roman" w:hAnsi="Arial" w:cs="Arial"/>
                <w:color w:val="000000" w:themeColor="text1"/>
                <w:sz w:val="20"/>
                <w:szCs w:val="20"/>
                <w:lang w:eastAsia="en-GB"/>
              </w:rPr>
            </w:pPr>
          </w:p>
        </w:tc>
        <w:tc>
          <w:tcPr>
            <w:tcW w:w="406"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rPr>
                <w:rFonts w:ascii="Arial" w:eastAsia="Times New Roman" w:hAnsi="Arial" w:cs="Arial"/>
                <w:color w:val="000000" w:themeColor="text1"/>
                <w:sz w:val="20"/>
                <w:szCs w:val="20"/>
                <w:lang w:eastAsia="en-GB"/>
              </w:rPr>
            </w:pPr>
          </w:p>
        </w:tc>
        <w:tc>
          <w:tcPr>
            <w:tcW w:w="203" w:type="pct"/>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10"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[17.3 - 84.8]</w:t>
            </w:r>
          </w:p>
        </w:tc>
        <w:tc>
          <w:tcPr>
            <w:tcW w:w="313" w:type="pct"/>
            <w:gridSpan w:val="4"/>
            <w:vMerge/>
            <w:tcBorders>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551" w:type="pct"/>
            <w:tcBorders>
              <w:top w:val="nil"/>
              <w:bottom w:val="single" w:sz="4" w:space="0" w:color="auto"/>
            </w:tcBorders>
            <w:shd w:val="clear" w:color="auto" w:fill="auto"/>
            <w:noWrap/>
            <w:vAlign w:val="center"/>
            <w:hideMark/>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r w:rsidRPr="00521F4D">
              <w:rPr>
                <w:rFonts w:ascii="Arial" w:eastAsia="Times New Roman" w:hAnsi="Arial" w:cs="Arial"/>
                <w:color w:val="000000" w:themeColor="text1"/>
                <w:sz w:val="20"/>
                <w:szCs w:val="20"/>
                <w:lang w:eastAsia="en-GB"/>
              </w:rPr>
              <w:t>[15.0 - 101.5]</w:t>
            </w: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762" w:type="pct"/>
            <w:gridSpan w:val="2"/>
            <w:vMerge/>
            <w:tcBorders>
              <w:bottom w:val="single" w:sz="4" w:space="0" w:color="auto"/>
            </w:tcBorders>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c>
          <w:tcPr>
            <w:tcW w:w="683" w:type="pct"/>
            <w:vMerge/>
            <w:tcBorders>
              <w:bottom w:val="single" w:sz="4" w:space="0" w:color="auto"/>
            </w:tcBorders>
          </w:tcPr>
          <w:p w:rsidR="0003139D" w:rsidRPr="00521F4D" w:rsidRDefault="0003139D" w:rsidP="00604C0D">
            <w:pPr>
              <w:spacing w:after="0" w:line="240" w:lineRule="auto"/>
              <w:jc w:val="center"/>
              <w:rPr>
                <w:rFonts w:ascii="Arial" w:eastAsia="Times New Roman" w:hAnsi="Arial" w:cs="Arial"/>
                <w:color w:val="000000" w:themeColor="text1"/>
                <w:sz w:val="20"/>
                <w:szCs w:val="20"/>
                <w:lang w:eastAsia="en-GB"/>
              </w:rPr>
            </w:pPr>
          </w:p>
        </w:tc>
      </w:tr>
    </w:tbl>
    <w:p w:rsidR="0003139D" w:rsidRPr="00521F4D" w:rsidRDefault="0003139D" w:rsidP="0003139D">
      <w:pPr>
        <w:spacing w:after="0" w:line="240" w:lineRule="auto"/>
        <w:rPr>
          <w:color w:val="000000" w:themeColor="text1"/>
          <w:vertAlign w:val="superscript"/>
        </w:rPr>
      </w:pPr>
      <w:r w:rsidRPr="00521F4D">
        <w:rPr>
          <w:rFonts w:ascii="Arial" w:hAnsi="Arial" w:cs="Arial"/>
          <w:color w:val="000000" w:themeColor="text1"/>
          <w:sz w:val="20"/>
          <w:szCs w:val="20"/>
          <w:vertAlign w:val="superscript"/>
        </w:rPr>
        <w:t xml:space="preserve">2MWT: two minute timed walk test; </w:t>
      </w:r>
      <w:proofErr w:type="spellStart"/>
      <w:r w:rsidRPr="00521F4D">
        <w:rPr>
          <w:rFonts w:ascii="Arial" w:hAnsi="Arial" w:cs="Arial"/>
          <w:color w:val="000000" w:themeColor="text1"/>
          <w:sz w:val="20"/>
          <w:szCs w:val="20"/>
          <w:vertAlign w:val="superscript"/>
        </w:rPr>
        <w:t>MiniBEST</w:t>
      </w:r>
      <w:proofErr w:type="spellEnd"/>
      <w:r w:rsidRPr="00521F4D">
        <w:rPr>
          <w:rFonts w:ascii="Arial" w:hAnsi="Arial" w:cs="Arial"/>
          <w:color w:val="000000" w:themeColor="text1"/>
          <w:sz w:val="20"/>
          <w:szCs w:val="20"/>
          <w:vertAlign w:val="superscript"/>
        </w:rPr>
        <w:t xml:space="preserve">: mini balance evaluation systems test; FRT: functional reach test; </w:t>
      </w:r>
      <w:proofErr w:type="spellStart"/>
      <w:r w:rsidRPr="00521F4D">
        <w:rPr>
          <w:rFonts w:ascii="Arial" w:hAnsi="Arial" w:cs="Arial"/>
          <w:color w:val="000000" w:themeColor="text1"/>
          <w:sz w:val="20"/>
          <w:szCs w:val="20"/>
          <w:vertAlign w:val="superscript"/>
        </w:rPr>
        <w:t>FESi</w:t>
      </w:r>
      <w:proofErr w:type="spellEnd"/>
      <w:r w:rsidRPr="00521F4D">
        <w:rPr>
          <w:rFonts w:ascii="Arial" w:hAnsi="Arial" w:cs="Arial"/>
          <w:color w:val="000000" w:themeColor="text1"/>
          <w:sz w:val="20"/>
          <w:szCs w:val="20"/>
          <w:vertAlign w:val="superscript"/>
        </w:rPr>
        <w:t xml:space="preserve">: Falls efficacy scale (international); CPI: community participation indicators; *Results for the 2MWT do not account for sub </w:t>
      </w:r>
      <w:proofErr w:type="gramStart"/>
      <w:r w:rsidRPr="00521F4D">
        <w:rPr>
          <w:rFonts w:ascii="Arial" w:hAnsi="Arial" w:cs="Arial"/>
          <w:color w:val="000000" w:themeColor="text1"/>
          <w:sz w:val="20"/>
          <w:szCs w:val="20"/>
          <w:vertAlign w:val="superscript"/>
        </w:rPr>
        <w:t>2</w:t>
      </w:r>
      <w:proofErr w:type="gramEnd"/>
      <w:r w:rsidRPr="00521F4D">
        <w:rPr>
          <w:rFonts w:ascii="Arial" w:hAnsi="Arial" w:cs="Arial"/>
          <w:color w:val="000000" w:themeColor="text1"/>
          <w:sz w:val="20"/>
          <w:szCs w:val="20"/>
          <w:vertAlign w:val="superscript"/>
        </w:rPr>
        <w:t xml:space="preserve"> minute walk times or assistive devices. </w:t>
      </w:r>
      <w:proofErr w:type="gramStart"/>
      <w:r w:rsidRPr="00521F4D">
        <w:rPr>
          <w:color w:val="000000" w:themeColor="text1"/>
          <w:vertAlign w:val="superscript"/>
        </w:rPr>
        <w:t>a</w:t>
      </w:r>
      <w:proofErr w:type="gramEnd"/>
      <w:r w:rsidRPr="00521F4D">
        <w:rPr>
          <w:color w:val="000000" w:themeColor="text1"/>
          <w:vertAlign w:val="superscript"/>
        </w:rPr>
        <w:t>: decrease in score indicates improvement; b: increase in score indicates improvement; N/A: not available; Unadjusted = the mean difference between the allocated groups (</w:t>
      </w:r>
      <w:proofErr w:type="spellStart"/>
      <w:r w:rsidRPr="00521F4D">
        <w:rPr>
          <w:color w:val="000000" w:themeColor="text1"/>
          <w:vertAlign w:val="superscript"/>
        </w:rPr>
        <w:t>BRiMS</w:t>
      </w:r>
      <w:proofErr w:type="spellEnd"/>
      <w:r w:rsidRPr="00521F4D">
        <w:rPr>
          <w:color w:val="000000" w:themeColor="text1"/>
          <w:vertAlign w:val="superscript"/>
        </w:rPr>
        <w:t xml:space="preserve"> - usual care) with 95% confidence interval for potential primary outcomes. Adjusted = each participants’ baseline score was subtracted from their follow-up score and we report the mean difference between the allocated groups (</w:t>
      </w:r>
      <w:proofErr w:type="spellStart"/>
      <w:r w:rsidRPr="00521F4D">
        <w:rPr>
          <w:color w:val="000000" w:themeColor="text1"/>
          <w:vertAlign w:val="superscript"/>
        </w:rPr>
        <w:t>BRiMS</w:t>
      </w:r>
      <w:proofErr w:type="spellEnd"/>
      <w:r w:rsidRPr="00521F4D">
        <w:rPr>
          <w:color w:val="000000" w:themeColor="text1"/>
          <w:vertAlign w:val="superscript"/>
        </w:rPr>
        <w:t xml:space="preserve"> - usual care) with 95% confidence interval for potential primary outcomes</w:t>
      </w:r>
    </w:p>
    <w:p w:rsidR="00AE2F76" w:rsidRDefault="0003139D"/>
    <w:sectPr w:rsidR="00AE2F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AA4"/>
    <w:rsid w:val="0003139D"/>
    <w:rsid w:val="00564EA3"/>
    <w:rsid w:val="00876AA4"/>
    <w:rsid w:val="00D80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3244</Words>
  <Characters>19206</Characters>
  <Application>Microsoft Office Word</Application>
  <DocSecurity>0</DocSecurity>
  <Lines>835</Lines>
  <Paragraphs>774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GCREDO</dc:creator>
  <cp:lastModifiedBy>GCREDO</cp:lastModifiedBy>
  <cp:revision>2</cp:revision>
  <dcterms:created xsi:type="dcterms:W3CDTF">2020-11-27T03:23:00Z</dcterms:created>
  <dcterms:modified xsi:type="dcterms:W3CDTF">2020-11-27T03:23:00Z</dcterms:modified>
</cp:coreProperties>
</file>