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238567" w14:textId="0244C5B8" w:rsidR="008C0C2C" w:rsidRDefault="008C0C2C">
      <w:r w:rsidRPr="008C0C2C">
        <w:rPr>
          <w:b/>
          <w:bCs/>
        </w:rPr>
        <w:t>Appendix A:</w:t>
      </w:r>
      <w:r w:rsidRPr="008C0C2C">
        <w:t xml:space="preserve"> Description of instruments</w:t>
      </w:r>
      <w:r w:rsidR="00755346">
        <w:t xml:space="preserve"> integrated i</w:t>
      </w:r>
      <w:r w:rsidRPr="008C0C2C">
        <w:t>n t</w:t>
      </w:r>
      <w:r>
        <w:t>he ABLE 2.0 Intervention Program</w:t>
      </w:r>
    </w:p>
    <w:p w14:paraId="672322E1" w14:textId="77777777" w:rsidR="00755346" w:rsidRDefault="00755346"/>
    <w:p w14:paraId="49FDF2C5" w14:textId="047C13AB" w:rsidR="00854551" w:rsidRPr="00854551" w:rsidRDefault="00854551" w:rsidP="00854551">
      <w:pPr>
        <w:pStyle w:val="Overskrift1"/>
        <w:spacing w:line="480" w:lineRule="auto"/>
        <w:rPr>
          <w:lang w:val="en-US"/>
        </w:rPr>
      </w:pPr>
      <w:r>
        <w:rPr>
          <w:lang w:val="en-US"/>
        </w:rPr>
        <w:t xml:space="preserve">Instruments </w:t>
      </w:r>
      <w:r w:rsidR="004A7F3B">
        <w:rPr>
          <w:lang w:val="en-US"/>
        </w:rPr>
        <w:t>in</w:t>
      </w:r>
      <w:r w:rsidR="00755346">
        <w:rPr>
          <w:lang w:val="en-US"/>
        </w:rPr>
        <w:t xml:space="preserve">tegrated </w:t>
      </w:r>
      <w:r>
        <w:rPr>
          <w:lang w:val="en-US"/>
        </w:rPr>
        <w:t xml:space="preserve">in the ABLE 2.0 </w:t>
      </w:r>
      <w:r w:rsidR="008C4E75">
        <w:rPr>
          <w:lang w:val="en-US"/>
        </w:rPr>
        <w:t>i</w:t>
      </w:r>
      <w:r>
        <w:rPr>
          <w:lang w:val="en-US"/>
        </w:rPr>
        <w:t xml:space="preserve">ntervention </w:t>
      </w:r>
      <w:r w:rsidR="008C4E75">
        <w:rPr>
          <w:lang w:val="en-US"/>
        </w:rPr>
        <w:t>p</w:t>
      </w:r>
      <w:r>
        <w:rPr>
          <w:lang w:val="en-US"/>
        </w:rPr>
        <w:t>rogram</w:t>
      </w:r>
    </w:p>
    <w:p w14:paraId="2E575206" w14:textId="77777777" w:rsidR="00854551" w:rsidRPr="00854551" w:rsidRDefault="00854551" w:rsidP="00854551">
      <w:pPr>
        <w:pStyle w:val="Overskrift2"/>
        <w:spacing w:line="480" w:lineRule="auto"/>
        <w:rPr>
          <w:rFonts w:eastAsia="Times New Roman"/>
          <w:lang w:val="en-US"/>
        </w:rPr>
      </w:pPr>
      <w:r w:rsidRPr="00854551">
        <w:rPr>
          <w:rFonts w:eastAsia="Times New Roman"/>
          <w:lang w:val="en-US"/>
        </w:rPr>
        <w:t xml:space="preserve">The ADL Interview </w:t>
      </w:r>
    </w:p>
    <w:p w14:paraId="66F27D94" w14:textId="5E6DE3B4" w:rsidR="00854551" w:rsidRPr="00854551" w:rsidRDefault="00855FF9" w:rsidP="00854551">
      <w:pPr>
        <w:spacing w:line="480" w:lineRule="auto"/>
        <w:rPr>
          <w:rFonts w:ascii="Calibri" w:eastAsia="Calibri" w:hAnsi="Calibri" w:cs="Calibri"/>
          <w:lang w:val="en-US"/>
        </w:rPr>
      </w:pPr>
      <w:r>
        <w:rPr>
          <w:rFonts w:ascii="Calibri" w:eastAsia="Calibri" w:hAnsi="Calibri" w:cs="Calibri"/>
          <w:lang w:val="en-US"/>
        </w:rPr>
        <w:t>The ADL-Interview (</w:t>
      </w:r>
      <w:r w:rsidR="00854551" w:rsidRPr="00854551">
        <w:rPr>
          <w:rFonts w:ascii="Calibri" w:eastAsia="Calibri" w:hAnsi="Calibri" w:cs="Calibri"/>
          <w:lang w:val="en-US"/>
        </w:rPr>
        <w:t>ADL-I</w:t>
      </w:r>
      <w:r>
        <w:rPr>
          <w:rFonts w:ascii="Calibri" w:eastAsia="Calibri" w:hAnsi="Calibri" w:cs="Calibri"/>
          <w:lang w:val="en-US"/>
        </w:rPr>
        <w:t>)</w:t>
      </w:r>
      <w:r w:rsidR="00854551" w:rsidRPr="00854551">
        <w:rPr>
          <w:rFonts w:ascii="Calibri" w:eastAsia="Calibri" w:hAnsi="Calibri" w:cs="Calibri"/>
          <w:lang w:val="en-US"/>
        </w:rPr>
        <w:t xml:space="preserve"> is </w:t>
      </w:r>
      <w:r w:rsidR="008C4E75">
        <w:rPr>
          <w:rFonts w:ascii="Calibri" w:eastAsia="Calibri" w:hAnsi="Calibri" w:cs="Calibri"/>
          <w:lang w:val="en-US"/>
        </w:rPr>
        <w:t xml:space="preserve">used in </w:t>
      </w:r>
      <w:r w:rsidR="00EE1FE3">
        <w:rPr>
          <w:rFonts w:ascii="Calibri" w:eastAsia="Calibri" w:hAnsi="Calibri" w:cs="Calibri"/>
          <w:lang w:val="en-US"/>
        </w:rPr>
        <w:t xml:space="preserve">the first and last </w:t>
      </w:r>
      <w:r w:rsidR="008C4E75">
        <w:rPr>
          <w:rFonts w:ascii="Calibri" w:eastAsia="Calibri" w:hAnsi="Calibri" w:cs="Calibri"/>
          <w:lang w:val="en-US"/>
        </w:rPr>
        <w:t>session</w:t>
      </w:r>
      <w:r w:rsidR="00EE1FE3">
        <w:rPr>
          <w:rFonts w:ascii="Calibri" w:eastAsia="Calibri" w:hAnsi="Calibri" w:cs="Calibri"/>
          <w:lang w:val="en-US"/>
        </w:rPr>
        <w:t>s</w:t>
      </w:r>
      <w:r w:rsidR="008C4E75">
        <w:rPr>
          <w:rFonts w:ascii="Calibri" w:eastAsia="Calibri" w:hAnsi="Calibri" w:cs="Calibri"/>
          <w:lang w:val="en-US"/>
        </w:rPr>
        <w:t xml:space="preserve"> in the ABLE 2.0</w:t>
      </w:r>
      <w:r w:rsidR="00EE1FE3">
        <w:rPr>
          <w:rFonts w:ascii="Calibri" w:eastAsia="Calibri" w:hAnsi="Calibri" w:cs="Calibri"/>
          <w:lang w:val="en-US"/>
        </w:rPr>
        <w:t xml:space="preserve"> intervention program</w:t>
      </w:r>
      <w:r w:rsidR="008C4E75">
        <w:rPr>
          <w:rFonts w:ascii="Calibri" w:eastAsia="Calibri" w:hAnsi="Calibri" w:cs="Calibri"/>
          <w:lang w:val="en-US"/>
        </w:rPr>
        <w:t xml:space="preserve">. </w:t>
      </w:r>
      <w:r w:rsidR="00706A3A">
        <w:rPr>
          <w:rFonts w:ascii="Calibri" w:eastAsia="Calibri" w:hAnsi="Calibri" w:cs="Calibri"/>
          <w:lang w:val="en-US"/>
        </w:rPr>
        <w:t xml:space="preserve">Conducting the ADL-I at session 1 </w:t>
      </w:r>
      <w:r w:rsidR="00706A3A" w:rsidRPr="00706A3A">
        <w:rPr>
          <w:rFonts w:ascii="Calibri" w:eastAsia="Calibri" w:hAnsi="Calibri" w:cs="Calibri"/>
          <w:lang w:val="en-US"/>
        </w:rPr>
        <w:t xml:space="preserve">serve as a starting point for </w:t>
      </w:r>
      <w:r w:rsidR="00706A3A">
        <w:rPr>
          <w:rFonts w:ascii="Calibri" w:eastAsia="Calibri" w:hAnsi="Calibri" w:cs="Calibri"/>
          <w:lang w:val="en-US"/>
        </w:rPr>
        <w:t xml:space="preserve">the collaboration between the </w:t>
      </w:r>
      <w:r w:rsidR="00706A3A" w:rsidRPr="00706A3A">
        <w:rPr>
          <w:rFonts w:ascii="Calibri" w:eastAsia="Calibri" w:hAnsi="Calibri" w:cs="Calibri"/>
          <w:lang w:val="en-US"/>
        </w:rPr>
        <w:t xml:space="preserve">occupational therapist </w:t>
      </w:r>
      <w:r w:rsidR="00706A3A">
        <w:rPr>
          <w:rFonts w:ascii="Calibri" w:eastAsia="Calibri" w:hAnsi="Calibri" w:cs="Calibri"/>
          <w:lang w:val="en-US"/>
        </w:rPr>
        <w:t xml:space="preserve">(OT) and the </w:t>
      </w:r>
      <w:r w:rsidR="00706A3A" w:rsidRPr="00706A3A">
        <w:rPr>
          <w:rFonts w:ascii="Calibri" w:eastAsia="Calibri" w:hAnsi="Calibri" w:cs="Calibri"/>
          <w:lang w:val="en-US"/>
        </w:rPr>
        <w:t>client</w:t>
      </w:r>
      <w:r w:rsidR="00706A3A">
        <w:rPr>
          <w:rFonts w:ascii="Calibri" w:eastAsia="Calibri" w:hAnsi="Calibri" w:cs="Calibri"/>
          <w:lang w:val="en-US"/>
        </w:rPr>
        <w:t xml:space="preserve"> </w:t>
      </w:r>
      <w:r w:rsidR="00706A3A" w:rsidRPr="00706A3A">
        <w:rPr>
          <w:rFonts w:ascii="Calibri" w:eastAsia="Calibri" w:hAnsi="Calibri" w:cs="Calibri"/>
          <w:lang w:val="en-US"/>
        </w:rPr>
        <w:t>identify</w:t>
      </w:r>
      <w:r w:rsidR="00706A3A">
        <w:rPr>
          <w:rFonts w:ascii="Calibri" w:eastAsia="Calibri" w:hAnsi="Calibri" w:cs="Calibri"/>
          <w:lang w:val="en-US"/>
        </w:rPr>
        <w:t>ing</w:t>
      </w:r>
      <w:r w:rsidR="00706A3A" w:rsidRPr="00706A3A">
        <w:rPr>
          <w:rFonts w:ascii="Calibri" w:eastAsia="Calibri" w:hAnsi="Calibri" w:cs="Calibri"/>
          <w:lang w:val="en-US"/>
        </w:rPr>
        <w:t xml:space="preserve"> </w:t>
      </w:r>
      <w:r w:rsidR="00706A3A">
        <w:rPr>
          <w:rFonts w:ascii="Calibri" w:eastAsia="Calibri" w:hAnsi="Calibri" w:cs="Calibri"/>
          <w:lang w:val="en-US"/>
        </w:rPr>
        <w:t xml:space="preserve">which </w:t>
      </w:r>
      <w:r w:rsidR="00706A3A" w:rsidRPr="00706A3A">
        <w:rPr>
          <w:rFonts w:ascii="Calibri" w:eastAsia="Calibri" w:hAnsi="Calibri" w:cs="Calibri"/>
          <w:lang w:val="en-US"/>
        </w:rPr>
        <w:t>A</w:t>
      </w:r>
      <w:r w:rsidR="006A39C8">
        <w:rPr>
          <w:rFonts w:ascii="Calibri" w:eastAsia="Calibri" w:hAnsi="Calibri" w:cs="Calibri"/>
          <w:lang w:val="en-US"/>
        </w:rPr>
        <w:t xml:space="preserve">ctivities of Daily Living (ADL) task performance </w:t>
      </w:r>
      <w:r w:rsidR="00706A3A" w:rsidRPr="00706A3A">
        <w:rPr>
          <w:rFonts w:ascii="Calibri" w:eastAsia="Calibri" w:hAnsi="Calibri" w:cs="Calibri"/>
          <w:lang w:val="en-US"/>
        </w:rPr>
        <w:t xml:space="preserve">problems to be </w:t>
      </w:r>
      <w:r w:rsidR="00706A3A">
        <w:rPr>
          <w:rFonts w:ascii="Calibri" w:eastAsia="Calibri" w:hAnsi="Calibri" w:cs="Calibri"/>
          <w:lang w:val="en-US"/>
        </w:rPr>
        <w:t xml:space="preserve">focusing </w:t>
      </w:r>
      <w:r w:rsidR="00706A3A" w:rsidRPr="00706A3A">
        <w:rPr>
          <w:rFonts w:ascii="Calibri" w:eastAsia="Calibri" w:hAnsi="Calibri" w:cs="Calibri"/>
          <w:lang w:val="en-US"/>
        </w:rPr>
        <w:t xml:space="preserve">on and set goals for </w:t>
      </w:r>
      <w:r w:rsidR="00706A3A">
        <w:rPr>
          <w:rFonts w:ascii="Calibri" w:eastAsia="Calibri" w:hAnsi="Calibri" w:cs="Calibri"/>
          <w:lang w:val="en-US"/>
        </w:rPr>
        <w:t>in the intervention</w:t>
      </w:r>
      <w:r w:rsidR="00706A3A" w:rsidRPr="00706A3A">
        <w:rPr>
          <w:rFonts w:ascii="Calibri" w:eastAsia="Calibri" w:hAnsi="Calibri" w:cs="Calibri"/>
          <w:lang w:val="en-US"/>
        </w:rPr>
        <w:t>.</w:t>
      </w:r>
      <w:r w:rsidR="00706A3A" w:rsidRPr="00706A3A">
        <w:rPr>
          <w:rFonts w:ascii="Calibri" w:eastAsia="Calibri" w:hAnsi="Calibri" w:cs="Calibri"/>
          <w:lang w:val="en-US"/>
        </w:rPr>
        <w:t xml:space="preserve"> </w:t>
      </w:r>
      <w:r w:rsidR="00706A3A">
        <w:rPr>
          <w:rFonts w:ascii="Calibri" w:eastAsia="Calibri" w:hAnsi="Calibri" w:cs="Calibri"/>
          <w:lang w:val="en-US"/>
        </w:rPr>
        <w:t xml:space="preserve">ADL-I </w:t>
      </w:r>
      <w:r w:rsidR="008C4E75">
        <w:rPr>
          <w:rFonts w:ascii="Calibri" w:eastAsia="Calibri" w:hAnsi="Calibri" w:cs="Calibri"/>
          <w:lang w:val="en-US"/>
        </w:rPr>
        <w:t xml:space="preserve">is </w:t>
      </w:r>
      <w:r w:rsidR="00854551" w:rsidRPr="00854551">
        <w:rPr>
          <w:rFonts w:ascii="Calibri" w:eastAsia="Calibri" w:hAnsi="Calibri" w:cs="Calibri"/>
          <w:lang w:val="en-US"/>
        </w:rPr>
        <w:t xml:space="preserve">a </w:t>
      </w:r>
      <w:r w:rsidR="00854551" w:rsidRPr="00854551">
        <w:rPr>
          <w:rFonts w:ascii="Calibri" w:eastAsia="Calibri" w:hAnsi="Calibri" w:cs="Calibri"/>
        </w:rPr>
        <w:t>standardised</w:t>
      </w:r>
      <w:r w:rsidR="00854551" w:rsidRPr="00854551">
        <w:rPr>
          <w:rFonts w:ascii="Calibri" w:eastAsia="Calibri" w:hAnsi="Calibri" w:cs="Calibri"/>
          <w:lang w:val="en-US"/>
        </w:rPr>
        <w:t xml:space="preserve"> evaluation tool, used by </w:t>
      </w:r>
      <w:r w:rsidR="00755346">
        <w:rPr>
          <w:rFonts w:ascii="Calibri" w:eastAsia="Calibri" w:hAnsi="Calibri" w:cs="Calibri"/>
          <w:lang w:val="en-US"/>
        </w:rPr>
        <w:t>OTs</w:t>
      </w:r>
      <w:r w:rsidR="00854551" w:rsidRPr="00854551">
        <w:rPr>
          <w:rFonts w:ascii="Calibri" w:eastAsia="Calibri" w:hAnsi="Calibri" w:cs="Calibri"/>
          <w:lang w:val="en-US"/>
        </w:rPr>
        <w:t xml:space="preserve">, to describe and measure the self-reported quality of </w:t>
      </w:r>
      <w:r w:rsidR="008C4E75">
        <w:rPr>
          <w:rFonts w:ascii="Calibri" w:eastAsia="Calibri" w:hAnsi="Calibri" w:cs="Calibri"/>
          <w:lang w:val="en-US"/>
        </w:rPr>
        <w:t xml:space="preserve">ADL </w:t>
      </w:r>
      <w:r w:rsidR="00854551" w:rsidRPr="00854551">
        <w:rPr>
          <w:rFonts w:ascii="Calibri" w:eastAsia="Calibri" w:hAnsi="Calibri" w:cs="Calibri"/>
          <w:lang w:val="en-US"/>
        </w:rPr>
        <w:t>task p</w:t>
      </w:r>
      <w:bookmarkStart w:id="0" w:name="_GoBack"/>
      <w:bookmarkEnd w:id="0"/>
      <w:r w:rsidR="00854551" w:rsidRPr="00854551">
        <w:rPr>
          <w:rFonts w:ascii="Calibri" w:eastAsia="Calibri" w:hAnsi="Calibri" w:cs="Calibri"/>
          <w:lang w:val="en-US"/>
        </w:rPr>
        <w:t xml:space="preserve">erformance </w:t>
      </w:r>
      <w:r w:rsidR="00854551" w:rsidRPr="00854551">
        <w:rPr>
          <w:rFonts w:ascii="Calibri" w:eastAsia="Calibri" w:hAnsi="Calibri" w:cs="Calibri"/>
          <w:lang w:val="en-US"/>
        </w:rPr>
        <w:fldChar w:fldCharType="begin" w:fldLock="1"/>
      </w:r>
      <w:r w:rsidR="006A39C8">
        <w:rPr>
          <w:rFonts w:ascii="Calibri" w:eastAsia="Calibri" w:hAnsi="Calibri" w:cs="Calibri"/>
          <w:lang w:val="en-US"/>
        </w:rPr>
        <w:instrText>ADDIN CSL_CITATION {"citationItems":[{"id":"ITEM-1","itemData":{"ISBN":"9789172649934","author":[{"dropping-particle":"","family":"Wæhrens","given":"E. E.","non-dropping-particle":"","parse-names":false,"suffix":""}],"id":"ITEM-1","issued":{"date-parts":[["2010"]]},"publisher":"Department of Community Medicine and Rehabilitation, Umeå University","publisher-place":"Sweden, Umeå","title":"Measuring quality of occupational performance based on self-report and observation. Development and validation of instruments to evaluate ADL task performance","type":"book"},"uris":["http://www.mendeley.com/documents/?uuid=c0ea2bca-64e6-4156-b5c8-7c8bed0dca47"]},{"id":"ITEM-2","itemData":{"author":[{"dropping-particle":"","family":"Wæhrens","given":"Eva Ejlersen","non-dropping-particle":"","parse-names":false,"suffix":""},{"dropping-particle":"","family":"Nielsen","given":"Kristina Tomra","non-dropping-particle":"","parse-names":false,"suffix":""}],"container-title":"ACE Copenhagen","id":"ITEM-2","issued":{"date-parts":[["2020"]]},"title":"ADL-Interview (ADL-I). Klinisk version 1.0 - Introduktion, ADL-I og administration","type":"webpage"},"uris":["http://www.mendeley.com/documents/?uuid=7ffb7c6c-3e3f-4adc-8738-7f84ceb487bb"]}],"mendeley":{"formattedCitation":"(1,2)","plainTextFormattedCitation":"(1,2)","previouslyFormattedCitation":"(1,2)"},"properties":{"noteIndex":0},"schema":"https://github.com/citation-style-language/schema/raw/master/csl-citation.json"}</w:instrText>
      </w:r>
      <w:r w:rsidR="00854551" w:rsidRPr="00854551">
        <w:rPr>
          <w:rFonts w:ascii="Calibri" w:eastAsia="Calibri" w:hAnsi="Calibri" w:cs="Calibri"/>
          <w:lang w:val="en-US"/>
        </w:rPr>
        <w:fldChar w:fldCharType="separate"/>
      </w:r>
      <w:r w:rsidR="00854551" w:rsidRPr="00854551">
        <w:rPr>
          <w:rFonts w:ascii="Calibri" w:eastAsia="Calibri" w:hAnsi="Calibri" w:cs="Calibri"/>
          <w:noProof/>
          <w:lang w:val="en-US"/>
        </w:rPr>
        <w:t>(1,2)</w:t>
      </w:r>
      <w:r w:rsidR="00854551" w:rsidRPr="00854551">
        <w:rPr>
          <w:rFonts w:ascii="Calibri" w:eastAsia="Calibri" w:hAnsi="Calibri" w:cs="Calibri"/>
          <w:lang w:val="en-US"/>
        </w:rPr>
        <w:fldChar w:fldCharType="end"/>
      </w:r>
      <w:r w:rsidR="00854551" w:rsidRPr="00854551">
        <w:rPr>
          <w:rFonts w:ascii="Calibri" w:eastAsia="Calibri" w:hAnsi="Calibri" w:cs="Calibri"/>
          <w:lang w:val="en-US"/>
        </w:rPr>
        <w:t xml:space="preserve">, in terms of  physical effort and/or fatigue, efficiency, safety and independence. In the ADL-I, the clients report their perceived ADL ability for each of 47 ADL items using the following seven response categories: (a) I perform the task independently without use of extra time or effort and without risk; (b) I perform the task independently but I use helping aids; (c) I perform the task independently but it takes me extra time; (d) I perform the task independently but I use extra effort/get tired; (e) I perform the task independently but there is a risk that I might injure myself; (f) I need assistance from someone but do participate; and (g) the task is performed by others for me – I cannot participate actively. The </w:t>
      </w:r>
      <w:r w:rsidR="008C4E75">
        <w:rPr>
          <w:rFonts w:ascii="Calibri" w:eastAsia="Calibri" w:hAnsi="Calibri" w:cs="Calibri"/>
          <w:lang w:val="en-US"/>
        </w:rPr>
        <w:t>client</w:t>
      </w:r>
      <w:r w:rsidR="00854551" w:rsidRPr="00854551">
        <w:rPr>
          <w:rFonts w:ascii="Calibri" w:eastAsia="Calibri" w:hAnsi="Calibri" w:cs="Calibri"/>
          <w:lang w:val="en-US"/>
        </w:rPr>
        <w:t xml:space="preserve"> can mark more than one response category if several apply to their performance of the specific ADL task (e.g. mark both c and d if they spend extra time and get tired) </w:t>
      </w:r>
      <w:r w:rsidR="00854551" w:rsidRPr="00854551">
        <w:rPr>
          <w:rFonts w:ascii="Calibri" w:eastAsia="Calibri" w:hAnsi="Calibri" w:cs="Calibri"/>
          <w:lang w:val="en-US"/>
        </w:rPr>
        <w:fldChar w:fldCharType="begin" w:fldLock="1"/>
      </w:r>
      <w:r w:rsidR="006A39C8">
        <w:rPr>
          <w:rFonts w:ascii="Calibri" w:eastAsia="Calibri" w:hAnsi="Calibri" w:cs="Calibri"/>
          <w:lang w:val="en-US"/>
        </w:rPr>
        <w:instrText>ADDIN CSL_CITATION {"citationItems":[{"id":"ITEM-1","itemData":{"ISBN":"9789172649934","author":[{"dropping-particle":"","family":"Wæhrens","given":"E. E.","non-dropping-particle":"","parse-names":false,"suffix":""}],"id":"ITEM-1","issued":{"date-parts":[["2010"]]},"publisher":"Department of Community Medicine and Rehabilitation, Umeå University","publisher-place":"Sweden, Umeå","title":"Measuring quality of occupational performance based on self-report and observation. Development and validation of instruments to evaluate ADL task performance","type":"book"},"uris":["http://www.mendeley.com/documents/?uuid=c0ea2bca-64e6-4156-b5c8-7c8bed0dca47"]},{"id":"ITEM-2","itemData":{"author":[{"dropping-particle":"","family":"Wæhrens","given":"Eva Ejlersen","non-dropping-particle":"","parse-names":false,"suffix":""},{"dropping-particle":"","family":"Nielsen","given":"Kristina Tomra","non-dropping-particle":"","parse-names":false,"suffix":""}],"container-title":"ACE Copenhagen","id":"ITEM-2","issued":{"date-parts":[["2020"]]},"title":"ADL-Interview (ADL-I). Klinisk version 1.0 - Introduktion, ADL-I og administration","type":"webpage"},"uris":["http://www.mendeley.com/documents/?uuid=7ffb7c6c-3e3f-4adc-8738-7f84ceb487bb"]}],"mendeley":{"formattedCitation":"(1,2)","plainTextFormattedCitation":"(1,2)","previouslyFormattedCitation":"(1,2)"},"properties":{"noteIndex":0},"schema":"https://github.com/citation-style-language/schema/raw/master/csl-citation.json"}</w:instrText>
      </w:r>
      <w:r w:rsidR="00854551" w:rsidRPr="00854551">
        <w:rPr>
          <w:rFonts w:ascii="Calibri" w:eastAsia="Calibri" w:hAnsi="Calibri" w:cs="Calibri"/>
          <w:lang w:val="en-US"/>
        </w:rPr>
        <w:fldChar w:fldCharType="separate"/>
      </w:r>
      <w:r w:rsidR="00854551" w:rsidRPr="00854551">
        <w:rPr>
          <w:rFonts w:ascii="Calibri" w:eastAsia="Calibri" w:hAnsi="Calibri" w:cs="Calibri"/>
          <w:noProof/>
          <w:lang w:val="en-US"/>
        </w:rPr>
        <w:t>(1,2)</w:t>
      </w:r>
      <w:r w:rsidR="00854551" w:rsidRPr="00854551">
        <w:rPr>
          <w:rFonts w:ascii="Calibri" w:eastAsia="Calibri" w:hAnsi="Calibri" w:cs="Calibri"/>
          <w:lang w:val="en-US"/>
        </w:rPr>
        <w:fldChar w:fldCharType="end"/>
      </w:r>
      <w:r w:rsidR="00854551" w:rsidRPr="00854551">
        <w:rPr>
          <w:rFonts w:ascii="Calibri" w:eastAsia="Calibri" w:hAnsi="Calibri" w:cs="Calibri"/>
          <w:lang w:val="en-US"/>
        </w:rPr>
        <w:t xml:space="preserve">. </w:t>
      </w:r>
    </w:p>
    <w:p w14:paraId="7FC888F4" w14:textId="77777777" w:rsidR="00854551" w:rsidRPr="00854551" w:rsidRDefault="00854551" w:rsidP="00854551">
      <w:pPr>
        <w:spacing w:line="480" w:lineRule="auto"/>
        <w:ind w:firstLine="1304"/>
        <w:rPr>
          <w:rFonts w:ascii="Calibri" w:eastAsia="Calibri" w:hAnsi="Calibri" w:cs="Calibri"/>
          <w:lang w:val="en-US"/>
        </w:rPr>
      </w:pPr>
      <w:r w:rsidRPr="00854551">
        <w:rPr>
          <w:rFonts w:ascii="Calibri" w:eastAsia="Calibri" w:hAnsi="Calibri" w:cs="Calibri"/>
          <w:lang w:val="en-US"/>
        </w:rPr>
        <w:t xml:space="preserve">To create an overall linear measure of self-reported quality of ADL task performance (reported in log-odds probability units; logits), based on Rasch measurement methods, the mark given in the lowest response category on each task is </w:t>
      </w:r>
      <w:r w:rsidRPr="00854551">
        <w:rPr>
          <w:rFonts w:ascii="Calibri" w:eastAsia="Calibri" w:hAnsi="Calibri" w:cs="Calibri"/>
        </w:rPr>
        <w:t>re-scored using an ordinal rating scale from 0 to 3: C</w:t>
      </w:r>
      <w:r w:rsidRPr="00854551">
        <w:rPr>
          <w:rFonts w:ascii="Calibri" w:eastAsia="Calibri" w:hAnsi="Calibri" w:cs="Calibri"/>
          <w:i/>
        </w:rPr>
        <w:t xml:space="preserve">ompetent </w:t>
      </w:r>
      <w:r w:rsidRPr="00854551">
        <w:rPr>
          <w:rFonts w:ascii="Calibri" w:eastAsia="Calibri" w:hAnsi="Calibri" w:cs="Calibri"/>
        </w:rPr>
        <w:t xml:space="preserve">(score =3) covering response categories (a) and (b), </w:t>
      </w:r>
      <w:r w:rsidRPr="00854551">
        <w:rPr>
          <w:rFonts w:ascii="Calibri" w:eastAsia="Calibri" w:hAnsi="Calibri" w:cs="Calibri"/>
          <w:i/>
        </w:rPr>
        <w:t>Using extra time/effort</w:t>
      </w:r>
      <w:r w:rsidRPr="00854551">
        <w:rPr>
          <w:rFonts w:ascii="Calibri" w:eastAsia="Calibri" w:hAnsi="Calibri" w:cs="Calibri"/>
        </w:rPr>
        <w:t xml:space="preserve"> (score=2) covering response categories (c) and (d), </w:t>
      </w:r>
      <w:r w:rsidRPr="00854551">
        <w:rPr>
          <w:rFonts w:ascii="Calibri" w:eastAsia="Calibri" w:hAnsi="Calibri" w:cs="Calibri"/>
          <w:i/>
        </w:rPr>
        <w:t xml:space="preserve">At risk/need help </w:t>
      </w:r>
      <w:r w:rsidRPr="00854551">
        <w:rPr>
          <w:rFonts w:ascii="Calibri" w:eastAsia="Calibri" w:hAnsi="Calibri" w:cs="Calibri"/>
        </w:rPr>
        <w:t xml:space="preserve">(score =1) covering response categories (e) and (f) and </w:t>
      </w:r>
      <w:r w:rsidRPr="00854551">
        <w:rPr>
          <w:rFonts w:ascii="Calibri" w:eastAsia="Calibri" w:hAnsi="Calibri" w:cs="Calibri"/>
          <w:i/>
        </w:rPr>
        <w:t>Unable</w:t>
      </w:r>
      <w:r w:rsidRPr="00854551">
        <w:rPr>
          <w:rFonts w:ascii="Calibri" w:eastAsia="Calibri" w:hAnsi="Calibri" w:cs="Calibri"/>
        </w:rPr>
        <w:t xml:space="preserve"> (score = 0) covering response category (g) </w:t>
      </w:r>
      <w:r w:rsidRPr="00854551">
        <w:rPr>
          <w:rFonts w:ascii="Calibri" w:eastAsia="Calibri" w:hAnsi="Calibri" w:cs="Calibri"/>
          <w:lang w:val="en-US"/>
        </w:rPr>
        <w:fldChar w:fldCharType="begin" w:fldLock="1"/>
      </w:r>
      <w:r>
        <w:rPr>
          <w:rFonts w:ascii="Calibri" w:eastAsia="Calibri" w:hAnsi="Calibri" w:cs="Calibri"/>
          <w:lang w:val="en-US"/>
        </w:rPr>
        <w:instrText>ADDIN CSL_CITATION {"citationItems":[{"id":"ITEM-1","itemData":{"ISBN":"9789172649934","author":[{"dropping-particle":"","family":"Wæhrens","given":"E. E.","non-dropping-particle":"","parse-names":false,"suffix":""}],"id":"ITEM-1","issued":{"date-parts":[["2010"]]},"publisher":"Department of Community Medicine and Rehabilitation, Umeå University","publisher-place":"Sweden, Umeå","title":"Measuring quality of occupational performance based on self-report and observation. Development and validation of instruments to evaluate ADL task performance","type":"book"},"uris":["http://www.mendeley.com/documents/?uuid=c0ea2bca-64e6-4156-b5c8-7c8bed0dca47"]}],"mendeley":{"formattedCitation":"(1)","plainTextFormattedCitation":"(1)","previouslyFormattedCitation":"(1)"},"properties":{"noteIndex":0},"schema":"https://github.com/citation-style-language/schema/raw/master/csl-citation.json"}</w:instrText>
      </w:r>
      <w:r w:rsidRPr="00854551">
        <w:rPr>
          <w:rFonts w:ascii="Calibri" w:eastAsia="Calibri" w:hAnsi="Calibri" w:cs="Calibri"/>
          <w:lang w:val="en-US"/>
        </w:rPr>
        <w:fldChar w:fldCharType="separate"/>
      </w:r>
      <w:r w:rsidRPr="00854551">
        <w:rPr>
          <w:rFonts w:ascii="Calibri" w:eastAsia="Calibri" w:hAnsi="Calibri" w:cs="Calibri"/>
          <w:noProof/>
          <w:lang w:val="en-US"/>
        </w:rPr>
        <w:t>(1)</w:t>
      </w:r>
      <w:r w:rsidRPr="00854551">
        <w:rPr>
          <w:rFonts w:ascii="Calibri" w:eastAsia="Calibri" w:hAnsi="Calibri" w:cs="Calibri"/>
          <w:lang w:val="en-US"/>
        </w:rPr>
        <w:fldChar w:fldCharType="end"/>
      </w:r>
      <w:r w:rsidRPr="00854551">
        <w:rPr>
          <w:rFonts w:ascii="Calibri" w:eastAsia="Calibri" w:hAnsi="Calibri" w:cs="Calibri"/>
          <w:lang w:val="en-US"/>
        </w:rPr>
        <w:t>.</w:t>
      </w:r>
    </w:p>
    <w:p w14:paraId="4B3AF1F3" w14:textId="77777777" w:rsidR="00854551" w:rsidRPr="00854551" w:rsidRDefault="00854551" w:rsidP="00854551">
      <w:pPr>
        <w:spacing w:line="480" w:lineRule="auto"/>
        <w:ind w:firstLine="1304"/>
        <w:rPr>
          <w:rFonts w:ascii="Calibri" w:eastAsia="Calibri" w:hAnsi="Calibri" w:cs="Calibri"/>
          <w:lang w:val="en-US"/>
        </w:rPr>
      </w:pPr>
      <w:r w:rsidRPr="00854551">
        <w:rPr>
          <w:rFonts w:ascii="Calibri" w:eastAsia="Calibri" w:hAnsi="Calibri" w:cs="Calibri"/>
          <w:lang w:val="en-US"/>
        </w:rPr>
        <w:t xml:space="preserve">Moreover, ADL-I can be used to measure the client’s perceived satisfaction with the quality of performance for each of the 47 ADL tasks, using a four-point ordinal satisfaction scale: 4=‘very satisfied’, 3=‘satisfied’, 2=‘dissatisfied’ and 1=‘very dissatisfied’ </w:t>
      </w:r>
      <w:r w:rsidRPr="00854551">
        <w:rPr>
          <w:rFonts w:ascii="Calibri" w:eastAsia="Calibri" w:hAnsi="Calibri" w:cs="Calibri"/>
          <w:lang w:val="en-US"/>
        </w:rPr>
        <w:fldChar w:fldCharType="begin" w:fldLock="1"/>
      </w:r>
      <w:r>
        <w:rPr>
          <w:rFonts w:ascii="Calibri" w:eastAsia="Calibri" w:hAnsi="Calibri" w:cs="Calibri"/>
          <w:lang w:val="en-US"/>
        </w:rPr>
        <w:instrText>ADDIN CSL_CITATION {"citationItems":[{"id":"ITEM-1","itemData":{"ISBN":"9789172649934","author":[{"dropping-particle":"","family":"Wæhrens","given":"E. E.","non-dropping-particle":"","parse-names":false,"suffix":""}],"id":"ITEM-1","issued":{"date-parts":[["2010"]]},"publisher":"Department of Community Medicine and Rehabilitation, Umeå University","publisher-place":"Sweden, Umeå","title":"Measuring quality of occupational performance based on self-report and observation. Development and validation of instruments to evaluate ADL task performance","type":"book"},"uris":["http://www.mendeley.com/documents/?uuid=c0ea2bca-64e6-4156-b5c8-7c8bed0dca47"]}],"mendeley":{"formattedCitation":"(1)","plainTextFormattedCitation":"(1)","previouslyFormattedCitation":"(1)"},"properties":{"noteIndex":0},"schema":"https://github.com/citation-style-language/schema/raw/master/csl-citation.json"}</w:instrText>
      </w:r>
      <w:r w:rsidRPr="00854551">
        <w:rPr>
          <w:rFonts w:ascii="Calibri" w:eastAsia="Calibri" w:hAnsi="Calibri" w:cs="Calibri"/>
          <w:lang w:val="en-US"/>
        </w:rPr>
        <w:fldChar w:fldCharType="separate"/>
      </w:r>
      <w:r w:rsidRPr="00854551">
        <w:rPr>
          <w:rFonts w:ascii="Calibri" w:eastAsia="Calibri" w:hAnsi="Calibri" w:cs="Calibri"/>
          <w:noProof/>
          <w:lang w:val="en-US"/>
        </w:rPr>
        <w:t>(1)</w:t>
      </w:r>
      <w:r w:rsidRPr="00854551">
        <w:rPr>
          <w:rFonts w:ascii="Calibri" w:eastAsia="Calibri" w:hAnsi="Calibri" w:cs="Calibri"/>
          <w:lang w:val="en-US"/>
        </w:rPr>
        <w:fldChar w:fldCharType="end"/>
      </w:r>
      <w:r w:rsidRPr="00854551">
        <w:rPr>
          <w:rFonts w:ascii="Calibri" w:eastAsia="Calibri" w:hAnsi="Calibri" w:cs="Calibri"/>
          <w:lang w:val="en-US"/>
        </w:rPr>
        <w:t>. ADL-I satisfaction measures are also generated based on Rasch Measurement methods.</w:t>
      </w:r>
    </w:p>
    <w:p w14:paraId="2F60D41D" w14:textId="77777777" w:rsidR="00854551" w:rsidRPr="00854551" w:rsidRDefault="00854551" w:rsidP="00854551">
      <w:pPr>
        <w:spacing w:line="480" w:lineRule="auto"/>
        <w:ind w:firstLine="1304"/>
        <w:rPr>
          <w:rFonts w:ascii="Calibri" w:eastAsia="Calibri" w:hAnsi="Calibri" w:cs="Calibri"/>
          <w:lang w:val="en-US"/>
        </w:rPr>
      </w:pPr>
      <w:r w:rsidRPr="00854551">
        <w:rPr>
          <w:rFonts w:ascii="Calibri" w:eastAsia="Calibri" w:hAnsi="Calibri" w:cs="Calibri"/>
          <w:lang w:val="en-US"/>
        </w:rPr>
        <w:t xml:space="preserve">To measure change in self-reported quality of ADL task performance and satisfaction, the 47 ordinal quality of performance and satisfaction scores are transformed into overall linear (interval scale) measures of self-reported quality of ADL task performance and satisfaction, adjusted for the difficulty of the ADL tasks, based on Rasch measurement methods </w:t>
      </w:r>
      <w:r w:rsidRPr="00854551">
        <w:rPr>
          <w:rFonts w:ascii="Calibri" w:eastAsia="Calibri" w:hAnsi="Calibri" w:cs="Calibri"/>
          <w:lang w:val="en-US"/>
        </w:rPr>
        <w:fldChar w:fldCharType="begin" w:fldLock="1"/>
      </w:r>
      <w:r>
        <w:rPr>
          <w:rFonts w:ascii="Calibri" w:eastAsia="Calibri" w:hAnsi="Calibri" w:cs="Calibri"/>
          <w:lang w:val="en-US"/>
        </w:rPr>
        <w:instrText>ADDIN CSL_CITATION {"citationItems":[{"id":"ITEM-1","itemData":{"ISBN":"9789172649934","author":[{"dropping-particle":"","family":"Wæhrens","given":"E. E.","non-dropping-particle":"","parse-names":false,"suffix":""}],"id":"ITEM-1","issued":{"date-parts":[["2010"]]},"publisher":"Department of Community Medicine and Rehabilitation, Umeå University","publisher-place":"Sweden, Umeå","title":"Measuring quality of occupational performance based on self-report and observation. Development and validation of instruments to evaluate ADL task performance","type":"book"},"uris":["http://www.mendeley.com/documents/?uuid=c0ea2bca-64e6-4156-b5c8-7c8bed0dca47"]}],"mendeley":{"formattedCitation":"(1)","plainTextFormattedCitation":"(1)","previouslyFormattedCitation":"(1)"},"properties":{"noteIndex":0},"schema":"https://github.com/citation-style-language/schema/raw/master/csl-citation.json"}</w:instrText>
      </w:r>
      <w:r w:rsidRPr="00854551">
        <w:rPr>
          <w:rFonts w:ascii="Calibri" w:eastAsia="Calibri" w:hAnsi="Calibri" w:cs="Calibri"/>
          <w:lang w:val="en-US"/>
        </w:rPr>
        <w:fldChar w:fldCharType="separate"/>
      </w:r>
      <w:r w:rsidRPr="00854551">
        <w:rPr>
          <w:rFonts w:ascii="Calibri" w:eastAsia="Calibri" w:hAnsi="Calibri" w:cs="Calibri"/>
          <w:noProof/>
          <w:lang w:val="en-US"/>
        </w:rPr>
        <w:t>(1)</w:t>
      </w:r>
      <w:r w:rsidRPr="00854551">
        <w:rPr>
          <w:rFonts w:ascii="Calibri" w:eastAsia="Calibri" w:hAnsi="Calibri" w:cs="Calibri"/>
          <w:lang w:val="en-US"/>
        </w:rPr>
        <w:fldChar w:fldCharType="end"/>
      </w:r>
      <w:r w:rsidRPr="00854551">
        <w:rPr>
          <w:rFonts w:ascii="Calibri" w:eastAsia="Calibri" w:hAnsi="Calibri" w:cs="Calibri"/>
          <w:lang w:val="en-US"/>
        </w:rPr>
        <w:t xml:space="preserve">. The measures are expressed in logits (log-odds probability units) </w:t>
      </w:r>
      <w:r w:rsidRPr="00854551">
        <w:rPr>
          <w:rFonts w:ascii="Calibri" w:eastAsia="Calibri" w:hAnsi="Calibri" w:cs="Calibri"/>
          <w:lang w:val="en-US"/>
        </w:rPr>
        <w:fldChar w:fldCharType="begin" w:fldLock="1"/>
      </w:r>
      <w:r>
        <w:rPr>
          <w:rFonts w:ascii="Calibri" w:eastAsia="Calibri" w:hAnsi="Calibri" w:cs="Calibri"/>
          <w:lang w:val="en-US"/>
        </w:rPr>
        <w:instrText>ADDIN CSL_CITATION {"citationItems":[{"id":"ITEM-1","itemData":{"ISBN":"9789172649934","author":[{"dropping-particle":"","family":"Wæhrens","given":"E. E.","non-dropping-particle":"","parse-names":false,"suffix":""}],"id":"ITEM-1","issued":{"date-parts":[["2010"]]},"publisher":"Department of Community Medicine and Rehabilitation, Umeå University","publisher-place":"Sweden, Umeå","title":"Measuring quality of occupational performance based on self-report and observation. Development and validation of instruments to evaluate ADL task performance","type":"book"},"uris":["http://www.mendeley.com/documents/?uuid=c0ea2bca-64e6-4156-b5c8-7c8bed0dca47"]},{"id":"ITEM-2","itemData":{"DOI":"10.3109/03009742.2011.632380","ISSN":"03009742","abstract":"OBJECTIVES: Although self-report based on questionnaire is the common method to obtain information about activities of daily living (ADL) ability in rheumatic diseases, little is known about the relationship between measures of ADL ability based on questionnaire, interview, and observation. The present study examined whether measures of self-reported ADL ability based on questionnaire and interview yielded different results, determined whether the magnitude of the difference varied among women with rheumatoid arthritis (RA), knee osteoarthritis (OA), and fibromyalgia (FM), and investigated the relationships between self-reported and observed ADL ability. METHOD: The 47 ADL tasks of the ADL taxonomy were used to evaluate self-reported ADL ability based on questionnaire (ADL-Q) and interview (ADL-I), and the Assessment of Motor and Process Skills (AMPS) was used to obtain measures of observed ADL ability. RESULTS: Participants across diagnostic groups reported significantly more ADL ability based on the ADL-Q than on the ADL-I. Moderate correlations were found between the ADL-Q and ADL-I ability measures. Although low to moderate correlations were seen between measures based on the AMPS ADL motor scale and the ADL-Q and ADL-I, respectively, correlations between measures based on AMPS ADL process scale and ADL-Q and ADL-I were generally low. Overall, there was no difference in how the measures based on the two modes of self-report related to the observed ADL ability measures. CONCLUSION: Measures of self-reported ADL ability based on either questionnaire or interview have limited relationship to each other or to observed performance of ADL tasks.","author":[{"dropping-particle":"","family":"Wæhrens","given":"E. E.","non-dropping-particle":"","parse-names":false,"suffix":""},{"dropping-particle":"","family":"Bliddal","given":"H.","non-dropping-particle":"","parse-names":false,"suffix":""},{"dropping-particle":"","family":"Danneskiold-Samsøe","given":"B.","non-dropping-particle":"","parse-names":false,"suffix":""},{"dropping-particle":"","family":"Lund","given":"H.","non-dropping-particle":"","parse-names":false,"suffix":""},{"dropping-particle":"","family":"Fisher","given":"A. G.","non-dropping-particle":"","parse-names":false,"suffix":""}],"container-title":"Scandinavian Journal of Rheumatology","id":"ITEM-2","issue":"2","issued":{"date-parts":[["2012"]]},"page":"95-102","title":"Differences between questionnaire-and interview-based measures of activities of daily living (ADL) ability and their association with observed ADL ability in women with rheumatoid arthritis, knee osteoarthritis, and fibromyalgia","type":"article-journal","volume":"41"},"uris":["http://www.mendeley.com/documents/?uuid=c1a9fa08-1535-4e65-98fa-9d99dc399c5b"]}],"mendeley":{"formattedCitation":"(1,3)","plainTextFormattedCitation":"(1,3)","previouslyFormattedCitation":"(1,3)"},"properties":{"noteIndex":0},"schema":"https://github.com/citation-style-language/schema/raw/master/csl-citation.json"}</w:instrText>
      </w:r>
      <w:r w:rsidRPr="00854551">
        <w:rPr>
          <w:rFonts w:ascii="Calibri" w:eastAsia="Calibri" w:hAnsi="Calibri" w:cs="Calibri"/>
          <w:lang w:val="en-US"/>
        </w:rPr>
        <w:fldChar w:fldCharType="separate"/>
      </w:r>
      <w:r w:rsidRPr="00854551">
        <w:rPr>
          <w:rFonts w:ascii="Calibri" w:eastAsia="Calibri" w:hAnsi="Calibri" w:cs="Calibri"/>
          <w:noProof/>
          <w:lang w:val="en-US"/>
        </w:rPr>
        <w:t>(1,3)</w:t>
      </w:r>
      <w:r w:rsidRPr="00854551">
        <w:rPr>
          <w:rFonts w:ascii="Calibri" w:eastAsia="Calibri" w:hAnsi="Calibri" w:cs="Calibri"/>
          <w:lang w:val="en-US"/>
        </w:rPr>
        <w:fldChar w:fldCharType="end"/>
      </w:r>
      <w:r w:rsidRPr="00854551">
        <w:rPr>
          <w:rFonts w:ascii="Calibri" w:eastAsia="Calibri" w:hAnsi="Calibri" w:cs="Calibri"/>
          <w:lang w:val="en-US"/>
        </w:rPr>
        <w:t xml:space="preserve">. </w:t>
      </w:r>
    </w:p>
    <w:p w14:paraId="30B63866" w14:textId="6A8C7F51" w:rsidR="00854551" w:rsidRPr="00854551" w:rsidRDefault="00854551" w:rsidP="00854551">
      <w:pPr>
        <w:spacing w:line="480" w:lineRule="auto"/>
        <w:ind w:firstLine="1304"/>
        <w:rPr>
          <w:rFonts w:ascii="Calibri" w:eastAsia="Calibri" w:hAnsi="Calibri" w:cs="Calibri"/>
          <w:lang w:val="en-US"/>
        </w:rPr>
      </w:pPr>
      <w:r w:rsidRPr="00854551">
        <w:rPr>
          <w:rFonts w:ascii="Calibri" w:eastAsia="Calibri" w:hAnsi="Calibri" w:cs="Calibri"/>
          <w:lang w:val="en-US"/>
        </w:rPr>
        <w:t xml:space="preserve">Previous studies indicate that ADL-I can be used to generate valid and reliable linear measures of self-reported quality of ADL task performance among persons living with chronic conditions </w:t>
      </w:r>
      <w:r w:rsidRPr="00854551">
        <w:rPr>
          <w:rFonts w:ascii="Calibri" w:eastAsia="Calibri" w:hAnsi="Calibri" w:cs="Calibri"/>
          <w:lang w:val="en-US"/>
        </w:rPr>
        <w:fldChar w:fldCharType="begin" w:fldLock="1"/>
      </w:r>
      <w:r>
        <w:rPr>
          <w:rFonts w:ascii="Calibri" w:eastAsia="Calibri" w:hAnsi="Calibri" w:cs="Calibri"/>
          <w:lang w:val="en-US"/>
        </w:rPr>
        <w:instrText>ADDIN CSL_CITATION {"citationItems":[{"id":"ITEM-1","itemData":{"ISSN":"1651-2014","PMID":"24649946","abstract":"OBJECTIVE Patients suffering from chronic obstructive pulmonary disease (COPD) experience problems in the performance of activities of daily living (ADL) tasks. The objective was to examine the self-reported quality of ADL task performance among COPD patients, and to investigate whether age, gender, and routine COPD characteristics correlate with the self-reported ADL ability. METHODS Eighty patients admitted to hospital with COPD exacerbations participated. In a cross-sectional study, the patients' self-reported ADL ability was assessed using the ADL-Interview (ADL-I) instrument. Data concerning age, gender, and routine COPD characteristics were drawn from the patients' medical records. RESULTS The patients reported being inefficient to markedly inefficient when performing ADL tasks within the personal hygiene, toileting, dressing, household, mobility, and transportation domains. While more than 90% of the participants reported increased effort and/or fatigue when performing the ADL tasks, up to 88% of the participants relied on help from others in the performance of general household chores like cooking and shopping. Self-reported ADL ability did not correlate with age, gender, or routine COPD characteristics. CONCLUSIONS Decreased quality of ADL task performance seemed to be extremely common among COPD patients. Therefore, addressing the problems in individually tailored pulmonary rehabilitation programmes may be advantageous.","author":[{"dropping-particle":"","family":"Bendixen","given":"Hans Jørgen","non-dropping-particle":"","parse-names":false,"suffix":""},{"dropping-particle":"","family":"Wæhrens","given":"Eva Ejlersen","non-dropping-particle":"","parse-names":false,"suffix":""},{"dropping-particle":"","family":"Wilcke","given":"Jon Torgny","non-dropping-particle":"","parse-names":false,"suffix":""},{"dropping-particle":"","family":"Sørensen","given":"Lisbeth Villemoes","non-dropping-particle":"","parse-names":false,"suffix":""}],"container-title":"Scandinavian journal of occupational therapy","id":"ITEM-1","issue":"4","issued":{"date-parts":[["2014","7","21"]]},"page":"313-20","title":"Self-reported quality of ADL task performance among patients with COPD exacerbations.","type":"article-journal","volume":"21"},"uris":["http://www.mendeley.com/documents/?uuid=613a5e8f-c739-3ea4-a48f-10aa014b7084"]},{"id":"ITEM-2","itemData":{"DOI":"10.3109/11038128.2014.961547","ISSN":"16512014","abstract":"BACKGROUND: The Occupational Therapy Intervention Process Model (OTIPM) serves to guide occupational therapists in their professional reasoning. The OTIPM prescribes evaluation of task performance based on both self-report and observation. Although this approach seems ideal, many clinicians raise the issue that time to perform evaluations is limited. It is, therefore, relevant to examine whether similar information concerning task performance can be obtained using self-report or observation. OBJECTIVE: The aims were to investigate what information can be obtained regarding the quality of ADL task performance based on self-report and observation, respectively, and to examine the relationship between measures of self-reported and observed quality of ADL task performance. METHODS: The quality of ADL task performance among 20 adults with depression was evaluated using the ADL Interview (ADL-I) and the Assessment of Motor and Process Skills (AMPS). RESULTS AND CONCLUSIONS: Results indicated that participants both reported and demonstrated increased effort and/or fatigue, increased use of time, need for assistance, and safety problems. However, little relationship was found between measures of self-reported and observed quality of ADL task performance, supporting the use of both self-report and observation as part of the evaluation phase outlined in the OTIPM.","author":[{"dropping-particle":"","family":"Nielsen","given":"Kristina Tomra","non-dropping-particle":"","parse-names":false,"suffix":""},{"dropping-particle":"","family":"Wæhrens","given":"Eva Ejlersen","non-dropping-particle":"","parse-names":false,"suffix":""}],"container-title":"Scandinavian Journal of Occupational Therapy","id":"ITEM-2","issue":"1","issued":{"date-parts":[["2015"]]},"page":"13-23","title":"Occupational therapy evaluation: Use of self-report and/or observation?","type":"article-journal","volume":"22"},"uris":["http://www.mendeley.com/documents/?uuid=d290c10f-6147-4f9b-b654-35f9ef9d9b0b"]},{"id":"ITEM-3","itemData":{"ISBN":"9789172649934","author":[{"dropping-particle":"","family":"Wæhrens","given":"E. E.","non-dropping-particle":"","parse-names":false,"suffix":""}],"id":"ITEM-3","issued":{"date-parts":[["2010"]]},"publisher":"Department of Community Medicine and Rehabilitation, Umeå University","publisher-place":"Sweden, Umeå","title":"Measuring quality of occupational performance based on self-report and observation. Development and validation of instruments to evaluate ADL task performance","type":"book"},"uris":["http://www.mendeley.com/documents/?uuid=c0ea2bca-64e6-4156-b5c8-7c8bed0dca47"]}],"mendeley":{"formattedCitation":"(1,4,5)","plainTextFormattedCitation":"(1,4,5)","previouslyFormattedCitation":"(1,4,5)"},"properties":{"noteIndex":0},"schema":"https://github.com/citation-style-language/schema/raw/master/csl-citation.json"}</w:instrText>
      </w:r>
      <w:r w:rsidRPr="00854551">
        <w:rPr>
          <w:rFonts w:ascii="Calibri" w:eastAsia="Calibri" w:hAnsi="Calibri" w:cs="Calibri"/>
          <w:lang w:val="en-US"/>
        </w:rPr>
        <w:fldChar w:fldCharType="separate"/>
      </w:r>
      <w:r w:rsidRPr="00854551">
        <w:rPr>
          <w:rFonts w:ascii="Calibri" w:eastAsia="Calibri" w:hAnsi="Calibri" w:cs="Calibri"/>
          <w:noProof/>
          <w:lang w:val="en-US"/>
        </w:rPr>
        <w:t>(1,4,5)</w:t>
      </w:r>
      <w:r w:rsidRPr="00854551">
        <w:rPr>
          <w:rFonts w:ascii="Calibri" w:eastAsia="Calibri" w:hAnsi="Calibri" w:cs="Calibri"/>
          <w:lang w:val="en-US"/>
        </w:rPr>
        <w:fldChar w:fldCharType="end"/>
      </w:r>
      <w:r w:rsidRPr="00854551">
        <w:rPr>
          <w:rFonts w:ascii="Calibri" w:eastAsia="Calibri" w:hAnsi="Calibri" w:cs="Calibri"/>
          <w:lang w:val="en-US"/>
        </w:rPr>
        <w:t xml:space="preserve">, and furthermore, that the instrument is sensitive to change post-intervention in older persons receiving a home-based reablement program </w:t>
      </w:r>
      <w:r w:rsidRPr="00854551">
        <w:rPr>
          <w:rFonts w:ascii="Calibri" w:eastAsia="Calibri" w:hAnsi="Calibri" w:cs="Calibri"/>
          <w:lang w:val="en-US"/>
        </w:rPr>
        <w:fldChar w:fldCharType="begin" w:fldLock="1"/>
      </w:r>
      <w:r>
        <w:rPr>
          <w:rFonts w:ascii="Calibri" w:eastAsia="Calibri" w:hAnsi="Calibri" w:cs="Calibri"/>
          <w:lang w:val="en-US"/>
        </w:rPr>
        <w:instrText>ADDIN CSL_CITATION {"citationItems":[{"id":"ITEM-1","itemData":{"DOI":"10.3109/09638288.2014.963707","ISSN":"14645165","PMID":"25250811","abstract":"Purpose: When older adults experience a decrease in functional independence including decreased ability to perform activities of daily living (ADL) tasks, rehabilitation services are required. The aim of this pilot study was to evaluate if a home-based reablement program influenced the ADL ability of older adults. Methods: Ninety-one older adults (80 ± 9 years) were allocated to a 12-weeks home-based reablement program consisting of ADL task performance training by a home carer supervised by an occupational therapist. ADL ability was measured at baseline, at 12 weeks and at follow-up (range: 310-592 d) using the ADL-Interview (ADL-I). Results: Overall, ADL ability improved significantly over time (p=0.041). Post-hoc t-tests indicated that the improvements occurred between baseline and end of intervention (p=0.042) and were maintained at follow-up 10 months after intervention (p=0.674). There were no effects related to age (p=0.787) or to whether the older adult had received help previously (p=0.120). Conclusion: A 12-weeks home-based reablement program was found to improve ADL ability among older adults regardless of whether they previously received help. This implies that receiving home care services should not be considered a barrier to participation in a reablement program.","author":[{"dropping-particle":"","family":"Winkel","given":"Annette","non-dropping-particle":"","parse-names":false,"suffix":""},{"dropping-particle":"","family":"Langberg","given":"Henning","non-dropping-particle":"","parse-names":false,"suffix":""},{"dropping-particle":"","family":"Wæhrens","given":"Eva Ejlersen","non-dropping-particle":"","parse-names":false,"suffix":""}],"container-title":"Disability and Rehabilitation","id":"ITEM-1","issue":"15","issued":{"date-parts":[["2015"]]},"page":"1347-1352","title":"Reablement in a community setting","type":"article-journal","volume":"37"},"uris":["http://www.mendeley.com/documents/?uuid=1a457a5f-1658-422f-a770-ed6a8da00a0a"]}],"mendeley":{"formattedCitation":"(6)","plainTextFormattedCitation":"(6)","previouslyFormattedCitation":"(6)"},"properties":{"noteIndex":0},"schema":"https://github.com/citation-style-language/schema/raw/master/csl-citation.json"}</w:instrText>
      </w:r>
      <w:r w:rsidRPr="00854551">
        <w:rPr>
          <w:rFonts w:ascii="Calibri" w:eastAsia="Calibri" w:hAnsi="Calibri" w:cs="Calibri"/>
          <w:lang w:val="en-US"/>
        </w:rPr>
        <w:fldChar w:fldCharType="separate"/>
      </w:r>
      <w:r w:rsidRPr="00854551">
        <w:rPr>
          <w:rFonts w:ascii="Calibri" w:eastAsia="Calibri" w:hAnsi="Calibri" w:cs="Calibri"/>
          <w:noProof/>
          <w:lang w:val="en-US"/>
        </w:rPr>
        <w:t>(6)</w:t>
      </w:r>
      <w:r w:rsidRPr="00854551">
        <w:rPr>
          <w:rFonts w:ascii="Calibri" w:eastAsia="Calibri" w:hAnsi="Calibri" w:cs="Calibri"/>
          <w:lang w:val="en-US"/>
        </w:rPr>
        <w:fldChar w:fldCharType="end"/>
      </w:r>
      <w:r w:rsidRPr="00854551">
        <w:rPr>
          <w:rFonts w:ascii="Calibri" w:eastAsia="Calibri" w:hAnsi="Calibri" w:cs="Calibri"/>
          <w:lang w:val="en-US"/>
        </w:rPr>
        <w:t xml:space="preserve">. According to the ADL-I manual </w:t>
      </w:r>
      <w:r w:rsidRPr="00854551">
        <w:rPr>
          <w:rFonts w:ascii="Calibri" w:eastAsia="Calibri" w:hAnsi="Calibri" w:cs="Calibri"/>
          <w:lang w:val="en-US"/>
        </w:rPr>
        <w:fldChar w:fldCharType="begin" w:fldLock="1"/>
      </w:r>
      <w:r w:rsidR="006A39C8">
        <w:rPr>
          <w:rFonts w:ascii="Calibri" w:eastAsia="Calibri" w:hAnsi="Calibri" w:cs="Calibri"/>
          <w:lang w:val="en-US"/>
        </w:rPr>
        <w:instrText>ADDIN CSL_CITATION {"citationItems":[{"id":"ITEM-1","itemData":{"author":[{"dropping-particle":"","family":"Wæhrens","given":"Eva Ejlersen","non-dropping-particle":"","parse-names":false,"suffix":""},{"dropping-particle":"","family":"Nielsen","given":"Kristina Tomra","non-dropping-particle":"","parse-names":false,"suffix":""}],"container-title":"ACE Copenhagen","id":"ITEM-1","issued":{"date-parts":[["2020"]]},"title":"ADL-Interview (ADL-I). Klinisk version 1.0 - Introduktion, ADL-I og administration","type":"webpage"},"uris":["http://www.mendeley.com/documents/?uuid=7ffb7c6c-3e3f-4adc-8738-7f84ceb487bb"]}],"mendeley":{"formattedCitation":"(2)","plainTextFormattedCitation":"(2)","previouslyFormattedCitation":"(2)"},"properties":{"noteIndex":0},"schema":"https://github.com/citation-style-language/schema/raw/master/csl-citation.json"}</w:instrText>
      </w:r>
      <w:r w:rsidRPr="00854551">
        <w:rPr>
          <w:rFonts w:ascii="Calibri" w:eastAsia="Calibri" w:hAnsi="Calibri" w:cs="Calibri"/>
          <w:lang w:val="en-US"/>
        </w:rPr>
        <w:fldChar w:fldCharType="separate"/>
      </w:r>
      <w:r w:rsidRPr="00854551">
        <w:rPr>
          <w:rFonts w:ascii="Calibri" w:eastAsia="Calibri" w:hAnsi="Calibri" w:cs="Calibri"/>
          <w:noProof/>
          <w:lang w:val="en-US"/>
        </w:rPr>
        <w:t>(2)</w:t>
      </w:r>
      <w:r w:rsidRPr="00854551">
        <w:rPr>
          <w:rFonts w:ascii="Calibri" w:eastAsia="Calibri" w:hAnsi="Calibri" w:cs="Calibri"/>
          <w:lang w:val="en-US"/>
        </w:rPr>
        <w:fldChar w:fldCharType="end"/>
      </w:r>
      <w:r w:rsidRPr="00854551">
        <w:rPr>
          <w:rFonts w:ascii="Calibri" w:eastAsia="Calibri" w:hAnsi="Calibri" w:cs="Calibri"/>
          <w:lang w:val="en-US"/>
        </w:rPr>
        <w:t>, a difference of &gt;0.64 logits (based on mean SD=1.28) indicates a clinically relevant difference in self-reported ADL task performance.</w:t>
      </w:r>
    </w:p>
    <w:p w14:paraId="599E6F0E" w14:textId="77777777" w:rsidR="00854551" w:rsidRPr="00854551" w:rsidRDefault="00854551" w:rsidP="00854551">
      <w:pPr>
        <w:pStyle w:val="Overskrift2"/>
        <w:spacing w:line="480" w:lineRule="auto"/>
        <w:rPr>
          <w:rFonts w:eastAsia="Times New Roman"/>
          <w:lang w:val="en-US"/>
        </w:rPr>
      </w:pPr>
      <w:r w:rsidRPr="00854551">
        <w:rPr>
          <w:rFonts w:eastAsia="Times New Roman"/>
          <w:lang w:val="en-US"/>
        </w:rPr>
        <w:t>The Assessment of Motor and Process Skills (AMPS)</w:t>
      </w:r>
    </w:p>
    <w:p w14:paraId="2E17494C" w14:textId="2361CFFB" w:rsidR="00854551" w:rsidRDefault="00854551" w:rsidP="00755346">
      <w:pPr>
        <w:spacing w:line="480" w:lineRule="auto"/>
      </w:pPr>
      <w:r w:rsidRPr="00854551">
        <w:rPr>
          <w:rFonts w:ascii="Calibri" w:eastAsia="Calibri" w:hAnsi="Calibri" w:cs="Calibri"/>
          <w:lang w:val="en-US"/>
        </w:rPr>
        <w:t xml:space="preserve">The </w:t>
      </w:r>
      <w:r w:rsidR="008C4E75">
        <w:rPr>
          <w:rFonts w:ascii="Calibri" w:eastAsia="Calibri" w:hAnsi="Calibri" w:cs="Calibri"/>
          <w:lang w:val="en-US"/>
        </w:rPr>
        <w:t>Assessment of Motor and process Skills (</w:t>
      </w:r>
      <w:r w:rsidRPr="00854551">
        <w:rPr>
          <w:rFonts w:ascii="Calibri" w:eastAsia="Calibri" w:hAnsi="Calibri" w:cs="Calibri"/>
          <w:lang w:val="en-US"/>
        </w:rPr>
        <w:t>AMPS</w:t>
      </w:r>
      <w:r w:rsidR="008C4E75">
        <w:rPr>
          <w:rFonts w:ascii="Calibri" w:eastAsia="Calibri" w:hAnsi="Calibri" w:cs="Calibri"/>
          <w:lang w:val="en-US"/>
        </w:rPr>
        <w:t>)</w:t>
      </w:r>
      <w:r w:rsidRPr="00854551">
        <w:rPr>
          <w:rFonts w:ascii="Calibri" w:eastAsia="Calibri" w:hAnsi="Calibri" w:cs="Calibri"/>
          <w:lang w:val="en-US"/>
        </w:rPr>
        <w:t xml:space="preserve"> </w:t>
      </w:r>
      <w:r w:rsidRPr="00854551">
        <w:rPr>
          <w:rFonts w:ascii="Calibri" w:eastAsia="Calibri" w:hAnsi="Calibri" w:cs="Calibri"/>
          <w:lang w:val="en-US"/>
        </w:rPr>
        <w:fldChar w:fldCharType="begin" w:fldLock="1"/>
      </w:r>
      <w:r>
        <w:rPr>
          <w:rFonts w:ascii="Calibri" w:eastAsia="Calibri" w:hAnsi="Calibri" w:cs="Calibri"/>
          <w:lang w:val="en-US"/>
        </w:rPr>
        <w:instrText>ADDIN CSL_CITATION {"citationItems":[{"id":"ITEM-1","itemData":{"ISBN":"0977430170, 9780977430178","author":[{"dropping-particle":"","family":"Fisher","given":"Anne G","non-dropping-particle":"","parse-names":false,"suffix":""},{"dropping-particle":"","family":"Jones","given":"Kristin Bray","non-dropping-particle":"","parse-names":false,"suffix":""}],"edition":"7th ed.","id":"ITEM-1","issued":{"date-parts":[["2012"]]},"note":"Sammenhørende med Assessment of motor and process skills: Volume 2: User Manual","publisher":"Three Star Press","publisher-place":"Fort Collins, Colorado, USA","title":"Assessment of motor and process skills. Volume 1: Development, standardization, and administration manual","type":"book"},"uris":["http://www.mendeley.com/documents/?uuid=b387c1ed-21f6-4fe5-8312-97ae83c0fb62"]},{"id":"ITEM-2","itemData":{"ISBN":"0977430197, 9780983512301 CN - 61.54","author":[{"dropping-particle":"","family":"Fisher","given":"Anne G","non-dropping-particle":"","parse-names":false,"suffix":""},{"dropping-particle":"","family":"Jones","given":"Kristin Bray","non-dropping-particle":"","parse-names":false,"suffix":""}],"edition":"7th ed.","id":"ITEM-2","issued":{"date-parts":[["2012"]]},"publisher":"Three Star Press","publisher-place":"Fort Collins, Colorado, USA","title":"Assessment of motor and process skills. Volume 2: User manual","type":"book"},"uris":["http://www.mendeley.com/documents/?uuid=2fdd46e2-ca2a-4348-960e-789fafc4cb1b"]}],"mendeley":{"formattedCitation":"(7,8)","plainTextFormattedCitation":"(7,8)","previouslyFormattedCitation":"(7,8)"},"properties":{"noteIndex":0},"schema":"https://github.com/citation-style-language/schema/raw/master/csl-citation.json"}</w:instrText>
      </w:r>
      <w:r w:rsidRPr="00854551">
        <w:rPr>
          <w:rFonts w:ascii="Calibri" w:eastAsia="Calibri" w:hAnsi="Calibri" w:cs="Calibri"/>
          <w:lang w:val="en-US"/>
        </w:rPr>
        <w:fldChar w:fldCharType="separate"/>
      </w:r>
      <w:r w:rsidRPr="00854551">
        <w:rPr>
          <w:rFonts w:ascii="Calibri" w:eastAsia="Calibri" w:hAnsi="Calibri" w:cs="Calibri"/>
          <w:noProof/>
          <w:lang w:val="en-US"/>
        </w:rPr>
        <w:t>(7,8)</w:t>
      </w:r>
      <w:r w:rsidRPr="00854551">
        <w:rPr>
          <w:rFonts w:ascii="Calibri" w:eastAsia="Calibri" w:hAnsi="Calibri" w:cs="Calibri"/>
          <w:lang w:val="en-US"/>
        </w:rPr>
        <w:fldChar w:fldCharType="end"/>
      </w:r>
      <w:r w:rsidRPr="00854551">
        <w:rPr>
          <w:rFonts w:ascii="Calibri" w:eastAsia="Calibri" w:hAnsi="Calibri" w:cs="Calibri"/>
          <w:lang w:val="en-US"/>
        </w:rPr>
        <w:t xml:space="preserve"> is </w:t>
      </w:r>
      <w:r w:rsidR="00EE1FE3">
        <w:rPr>
          <w:rFonts w:ascii="Calibri" w:eastAsia="Calibri" w:hAnsi="Calibri" w:cs="Calibri"/>
          <w:lang w:val="en-US"/>
        </w:rPr>
        <w:t xml:space="preserve">also </w:t>
      </w:r>
      <w:r w:rsidR="008C4E75">
        <w:rPr>
          <w:rFonts w:ascii="Calibri" w:eastAsia="Calibri" w:hAnsi="Calibri" w:cs="Calibri"/>
          <w:lang w:val="en-US"/>
        </w:rPr>
        <w:t xml:space="preserve">used in </w:t>
      </w:r>
      <w:r w:rsidR="00EE1FE3">
        <w:rPr>
          <w:rFonts w:ascii="Calibri" w:eastAsia="Calibri" w:hAnsi="Calibri" w:cs="Calibri"/>
          <w:lang w:val="en-US"/>
        </w:rPr>
        <w:t xml:space="preserve">the first and last </w:t>
      </w:r>
      <w:r w:rsidR="008C4E75">
        <w:rPr>
          <w:rFonts w:ascii="Calibri" w:eastAsia="Calibri" w:hAnsi="Calibri" w:cs="Calibri"/>
          <w:lang w:val="en-US"/>
        </w:rPr>
        <w:t>session</w:t>
      </w:r>
      <w:r w:rsidR="00EE1FE3">
        <w:rPr>
          <w:rFonts w:ascii="Calibri" w:eastAsia="Calibri" w:hAnsi="Calibri" w:cs="Calibri"/>
          <w:lang w:val="en-US"/>
        </w:rPr>
        <w:t>s</w:t>
      </w:r>
      <w:r w:rsidR="008C4E75">
        <w:rPr>
          <w:rFonts w:ascii="Calibri" w:eastAsia="Calibri" w:hAnsi="Calibri" w:cs="Calibri"/>
          <w:lang w:val="en-US"/>
        </w:rPr>
        <w:t xml:space="preserve"> in the ABLE 2.0. It is </w:t>
      </w:r>
      <w:r w:rsidRPr="00854551">
        <w:rPr>
          <w:rFonts w:ascii="Calibri" w:eastAsia="Calibri" w:hAnsi="Calibri" w:cs="Calibri"/>
          <w:lang w:val="en-US"/>
        </w:rPr>
        <w:t xml:space="preserve">a </w:t>
      </w:r>
      <w:r w:rsidRPr="00854551">
        <w:rPr>
          <w:rFonts w:ascii="Calibri" w:eastAsia="Calibri" w:hAnsi="Calibri" w:cs="Calibri"/>
        </w:rPr>
        <w:t>standardised</w:t>
      </w:r>
      <w:r w:rsidRPr="00854551">
        <w:rPr>
          <w:rFonts w:ascii="Calibri" w:eastAsia="Calibri" w:hAnsi="Calibri" w:cs="Calibri"/>
          <w:lang w:val="en-US"/>
        </w:rPr>
        <w:t xml:space="preserve"> observation-based evaluation tool used by </w:t>
      </w:r>
      <w:r w:rsidR="008C4E75">
        <w:rPr>
          <w:rFonts w:ascii="Calibri" w:eastAsia="Calibri" w:hAnsi="Calibri" w:cs="Calibri"/>
          <w:lang w:val="en-US"/>
        </w:rPr>
        <w:t>OTs</w:t>
      </w:r>
      <w:r w:rsidRPr="00854551">
        <w:rPr>
          <w:rFonts w:ascii="Calibri" w:eastAsia="Calibri" w:hAnsi="Calibri" w:cs="Calibri"/>
          <w:lang w:val="en-US"/>
        </w:rPr>
        <w:t xml:space="preserve"> to measure a person’s observed quality of ADL task performance in terms of physical effort and/or fatigue, efficiency, safety and independence. The person being evaluated chooses and performs at least two of the </w:t>
      </w:r>
      <w:r w:rsidRPr="00854551">
        <w:rPr>
          <w:rFonts w:ascii="Calibri" w:eastAsia="Calibri" w:hAnsi="Calibri" w:cs="Calibri"/>
        </w:rPr>
        <w:t>standardised</w:t>
      </w:r>
      <w:r w:rsidRPr="00854551">
        <w:rPr>
          <w:rFonts w:ascii="Calibri" w:eastAsia="Calibri" w:hAnsi="Calibri" w:cs="Calibri"/>
          <w:lang w:val="en-US"/>
        </w:rPr>
        <w:t xml:space="preserve"> ADL tasks that the person finds relevant and of appropriate challenge. During an AMPS evaluation, two domains of occupational performance are evaluated: motor skills (16 items) and process skills (20 items). After the observation, the quality of each skill is evaluated on a four-point ordinal scale according to the scoring criteria in the AMPS manual </w:t>
      </w:r>
      <w:r w:rsidRPr="00854551">
        <w:rPr>
          <w:rFonts w:ascii="Calibri" w:eastAsia="Calibri" w:hAnsi="Calibri" w:cs="Calibri"/>
          <w:lang w:val="en-US"/>
        </w:rPr>
        <w:fldChar w:fldCharType="begin" w:fldLock="1"/>
      </w:r>
      <w:r>
        <w:rPr>
          <w:rFonts w:ascii="Calibri" w:eastAsia="Calibri" w:hAnsi="Calibri" w:cs="Calibri"/>
          <w:lang w:val="en-US"/>
        </w:rPr>
        <w:instrText>ADDIN CSL_CITATION {"citationItems":[{"id":"ITEM-1","itemData":{"ISBN":"0977430197, 9780983512301 CN - 61.54","author":[{"dropping-particle":"","family":"Fisher","given":"Anne G","non-dropping-particle":"","parse-names":false,"suffix":""},{"dropping-particle":"","family":"Jones","given":"Kristin Bray","non-dropping-particle":"","parse-names":false,"suffix":""}],"edition":"7th ed.","id":"ITEM-1","issued":{"date-parts":[["2012"]]},"publisher":"Three Star Press","publisher-place":"Fort Collins, Colorado, USA","title":"Assessment of motor and process skills. Volume 2: User manual","type":"book"},"uris":["http://www.mendeley.com/documents/?uuid=2fdd46e2-ca2a-4348-960e-789fafc4cb1b"]}],"mendeley":{"formattedCitation":"(8)","plainTextFormattedCitation":"(8)","previouslyFormattedCitation":"(8)"},"properties":{"noteIndex":0},"schema":"https://github.com/citation-style-language/schema/raw/master/csl-citation.json"}</w:instrText>
      </w:r>
      <w:r w:rsidRPr="00854551">
        <w:rPr>
          <w:rFonts w:ascii="Calibri" w:eastAsia="Calibri" w:hAnsi="Calibri" w:cs="Calibri"/>
          <w:lang w:val="en-US"/>
        </w:rPr>
        <w:fldChar w:fldCharType="separate"/>
      </w:r>
      <w:r w:rsidRPr="00854551">
        <w:rPr>
          <w:rFonts w:ascii="Calibri" w:eastAsia="Calibri" w:hAnsi="Calibri" w:cs="Calibri"/>
          <w:noProof/>
          <w:lang w:val="en-US"/>
        </w:rPr>
        <w:t>(8)</w:t>
      </w:r>
      <w:r w:rsidRPr="00854551">
        <w:rPr>
          <w:rFonts w:ascii="Calibri" w:eastAsia="Calibri" w:hAnsi="Calibri" w:cs="Calibri"/>
          <w:lang w:val="en-US"/>
        </w:rPr>
        <w:fldChar w:fldCharType="end"/>
      </w:r>
      <w:r w:rsidRPr="00854551">
        <w:rPr>
          <w:rFonts w:ascii="Calibri" w:eastAsia="Calibri" w:hAnsi="Calibri" w:cs="Calibri"/>
          <w:lang w:val="en-US"/>
        </w:rPr>
        <w:t xml:space="preserve">. The available AMPS software </w:t>
      </w:r>
      <w:r w:rsidRPr="00854551">
        <w:rPr>
          <w:rFonts w:ascii="Calibri" w:eastAsia="Calibri" w:hAnsi="Calibri" w:cs="Calibri"/>
          <w:lang w:val="en-US"/>
        </w:rPr>
        <w:fldChar w:fldCharType="begin" w:fldLock="1"/>
      </w:r>
      <w:r>
        <w:rPr>
          <w:rFonts w:ascii="Calibri" w:eastAsia="Calibri" w:hAnsi="Calibri" w:cs="Calibri"/>
          <w:lang w:val="en-US"/>
        </w:rPr>
        <w:instrText>ADDIN CSL_CITATION {"citationItems":[{"id":"ITEM-1","itemData":{"id":"ITEM-1","issued":{"date-parts":[["2016"]]},"number":"3.0 ed","publisher":"Fort Cloons, Colorado, USA: Center for Innovative OT Solutions","title":"OT Assessment Package (OTAP)","type":"article"},"uris":["http://www.mendeley.com/documents/?uuid=44fd4626-18e0-4669-9b00-64657fff3c15"]}],"mendeley":{"formattedCitation":"(9)","plainTextFormattedCitation":"(9)","previouslyFormattedCitation":"(9)"},"properties":{"noteIndex":0},"schema":"https://github.com/citation-style-language/schema/raw/master/csl-citation.json"}</w:instrText>
      </w:r>
      <w:r w:rsidRPr="00854551">
        <w:rPr>
          <w:rFonts w:ascii="Calibri" w:eastAsia="Calibri" w:hAnsi="Calibri" w:cs="Calibri"/>
          <w:lang w:val="en-US"/>
        </w:rPr>
        <w:fldChar w:fldCharType="separate"/>
      </w:r>
      <w:r w:rsidRPr="00854551">
        <w:rPr>
          <w:rFonts w:ascii="Calibri" w:eastAsia="Calibri" w:hAnsi="Calibri" w:cs="Calibri"/>
          <w:noProof/>
          <w:lang w:val="en-US"/>
        </w:rPr>
        <w:t>(9)</w:t>
      </w:r>
      <w:r w:rsidRPr="00854551">
        <w:rPr>
          <w:rFonts w:ascii="Calibri" w:eastAsia="Calibri" w:hAnsi="Calibri" w:cs="Calibri"/>
          <w:lang w:val="en-US"/>
        </w:rPr>
        <w:fldChar w:fldCharType="end"/>
      </w:r>
      <w:r w:rsidRPr="00854551">
        <w:rPr>
          <w:rFonts w:ascii="Calibri" w:eastAsia="Calibri" w:hAnsi="Calibri" w:cs="Calibri"/>
          <w:lang w:val="en-US"/>
        </w:rPr>
        <w:t xml:space="preserve">, based on Many-Faceted Rasch statistics, makes it possible to convert the ordinal raw scores into overall linear ADL motor and ADL process ability measures adjusted for task challenge, skill item difficulty and rater severity. The measures are expressed in logits (log-odds probability units) </w:t>
      </w:r>
      <w:r w:rsidRPr="00854551">
        <w:rPr>
          <w:rFonts w:ascii="Calibri" w:eastAsia="Calibri" w:hAnsi="Calibri" w:cs="Calibri"/>
          <w:lang w:val="en-US"/>
        </w:rPr>
        <w:fldChar w:fldCharType="begin" w:fldLock="1"/>
      </w:r>
      <w:r>
        <w:rPr>
          <w:rFonts w:ascii="Calibri" w:eastAsia="Calibri" w:hAnsi="Calibri" w:cs="Calibri"/>
          <w:lang w:val="en-US"/>
        </w:rPr>
        <w:instrText>ADDIN CSL_CITATION {"citationItems":[{"id":"ITEM-1","itemData":{"ISBN":"0977430170, 9780977430178","author":[{"dropping-particle":"","family":"Fisher","given":"Anne G","non-dropping-particle":"","parse-names":false,"suffix":""},{"dropping-particle":"","family":"Jones","given":"Kristin Bray","non-dropping-particle":"","parse-names":false,"suffix":""}],"edition":"7th ed.","id":"ITEM-1","issued":{"date-parts":[["2012"]]},"note":"Sammenhørende med Assessment of motor and process skills: Volume 2: User Manual","publisher":"Three Star Press","publisher-place":"Fort Collins, Colorado, USA","title":"Assessment of motor and process skills. Volume 1: Development, standardization, and administration manual","type":"book"},"uris":["http://www.mendeley.com/documents/?uuid=b387c1ed-21f6-4fe5-8312-97ae83c0fb62"]}],"mendeley":{"formattedCitation":"(7)","plainTextFormattedCitation":"(7)","previouslyFormattedCitation":"(7)"},"properties":{"noteIndex":0},"schema":"https://github.com/citation-style-language/schema/raw/master/csl-citation.json"}</w:instrText>
      </w:r>
      <w:r w:rsidRPr="00854551">
        <w:rPr>
          <w:rFonts w:ascii="Calibri" w:eastAsia="Calibri" w:hAnsi="Calibri" w:cs="Calibri"/>
          <w:lang w:val="en-US"/>
        </w:rPr>
        <w:fldChar w:fldCharType="separate"/>
      </w:r>
      <w:r w:rsidRPr="00854551">
        <w:rPr>
          <w:rFonts w:ascii="Calibri" w:eastAsia="Calibri" w:hAnsi="Calibri" w:cs="Calibri"/>
          <w:noProof/>
          <w:lang w:val="en-US"/>
        </w:rPr>
        <w:t>(7)</w:t>
      </w:r>
      <w:r w:rsidRPr="00854551">
        <w:rPr>
          <w:rFonts w:ascii="Calibri" w:eastAsia="Calibri" w:hAnsi="Calibri" w:cs="Calibri"/>
          <w:lang w:val="en-US"/>
        </w:rPr>
        <w:fldChar w:fldCharType="end"/>
      </w:r>
      <w:r w:rsidRPr="00854551">
        <w:rPr>
          <w:rFonts w:ascii="Calibri" w:eastAsia="Calibri" w:hAnsi="Calibri" w:cs="Calibri"/>
          <w:lang w:val="en-US"/>
        </w:rPr>
        <w:t>.</w:t>
      </w:r>
      <w:r w:rsidR="006172A9" w:rsidRPr="006172A9">
        <w:rPr>
          <w:rFonts w:eastAsiaTheme="minorEastAsia"/>
        </w:rPr>
        <w:t xml:space="preserve"> </w:t>
      </w:r>
      <w:r w:rsidR="006172A9" w:rsidRPr="007A0C9B">
        <w:rPr>
          <w:rFonts w:eastAsiaTheme="minorEastAsia"/>
          <w:color w:val="000000"/>
          <w:lang w:val="en-US"/>
        </w:rPr>
        <w:t>ADL motor ability measures</w:t>
      </w:r>
      <w:r w:rsidR="006172A9">
        <w:rPr>
          <w:rFonts w:eastAsiaTheme="minorEastAsia"/>
          <w:color w:val="000000"/>
          <w:lang w:val="en-US"/>
        </w:rPr>
        <w:t xml:space="preserve"> </w:t>
      </w:r>
      <w:r w:rsidR="006172A9" w:rsidRPr="007A0C9B">
        <w:rPr>
          <w:rFonts w:eastAsiaTheme="minorEastAsia"/>
          <w:color w:val="000000"/>
          <w:lang w:val="en-US"/>
        </w:rPr>
        <w:t>below the</w:t>
      </w:r>
      <w:r w:rsidR="006172A9">
        <w:rPr>
          <w:rFonts w:eastAsiaTheme="minorEastAsia"/>
          <w:color w:val="000000" w:themeColor="text1"/>
          <w:lang w:val="en-US"/>
        </w:rPr>
        <w:t xml:space="preserve"> </w:t>
      </w:r>
      <w:r w:rsidR="006172A9" w:rsidRPr="007A0C9B">
        <w:rPr>
          <w:rFonts w:eastAsiaTheme="minorEastAsia"/>
          <w:color w:val="000000"/>
          <w:lang w:val="en-US"/>
        </w:rPr>
        <w:t>2.0 logits</w:t>
      </w:r>
      <w:r w:rsidR="006172A9">
        <w:rPr>
          <w:rFonts w:eastAsiaTheme="minorEastAsia"/>
          <w:color w:val="000000"/>
          <w:lang w:val="en-US"/>
        </w:rPr>
        <w:t xml:space="preserve"> competence</w:t>
      </w:r>
      <w:r w:rsidR="006172A9" w:rsidRPr="007A0C9B">
        <w:rPr>
          <w:rFonts w:eastAsiaTheme="minorEastAsia"/>
          <w:color w:val="000000"/>
          <w:lang w:val="en-US"/>
        </w:rPr>
        <w:t xml:space="preserve"> cutoff indicate increased </w:t>
      </w:r>
      <w:r w:rsidR="006172A9" w:rsidRPr="70739C26">
        <w:t>physical effort, fatigue and clumsiness</w:t>
      </w:r>
      <w:r w:rsidR="006172A9" w:rsidRPr="007A0C9B">
        <w:rPr>
          <w:rFonts w:eastAsiaTheme="minorEastAsia"/>
          <w:color w:val="000000"/>
          <w:lang w:val="en-US"/>
        </w:rPr>
        <w:t xml:space="preserve"> during task performance </w:t>
      </w:r>
      <w:r w:rsidR="006172A9" w:rsidRPr="007A0C9B">
        <w:rPr>
          <w:rFonts w:eastAsiaTheme="minorEastAsia"/>
          <w:lang w:val="en-US"/>
        </w:rPr>
        <w:t>and</w:t>
      </w:r>
      <w:r w:rsidR="006172A9" w:rsidRPr="70739C26">
        <w:rPr>
          <w:rFonts w:eastAsiaTheme="minorEastAsia"/>
          <w:lang w:val="en-US"/>
        </w:rPr>
        <w:t xml:space="preserve"> </w:t>
      </w:r>
      <w:r w:rsidR="006172A9" w:rsidRPr="007A0C9B">
        <w:rPr>
          <w:rFonts w:eastAsiaTheme="minorEastAsia"/>
          <w:lang w:val="en-US"/>
        </w:rPr>
        <w:t xml:space="preserve">ADL </w:t>
      </w:r>
      <w:r w:rsidR="006172A9">
        <w:rPr>
          <w:rFonts w:eastAsiaTheme="minorEastAsia"/>
          <w:lang w:val="en-US"/>
        </w:rPr>
        <w:t xml:space="preserve">process ability measures below </w:t>
      </w:r>
      <w:r w:rsidR="006172A9" w:rsidRPr="007A0C9B">
        <w:rPr>
          <w:rFonts w:eastAsiaTheme="minorEastAsia"/>
          <w:lang w:val="en-US"/>
        </w:rPr>
        <w:t>the 1.0 logit</w:t>
      </w:r>
      <w:r w:rsidR="006172A9">
        <w:rPr>
          <w:rFonts w:eastAsiaTheme="minorEastAsia"/>
          <w:lang w:val="en-US"/>
        </w:rPr>
        <w:t xml:space="preserve"> competence</w:t>
      </w:r>
      <w:r w:rsidR="006172A9" w:rsidRPr="007A0C9B">
        <w:rPr>
          <w:rFonts w:eastAsiaTheme="minorEastAsia"/>
          <w:lang w:val="en-US"/>
        </w:rPr>
        <w:t xml:space="preserve"> cutoff indicate </w:t>
      </w:r>
      <w:r w:rsidR="006172A9">
        <w:rPr>
          <w:rFonts w:eastAsiaTheme="minorEastAsia"/>
          <w:lang w:val="en-US"/>
        </w:rPr>
        <w:t>inefficient and</w:t>
      </w:r>
      <w:r w:rsidR="006172A9" w:rsidRPr="70739C26">
        <w:rPr>
          <w:rFonts w:eastAsiaTheme="minorEastAsia"/>
          <w:lang w:val="en-US"/>
        </w:rPr>
        <w:t xml:space="preserve"> </w:t>
      </w:r>
      <w:r w:rsidR="006172A9">
        <w:rPr>
          <w:rFonts w:eastAsiaTheme="minorEastAsia"/>
          <w:lang w:val="en-US"/>
        </w:rPr>
        <w:t>potentially un</w:t>
      </w:r>
      <w:r w:rsidR="006172A9" w:rsidRPr="007A0C9B">
        <w:rPr>
          <w:rFonts w:eastAsiaTheme="minorEastAsia"/>
          <w:lang w:val="en-US"/>
        </w:rPr>
        <w:t xml:space="preserve">safe ADL task performance </w:t>
      </w:r>
      <w:r w:rsidR="006172A9">
        <w:rPr>
          <w:rFonts w:eastAsiaTheme="minorEastAsia"/>
          <w:lang w:val="en-US"/>
        </w:rPr>
        <w:t xml:space="preserve">suggesting need for assistance </w:t>
      </w:r>
      <w:r w:rsidR="006172A9" w:rsidRPr="007A0C9B">
        <w:rPr>
          <w:rFonts w:eastAsiaTheme="minorEastAsia"/>
          <w:lang w:val="en-US"/>
        </w:rPr>
        <w:t>in</w:t>
      </w:r>
      <w:r w:rsidR="006172A9" w:rsidRPr="70739C26">
        <w:rPr>
          <w:rFonts w:eastAsiaTheme="minorEastAsia"/>
          <w:lang w:val="en-US"/>
        </w:rPr>
        <w:t xml:space="preserve"> </w:t>
      </w:r>
      <w:r w:rsidR="006172A9" w:rsidRPr="007A0C9B">
        <w:rPr>
          <w:rFonts w:eastAsiaTheme="minorEastAsia"/>
          <w:lang w:val="en-US"/>
        </w:rPr>
        <w:t>everyday life</w:t>
      </w:r>
      <w:r w:rsidR="006172A9">
        <w:rPr>
          <w:rFonts w:eastAsiaTheme="minorEastAsia"/>
          <w:lang w:val="en-US"/>
        </w:rPr>
        <w:t xml:space="preserve">. </w:t>
      </w:r>
      <w:r w:rsidRPr="00854551">
        <w:rPr>
          <w:rFonts w:ascii="Calibri" w:eastAsia="Calibri" w:hAnsi="Calibri" w:cs="Calibri"/>
          <w:lang w:val="en-US"/>
        </w:rPr>
        <w:t xml:space="preserve"> </w:t>
      </w:r>
      <w:r w:rsidR="006172A9">
        <w:rPr>
          <w:rFonts w:ascii="Calibri" w:eastAsia="Calibri" w:hAnsi="Calibri" w:cs="Calibri"/>
          <w:lang w:val="en-US"/>
        </w:rPr>
        <w:t xml:space="preserve">Moreover, </w:t>
      </w:r>
      <w:r w:rsidRPr="00854551">
        <w:rPr>
          <w:rFonts w:ascii="Calibri" w:eastAsia="Calibri" w:hAnsi="Calibri" w:cs="Calibri"/>
          <w:lang w:val="en-US"/>
        </w:rPr>
        <w:t xml:space="preserve">ADL ability measures below the 1.50 logit independence cut-off on the ADL motor scale and below the 1.00 logit independence cut-off on the ADL process scale indicate a likely need for assistance </w:t>
      </w:r>
      <w:r w:rsidRPr="00854551">
        <w:rPr>
          <w:rFonts w:ascii="Calibri" w:eastAsia="Calibri" w:hAnsi="Calibri" w:cs="Calibri"/>
          <w:lang w:val="en-US"/>
        </w:rPr>
        <w:fldChar w:fldCharType="begin" w:fldLock="1"/>
      </w:r>
      <w:r>
        <w:rPr>
          <w:rFonts w:ascii="Calibri" w:eastAsia="Calibri" w:hAnsi="Calibri" w:cs="Calibri"/>
          <w:lang w:val="en-US"/>
        </w:rPr>
        <w:instrText>ADDIN CSL_CITATION {"citationItems":[{"id":"ITEM-1","itemData":{"ISBN":"0977430170, 9780977430178","author":[{"dropping-particle":"","family":"Fisher","given":"Anne G","non-dropping-particle":"","parse-names":false,"suffix":""},{"dropping-particle":"","family":"Jones","given":"Kristin Bray","non-dropping-particle":"","parse-names":false,"suffix":""}],"edition":"7th ed.","id":"ITEM-1","issued":{"date-parts":[["2012"]]},"note":"Sammenhørende med Assessment of motor and process skills: Volume 2: User Manual","publisher":"Three Star Press","publisher-place":"Fort Collins, Colorado, USA","title":"Assessment of motor and process skills. Volume 1: Development, standardization, and administration manual","type":"book"},"uris":["http://www.mendeley.com/documents/?uuid=b387c1ed-21f6-4fe5-8312-97ae83c0fb62"]}],"mendeley":{"formattedCitation":"(7)","plainTextFormattedCitation":"(7)","previouslyFormattedCitation":"(7)"},"properties":{"noteIndex":0},"schema":"https://github.com/citation-style-language/schema/raw/master/csl-citation.json"}</w:instrText>
      </w:r>
      <w:r w:rsidRPr="00854551">
        <w:rPr>
          <w:rFonts w:ascii="Calibri" w:eastAsia="Calibri" w:hAnsi="Calibri" w:cs="Calibri"/>
          <w:lang w:val="en-US"/>
        </w:rPr>
        <w:fldChar w:fldCharType="separate"/>
      </w:r>
      <w:r w:rsidRPr="00854551">
        <w:rPr>
          <w:rFonts w:ascii="Calibri" w:eastAsia="Calibri" w:hAnsi="Calibri" w:cs="Calibri"/>
          <w:noProof/>
          <w:lang w:val="en-US"/>
        </w:rPr>
        <w:t>(7)</w:t>
      </w:r>
      <w:r w:rsidRPr="00854551">
        <w:rPr>
          <w:rFonts w:ascii="Calibri" w:eastAsia="Calibri" w:hAnsi="Calibri" w:cs="Calibri"/>
          <w:lang w:val="en-US"/>
        </w:rPr>
        <w:fldChar w:fldCharType="end"/>
      </w:r>
      <w:r w:rsidRPr="00854551">
        <w:rPr>
          <w:rFonts w:ascii="Calibri" w:eastAsia="Calibri" w:hAnsi="Calibri" w:cs="Calibri"/>
          <w:lang w:val="en-US"/>
        </w:rPr>
        <w:t>.</w:t>
      </w:r>
      <w:r w:rsidRPr="00854551">
        <w:rPr>
          <w:rFonts w:ascii="Calibri" w:eastAsia="Calibri" w:hAnsi="Calibri" w:cs="Calibri"/>
          <w:color w:val="FF0000"/>
          <w:lang w:val="en-US"/>
        </w:rPr>
        <w:t xml:space="preserve"> </w:t>
      </w:r>
      <w:r w:rsidRPr="00854551">
        <w:rPr>
          <w:rFonts w:ascii="Calibri" w:eastAsia="Calibri" w:hAnsi="Calibri" w:cs="Calibri"/>
          <w:lang w:val="en-US"/>
        </w:rPr>
        <w:t xml:space="preserve">Measures below the lower independence cut-offs of 1.00 and 0.70 logits for ADL motor and ADL process ability, respectively, mark a need for moderate/maximal assistance </w:t>
      </w:r>
      <w:r w:rsidRPr="00854551">
        <w:rPr>
          <w:rFonts w:ascii="Calibri" w:eastAsia="Calibri" w:hAnsi="Calibri" w:cs="Calibri"/>
          <w:lang w:val="en-US"/>
        </w:rPr>
        <w:fldChar w:fldCharType="begin" w:fldLock="1"/>
      </w:r>
      <w:r>
        <w:rPr>
          <w:rFonts w:ascii="Calibri" w:eastAsia="Calibri" w:hAnsi="Calibri" w:cs="Calibri"/>
          <w:lang w:val="en-US"/>
        </w:rPr>
        <w:instrText>ADDIN CSL_CITATION {"citationItems":[{"id":"ITEM-1","itemData":{"DOI":"10.3109/11038120903165107","ISSN":"11038128","PMID":"19742383","abstract":"The aim of the study was to examine the efficacy of utilizing Assessment of Motor and Process Skills (AMPS) ability measures as evidence for determining level of community dependence. The sample for the study was drawn from existing data from the AMPS International Project database, and consisted of adults from numerous world regions, with varying diagnoses and levels of ability (n=64,466). Findings support using ADL motor and process ability measures as evidence of a client's level of community dependence. When using ADL motor or process ability measures to identify the need for moderate to maximal assistance, the areas under the ROC curves were 0.74 (fair discrimination power) and 0.82 (good discrimination power), respectively. New ADL motor and process cutoff measures demarcating maximum assistance were set at 1.00 logit (sensitivity=0.70, specificity=0.66) and 0.70 logit (sensitivity=0.79, specificity=0.69), respectively. While ADL process ability continues to be the better predictor, the highest accuracy estimates occurred when motor and process decisions matched (n=30,835). For the first time, multiple AMPS cutoff measures, demarcating independent in the community and in need of maximal assistance, have been proposed. © 2010 Informa UK Ltd.","author":[{"dropping-particle":"","family":"Merritt","given":"Brenda K.","non-dropping-particle":"","parse-names":false,"suffix":""}],"container-title":"Scandinavian Journal of Occupational Therapy","id":"ITEM-1","issue":"1","issued":{"date-parts":[["2010"]]},"page":"70-76","title":"Utilizing AMPS ability measures to predict level of community dependence","type":"article-journal","volume":"17"},"uris":["http://www.mendeley.com/documents/?uuid=066845ca-7142-41c1-83ec-448580d089ae"]}],"mendeley":{"formattedCitation":"(10)","plainTextFormattedCitation":"(10)","previouslyFormattedCitation":"(10)"},"properties":{"noteIndex":0},"schema":"https://github.com/citation-style-language/schema/raw/master/csl-citation.json"}</w:instrText>
      </w:r>
      <w:r w:rsidRPr="00854551">
        <w:rPr>
          <w:rFonts w:ascii="Calibri" w:eastAsia="Calibri" w:hAnsi="Calibri" w:cs="Calibri"/>
          <w:lang w:val="en-US"/>
        </w:rPr>
        <w:fldChar w:fldCharType="separate"/>
      </w:r>
      <w:r w:rsidRPr="00854551">
        <w:rPr>
          <w:rFonts w:ascii="Calibri" w:eastAsia="Calibri" w:hAnsi="Calibri" w:cs="Calibri"/>
          <w:noProof/>
          <w:lang w:val="en-US"/>
        </w:rPr>
        <w:t>(10)</w:t>
      </w:r>
      <w:r w:rsidRPr="00854551">
        <w:rPr>
          <w:rFonts w:ascii="Calibri" w:eastAsia="Calibri" w:hAnsi="Calibri" w:cs="Calibri"/>
          <w:lang w:val="en-US"/>
        </w:rPr>
        <w:fldChar w:fldCharType="end"/>
      </w:r>
      <w:r w:rsidRPr="00854551">
        <w:rPr>
          <w:rFonts w:ascii="Calibri" w:eastAsia="Calibri" w:hAnsi="Calibri" w:cs="Calibri"/>
          <w:lang w:val="en-US"/>
        </w:rPr>
        <w:t>.</w:t>
      </w:r>
      <w:r w:rsidRPr="00854551">
        <w:rPr>
          <w:rFonts w:ascii="Calibri" w:eastAsia="Calibri" w:hAnsi="Calibri" w:cs="Calibri"/>
          <w:color w:val="FF0000"/>
          <w:lang w:val="en-US"/>
        </w:rPr>
        <w:t xml:space="preserve"> </w:t>
      </w:r>
      <w:r w:rsidRPr="00854551">
        <w:rPr>
          <w:rFonts w:ascii="Calibri" w:eastAsia="Calibri" w:hAnsi="Calibri" w:cs="Calibri"/>
          <w:lang w:val="en-US"/>
        </w:rPr>
        <w:t xml:space="preserve">Several studies support that the AMPS ability measures are reliable and valid among persons with chronic conditions </w:t>
      </w:r>
      <w:r w:rsidRPr="00854551">
        <w:rPr>
          <w:rFonts w:ascii="Calibri" w:eastAsia="Calibri" w:hAnsi="Calibri" w:cs="Calibri"/>
          <w:lang w:val="en-US"/>
        </w:rPr>
        <w:fldChar w:fldCharType="begin" w:fldLock="1"/>
      </w:r>
      <w:r>
        <w:rPr>
          <w:rFonts w:ascii="Calibri" w:eastAsia="Calibri" w:hAnsi="Calibri" w:cs="Calibri"/>
          <w:lang w:val="en-US"/>
        </w:rPr>
        <w:instrText>ADDIN CSL_CITATION {"citationItems":[{"id":"ITEM-1","itemData":{"DOI":"10.3109/11038128.2014.961547","ISSN":"16512014","abstract":"BACKGROUND: The Occupational Therapy Intervention Process Model (OTIPM) serves to guide occupational therapists in their professional reasoning. The OTIPM prescribes evaluation of task performance based on both self-report and observation. Although this approach seems ideal, many clinicians raise the issue that time to perform evaluations is limited. It is, therefore, relevant to examine whether similar information concerning task performance can be obtained using self-report or observation. OBJECTIVE: The aims were to investigate what information can be obtained regarding the quality of ADL task performance based on self-report and observation, respectively, and to examine the relationship between measures of self-reported and observed quality of ADL task performance. METHODS: The quality of ADL task performance among 20 adults with depression was evaluated using the ADL Interview (ADL-I) and the Assessment of Motor and Process Skills (AMPS). RESULTS AND CONCLUSIONS: Results indicated that participants both reported and demonstrated increased effort and/or fatigue, increased use of time, need for assistance, and safety problems. However, little relationship was found between measures of self-reported and observed quality of ADL task performance, supporting the use of both self-report and observation as part of the evaluation phase outlined in the OTIPM.","author":[{"dropping-particle":"","family":"Nielsen","given":"Kristina Tomra","non-dropping-particle":"","parse-names":false,"suffix":""},{"dropping-particle":"","family":"Wæhrens","given":"Eva Ejlersen","non-dropping-particle":"","parse-names":false,"suffix":""}],"container-title":"Scandinavian Journal of Occupational Therapy","id":"ITEM-1","issue":"1","issued":{"date-parts":[["2015"]]},"page":"13-23","title":"Occupational therapy evaluation: Use of self-report and/or observation?","type":"article-journal","volume":"22"},"uris":["http://www.mendeley.com/documents/?uuid=d290c10f-6147-4f9b-b654-35f9ef9d9b0b"]},{"id":"ITEM-2","itemData":{"DOI":"10.3109/03009742.2011.632380","ISSN":"03009742","abstract":"OBJECTIVES: Although self-report based on questionnaire is the common method to obtain information about activities of daily living (ADL) ability in rheumatic diseases, little is known about the relationship between measures of ADL ability based on questionnaire, interview, and observation. The present study examined whether measures of self-reported ADL ability based on questionnaire and interview yielded different results, determined whether the magnitude of the difference varied among women with rheumatoid arthritis (RA), knee osteoarthritis (OA), and fibromyalgia (FM), and investigated the relationships between self-reported and observed ADL ability. METHOD: The 47 ADL tasks of the ADL taxonomy were used to evaluate self-reported ADL ability based on questionnaire (ADL-Q) and interview (ADL-I), and the Assessment of Motor and Process Skills (AMPS) was used to obtain measures of observed ADL ability. RESULTS: Participants across diagnostic groups reported significantly more ADL ability based on the ADL-Q than on the ADL-I. Moderate correlations were found between the ADL-Q and ADL-I ability measures. Although low to moderate correlations were seen between measures based on the AMPS ADL motor scale and the ADL-Q and ADL-I, respectively, correlations between measures based on AMPS ADL process scale and ADL-Q and ADL-I were generally low. Overall, there was no difference in how the measures based on the two modes of self-report related to the observed ADL ability measures. CONCLUSION: Measures of self-reported ADL ability based on either questionnaire or interview have limited relationship to each other or to observed performance of ADL tasks.","author":[{"dropping-particle":"","family":"Wæhrens","given":"E. E.","non-dropping-particle":"","parse-names":false,"suffix":""},{"dropping-particle":"","family":"Bliddal","given":"H.","non-dropping-particle":"","parse-names":false,"suffix":""},{"dropping-particle":"","family":"Danneskiold-Samsøe","given":"B.","non-dropping-particle":"","parse-names":false,"suffix":""},{"dropping-particle":"","family":"Lund","given":"H.","non-dropping-particle":"","parse-names":false,"suffix":""},{"dropping-particle":"","family":"Fisher","given":"A. G.","non-dropping-particle":"","parse-names":false,"suffix":""}],"container-title":"Scandinavian Journal of Rheumatology","id":"ITEM-2","issue":"2","issued":{"date-parts":[["2012"]]},"page":"95-102","title":"Differences between questionnaire-and interview-based measures of activities of daily living (ADL) ability and their association with observed ADL ability in women with rheumatoid arthritis, knee osteoarthritis, and fibromyalgia","type":"article-journal","volume":"41"},"uris":["http://www.mendeley.com/documents/?uuid=c1a9fa08-1535-4e65-98fa-9d99dc399c5b"]},{"id":"ITEM-3","itemData":{"DOI":"10.3109/11038120903165115","ISSN":"11038128","abstract":"BACKGROUND: Occupational therapists' ability to develop diagnostic-specific ADL intervention strategies is facilitated by an understanding of the ADL abilities of diagnostic groups.\\n\\nAIM: To determine whether there are significant differences in ADL ability and ADL skill profiles between samples of persons with bipolar disorder depression (n=158), bipolar disorder mania (n=200), and schizophrenia (n=200). Methods. All participants were assessed using the Assessment of Motor and Process Skills (AMPS). Mean ADL ability and skill item calibrations were compared between the three diagnostic samples.\\n\\nFINDINGS: No clinically significant differences were found in mean ADL ability. The ADL process skill item \"Attends\" was more difficult for those with bipolar disorder mania than for those with bipolar disorder depression. This difference did not disrupt the measurement model.\\n\\nIMPLICATIONS: The findings fail to support the idea that valid predictions of skill performance can be made on the basis of psychiatric diagnosis. Thus, occupational performance must be assessed individually. The findings also provide solid evidence that valid measures of ADL ability are generated when persons with bipolar disorder and schizophrenia complete the AMPS. Intervention strategies are recommended to address limitations in the skill Attends among persons with bipolar disorder manic episode.","author":[{"dropping-particle":"","family":"Moore","given":"Karla","non-dropping-particle":"","parse-names":false,"suffix":""},{"dropping-particle":"","family":"Merritt","given":"Brenda","non-dropping-particle":"","parse-names":false,"suffix":""},{"dropping-particle":"","family":"Doble","given":"Susan E.","non-dropping-particle":"","parse-names":false,"suffix":""}],"container-title":"Scandinavian Journal of Occupational Therapy","id":"ITEM-3","issue":"1","issued":{"date-parts":[["2010"]]},"page":"77-85","title":"ADL skill profiles across three psychiatric diagnoses","type":"article-journal","volume":"17"},"uris":["http://www.mendeley.com/documents/?uuid=e3fcae44-5f56-4f83-99fc-029346a319f7"]},{"id":"ITEM-4","itemData":{"DOI":"10.3109/11038128.2015.1095237","ISSN":"16512014","abstract":"BACKGROUND: Subgroups of women with fibromyalgia likely show different activity of daily living (ADL) skill deficits. Identifying ineffective ADL skills of significance in the 'typical' woman with fibromyalgia will promote the planning of targeted occupational therapy interventions aiming at improving ADL ability. OBJECTIVE: To identify frequently reported ADL skill deficits of significance in subgroups of women with fibromyalgia who have decreased ADL motor ability in combination with decreased or competent ADL process ability. METHOD: Women with fibromyalgia were evaluated with the Assessment of Motor and Process Skills (AMPS). If they demonstrated decreased ADL motor ability, the calibrated AMPS raters identified and reported ineffective ADL skills of significance. Descriptive comparisons were made between subgroups displaying either decreased or competent ADL process ability. RESULTS: Moves, calibrates, bends, reaches, and paces were identified as the most frequently reported ineffective ADL skills of significance within the total sample (n = 188). The ADL process skills items organise and accommodate were identified as ineffective only in the subgroup with decreased ADL process ability (n = 105). CONCLUSION: It is suggested that clinicians modify the individual's tasks and environments to compensate for identified ineffective ADL skills and to use the AMPS to differentiate interventions in women with fibromyalgia.","author":[{"dropping-particle":"","family":"Bülow","given":"Cecilie","non-dropping-particle":"Von","parse-names":false,"suffix":""},{"dropping-particle":"","family":"Amris","given":"Kirstine","non-dropping-particle":"","parse-names":false,"suffix":""},{"dropping-particle":"","family":"Cour","given":"Karen","non-dropping-particle":"La","parse-names":false,"suffix":""},{"dropping-particle":"","family":"Danneskiold-Samsøe","given":"Bente","non-dropping-particle":"","parse-names":false,"suffix":""},{"dropping-particle":"","family":"Wæhrens","given":"Eva Ejlersen","non-dropping-particle":"","parse-names":false,"suffix":""}],"container-title":"Scandinavian Journal of Occupational Therapy","id":"ITEM-4","issue":"5","issued":{"date-parts":[["2016"]]},"page":"391-397","title":"Ineffective ADL skills in women with fibromyalgia: a cross-sectional study","type":"article-journal","volume":"23"},"uris":["http://www.mendeley.com/documents/?uuid=9a21e455-2aae-4786-9d0e-f5a2fe7bf79d"]},{"id":"ITEM-5","itemData":{"DOI":"10.1016/j.pain.2010.06.008","ISSN":"03043959","abstract":"Functional ability, including the ability to perform activities of daily living (ADL), is considered a core outcome domain in chronic pain clinical trials and is usually assessed through generic or disease-specific self-report questionnaires. Research, however, indicates that self-report and performance-based assessment of ADL offer distinct but complementary information about ability. The present study, therefore, investigated the applicability of a performance-based measure of ADL ability, the Assessment of Motor and Process Skills (AMPS), among 50 women with chronic widespread pain. The investigated psychometric properties of the AMPS included discrimination between a sample of healthy women and those with chronic widespread pain, as well as stability when no intervention was provided and sensitivity to change following intervention. Data were obtained based on a repeated measures design performing AMPS evaluations twice pre- and twice post-rehabilitation. Results indicated that the ADL motor ability measures of the participants were significantly lower than those of healthy women of same age, the ADL motor and ADL process ability measures remained stable when no intervention was provided and the ADL motor ability measures were sensitive to change following a 2-week interdisciplinary rehabilitation program. A weak correlation (rs = -0.35) was found between self-reported ADL ability as measured by the physical function subscale of the Functional Impact Questionnaire (FIQ) and performance-based ADL motor measures, and no correlation (rs = -0.02) was found between FIQ ADL measures and ADL process ability, supporting the need for both performance-based and self-reported assessment of ADL. © 2010 International Association for the Study of Pain. Published by Elsevier B.V. All rights reserved.","author":[{"dropping-particle":"","family":"Wæhrens","given":"Eva Ejlersen","non-dropping-particle":"","parse-names":false,"suffix":""},{"dropping-particle":"","family":"Amris","given":"Kirstine","non-dropping-particle":"","parse-names":false,"suffix":""},{"dropping-particle":"","family":"Fisher","given":"Anne G.","non-dropping-particle":"","parse-names":false,"suffix":""}],"container-title":"Pain","id":"ITEM-5","issue":"3","issued":{"date-parts":[["2010"]]},"page":"535-541","title":"Performance-based assessment of activities of daily living (ADL) ability among women with chronic widespread pain","type":"article-journal","volume":"150"},"uris":["http://www.mendeley.com/documents/?uuid=0577af3d-f6ab-4e64-8018-6fc62a41eae7"]}],"mendeley":{"formattedCitation":"(3,5,11–13)","plainTextFormattedCitation":"(3,5,11–13)","previouslyFormattedCitation":"(3,5,11–13)"},"properties":{"noteIndex":0},"schema":"https://github.com/citation-style-language/schema/raw/master/csl-citation.json"}</w:instrText>
      </w:r>
      <w:r w:rsidRPr="00854551">
        <w:rPr>
          <w:rFonts w:ascii="Calibri" w:eastAsia="Calibri" w:hAnsi="Calibri" w:cs="Calibri"/>
          <w:lang w:val="en-US"/>
        </w:rPr>
        <w:fldChar w:fldCharType="separate"/>
      </w:r>
      <w:r w:rsidRPr="00854551">
        <w:rPr>
          <w:rFonts w:ascii="Calibri" w:eastAsia="Calibri" w:hAnsi="Calibri" w:cs="Calibri"/>
          <w:noProof/>
          <w:lang w:val="en-US"/>
        </w:rPr>
        <w:t>(3,5,11–13)</w:t>
      </w:r>
      <w:r w:rsidRPr="00854551">
        <w:rPr>
          <w:rFonts w:ascii="Calibri" w:eastAsia="Calibri" w:hAnsi="Calibri" w:cs="Calibri"/>
          <w:lang w:val="en-US"/>
        </w:rPr>
        <w:fldChar w:fldCharType="end"/>
      </w:r>
      <w:r w:rsidRPr="00854551">
        <w:rPr>
          <w:rFonts w:ascii="Calibri" w:eastAsia="Calibri" w:hAnsi="Calibri" w:cs="Calibri"/>
          <w:lang w:val="en-US"/>
        </w:rPr>
        <w:t xml:space="preserve">. Furthermore, several studies reveal that the AMPS demonstrates sensitivity to change post-intervention </w:t>
      </w:r>
      <w:r w:rsidRPr="00854551">
        <w:rPr>
          <w:rFonts w:ascii="Calibri" w:eastAsia="Calibri" w:hAnsi="Calibri" w:cs="Calibri"/>
          <w:lang w:val="en-US"/>
        </w:rPr>
        <w:fldChar w:fldCharType="begin" w:fldLock="1"/>
      </w:r>
      <w:r>
        <w:rPr>
          <w:rFonts w:ascii="Calibri" w:eastAsia="Calibri" w:hAnsi="Calibri" w:cs="Calibri"/>
          <w:lang w:val="en-US"/>
        </w:rPr>
        <w:instrText>ADDIN CSL_CITATION {"citationItems":[{"id":"ITEM-1","itemData":{"DOI":"10.1016/j.pain.2010.06.008","ISSN":"03043959","abstract":"Functional ability, including the ability to perform activities of daily living (ADL), is considered a core outcome domain in chronic pain clinical trials and is usually assessed through generic or disease-specific self-report questionnaires. Research, however, indicates that self-report and performance-based assessment of ADL offer distinct but complementary information about ability. The present study, therefore, investigated the applicability of a performance-based measure of ADL ability, the Assessment of Motor and Process Skills (AMPS), among 50 women with chronic widespread pain. The investigated psychometric properties of the AMPS included discrimination between a sample of healthy women and those with chronic widespread pain, as well as stability when no intervention was provided and sensitivity to change following intervention. Data were obtained based on a repeated measures design performing AMPS evaluations twice pre- and twice post-rehabilitation. Results indicated that the ADL motor ability measures of the participants were significantly lower than those of healthy women of same age, the ADL motor and ADL process ability measures remained stable when no intervention was provided and the ADL motor ability measures were sensitive to change following a 2-week interdisciplinary rehabilitation program. A weak correlation (rs = -0.35) was found between self-reported ADL ability as measured by the physical function subscale of the Functional Impact Questionnaire (FIQ) and performance-based ADL motor measures, and no correlation (rs = -0.02) was found between FIQ ADL measures and ADL process ability, supporting the need for both performance-based and self-reported assessment of ADL. © 2010 International Association for the Study of Pain. Published by Elsevier B.V. All rights reserved.","author":[{"dropping-particle":"","family":"Wæhrens","given":"Eva Ejlersen","non-dropping-particle":"","parse-names":false,"suffix":""},{"dropping-particle":"","family":"Amris","given":"Kirstine","non-dropping-particle":"","parse-names":false,"suffix":""},{"dropping-particle":"","family":"Fisher","given":"Anne G.","non-dropping-particle":"","parse-names":false,"suffix":""}],"container-title":"Pain","id":"ITEM-1","issue":"3","issued":{"date-parts":[["2010"]]},"page":"535-541","title":"Performance-based assessment of activities of daily living (ADL) ability among women with chronic widespread pain","type":"article-journal","volume":"150"},"uris":["http://www.mendeley.com/documents/?uuid=0577af3d-f6ab-4e64-8018-6fc62a41eae7"]},{"id":"ITEM-2","itemData":{"DOI":"10.1136/bmj.39001.688843.BE","ISSN":"09598146","abstract":"Objective To determine the effectiveness of community based occupational therapy on daily functioning of patients with dementia and the sense of competence of their care givers. Design Single blind randomised controlled trial. Assessors were blinded for treatment allocation. Setting Memory clinic and day clinic of a geriatrics department and participants' homes. Participants 135 patients aged [&amp;ge;]65 with mild to moderate dementia living in the community and their primary care givers. Interventions 10 sessions of occupational therapy over five weeks, including cognitive and behavioural interventions, to train patients in the use of aids to compensate for cognitive decline and care givers in coping behaviours and supervision. Main outcome measures Patients' daily functioning assessed with the assessment of motor and process skills (AMPS) and the performance scale of the interview of deterioration in daily activities in dementia (IDDD). Care giver burden assessed with the sense of competence questionnaire (SCQ). Participants were evaluated at baseline, six weeks, and three months. Results Scores improved significantly relative to baseline in patients and care givers in the intervention group compared with the controls (differences were 1.5 (95% confidence interval 1.3 to 1.7) for the process scale; -11.7 (-13.6 to -9.7) for the performance scale; and (11.0; 9.2 to 12.8) for the competence scale). This improvement was still significant at three months. The number needed to treat to reach a clinically relevant improvement in motor and process skills score was 1.3 (1.2 to 1.4) at six weeks. Effect sizes were 2.5, 2.3, and 1.2, respectively, at six weeks and 2.7, 2.4, and 0.8, respectively, at 12 weeks. Conclusions Occupational therapy improved patients' daily functioning and reduced the burden on the care giver, despite the patients' limited learning ability. Effects were still present at 12 weeks, which justifies implementation of this intervention. Trial registration Clinical Trials NCT00295152 .","author":[{"dropping-particle":"","family":"Graff","given":"Maud J.L.","non-dropping-particle":"","parse-names":false,"suffix":""},{"dropping-particle":"","family":"Vernooij-Dassen","given":"Myrra J.M.","non-dropping-particle":"","parse-names":false,"suffix":""},{"dropping-particle":"","family":"Thijssen","given":"Marjolein","non-dropping-particle":"","parse-names":false,"suffix":""},{"dropping-particle":"","family":"Dekker","given":"Joost","non-dropping-particle":"","parse-names":false,"suffix":""},{"dropping-particle":"","family":"Hoefnagels","given":"Willibrord H.L.","non-dropping-particle":"","parse-names":false,"suffix":""},{"dropping-particle":"","family":"Rikkert","given":"Marcel G.M.Olde","non-dropping-particle":"","parse-names":false,"suffix":""}],"container-title":"British Medical Journal","id":"ITEM-2","issue":"7580","issued":{"date-parts":[["2006"]]},"page":"1196-1199","title":"Community based occupational therapy for patients with dementia and their care givers: Randomised controlled trial","type":"article-journal","volume":"333"},"uris":["http://www.mendeley.com/documents/?uuid=ad9b3cc6-8f22-4baf-a748-1cb006408029"]},{"id":"ITEM-3","itemData":{"author":[{"dropping-particle":"","family":"Nielsen","given":"Kristina Tomra","non-dropping-particle":"","parse-names":false,"suffix":""},{"dropping-particle":"","family":"Guidetti","given":"Susanne","non-dropping-particle":"","parse-names":false,"suffix":""},{"dropping-particle":"von","family":"Bülow","given":"Cecilie","non-dropping-particle":"","parse-names":false,"suffix":""},{"dropping-particle":"","family":"Klokker","given":"Louise","non-dropping-particle":"","parse-names":false,"suffix":""},{"dropping-particle":"","family":"Wæhrens","given":"Eva Ejlersen","non-dropping-particle":"","parse-names":false,"suffix":""}],"container-title":"Pilot and Feasibility Studies","id":"ITEM-3","issue":"52","issued":{"date-parts":[["2021"]]},"title":"Feasibility of ABLE 1.0 – a program aiming at enhancing the ability to perform activities of daily living in persons with chronic conditions","type":"article-journal","volume":"7"},"uris":["http://www.mendeley.com/documents/?uuid=d1e4394d-343a-40bd-a4b4-98e9b3dc95d8"]},{"id":"ITEM-4","itemData":{"DOI":"10.1186/s13075-019-1924-9","ISSN":"14786362","abstract":"Background: People with hand-related rheumatoid arthritis (RA) experience problems performing activities of daily living (ADL). Compensatory strategies to improve ADL ability have shown effective. Similarly, hand exercise has shown effect on pain, grip strength, and self-reported ability. A combination has shown positive effects based on self-report, but self-report and observation provide distinct information about ADL. The purpose of this study was to examine whether hand exercise as add on to compensatory intervention (CIP) will improve observed ADL ability in RA. Methods: Women (n = 55) with hand-related RA were randomized to CIPEXERCISE (intervention) or CIP only (control). CIP is focused on joint protection, assistive devices, and alternative ways of performing AD. The hand-exercise program addressed range of motion and muscle strength. Primary outcome was change in observed ADL motor ability measured by the Assessment of Motor and Process Skills (AMPS). Baseline measures were repeated after 8 weeks. Results: Improvements in ADL motor ability in CIPEXERCISE (mean change = 0.24 logits; 95% CI = 0.09 to 0.39) and CIPCONTROL (mean change =0.20 logits; 95% CI = 0.05 to 0.35) were statistically significant, with no differences between groups (mean difference = 0.04 logits; 95% CI = - 0.16 to 0.25). Thirteen (46.4%) participants in the CIPEXERCISE and 12 (44.4%) in the CIPCONTROL obtained clinically relevant improvements (≥ 0.30 logits) in ADL motor ability; this group difference was not significant (z = 0.15; p = 0.88). Conclusion: Adding hand exercise to a compensatory intervention did not yield additional benefits in women with hand-related RA. The study was approved by the ethics committee 14th of April 2014 (H-3-2014-025) and registered at ClinicalTrials.gov 16th of May 2014 (NCT02140866).","author":[{"dropping-particle":"","family":"Ellegaard","given":"Karen","non-dropping-particle":"","parse-names":false,"suffix":""},{"dropping-particle":"","family":"Bülow","given":"Cecilie","non-dropping-particle":"von","parse-names":false,"suffix":""},{"dropping-particle":"","family":"Røpke","given":"Alice","non-dropping-particle":"","parse-names":false,"suffix":""},{"dropping-particle":"","family":"Bartholdy","given":"Cecilie","non-dropping-particle":"","parse-names":false,"suffix":""},{"dropping-particle":"","family":"Hansen","given":"Inge Skovby","non-dropping-particle":"","parse-names":false,"suffix":""},{"dropping-particle":"","family":"Rifbjerg-Madsen","given":"Signe","non-dropping-particle":"","parse-names":false,"suffix":""},{"dropping-particle":"","family":"Henriksen","given":"Marius","non-dropping-particle":"","parse-names":false,"suffix":""},{"dropping-particle":"","family":"Wæhrens","given":"Eva Ejlersen","non-dropping-particle":"","parse-names":false,"suffix":""}],"container-title":"Arthritis Research and Therapy","id":"ITEM-4","issue":"1","issued":{"date-parts":[["2019"]]},"page":"1-9","publisher":"Arthritis Research &amp; Therapy","title":"Hand exercise for women with rheumatoid arthritis and decreased hand function: An exploratory randomized controlled trial","type":"article-journal","volume":"21"},"uris":["http://www.mendeley.com/documents/?uuid=dfd50607-f568-48cc-9418-0ec7ee284282"]}],"mendeley":{"formattedCitation":"(13–16)","plainTextFormattedCitation":"(13–16)","previouslyFormattedCitation":"(13–16)"},"properties":{"noteIndex":0},"schema":"https://github.com/citation-style-language/schema/raw/master/csl-citation.json"}</w:instrText>
      </w:r>
      <w:r w:rsidRPr="00854551">
        <w:rPr>
          <w:rFonts w:ascii="Calibri" w:eastAsia="Calibri" w:hAnsi="Calibri" w:cs="Calibri"/>
          <w:lang w:val="en-US"/>
        </w:rPr>
        <w:fldChar w:fldCharType="separate"/>
      </w:r>
      <w:r w:rsidRPr="00854551">
        <w:rPr>
          <w:rFonts w:ascii="Calibri" w:eastAsia="Calibri" w:hAnsi="Calibri" w:cs="Calibri"/>
          <w:noProof/>
          <w:lang w:val="en-US"/>
        </w:rPr>
        <w:t>(13–16)</w:t>
      </w:r>
      <w:r w:rsidRPr="00854551">
        <w:rPr>
          <w:rFonts w:ascii="Calibri" w:eastAsia="Calibri" w:hAnsi="Calibri" w:cs="Calibri"/>
          <w:lang w:val="en-US"/>
        </w:rPr>
        <w:fldChar w:fldCharType="end"/>
      </w:r>
      <w:r w:rsidRPr="00854551">
        <w:rPr>
          <w:rFonts w:ascii="Calibri" w:eastAsia="Calibri" w:hAnsi="Calibri" w:cs="Calibri"/>
          <w:lang w:val="en-US"/>
        </w:rPr>
        <w:t>.</w:t>
      </w:r>
      <w:r w:rsidRPr="00854551">
        <w:rPr>
          <w:rFonts w:ascii="Calibri" w:eastAsia="Calibri" w:hAnsi="Calibri" w:cs="Calibri"/>
          <w:color w:val="FF0000"/>
          <w:lang w:val="en-US"/>
        </w:rPr>
        <w:t xml:space="preserve"> </w:t>
      </w:r>
      <w:r w:rsidRPr="00854551">
        <w:rPr>
          <w:rFonts w:ascii="Calibri" w:eastAsia="Calibri" w:hAnsi="Calibri" w:cs="Calibri"/>
          <w:lang w:val="en-US"/>
        </w:rPr>
        <w:t xml:space="preserve">According to the AMPS manual </w:t>
      </w:r>
      <w:r w:rsidRPr="00854551">
        <w:rPr>
          <w:rFonts w:ascii="Calibri" w:eastAsia="Calibri" w:hAnsi="Calibri" w:cs="Calibri"/>
          <w:lang w:val="en-US"/>
        </w:rPr>
        <w:fldChar w:fldCharType="begin" w:fldLock="1"/>
      </w:r>
      <w:r>
        <w:rPr>
          <w:rFonts w:ascii="Calibri" w:eastAsia="Calibri" w:hAnsi="Calibri" w:cs="Calibri"/>
          <w:lang w:val="en-US"/>
        </w:rPr>
        <w:instrText>ADDIN CSL_CITATION {"citationItems":[{"id":"ITEM-1","itemData":{"ISBN":"0977430170, 9780977430178","author":[{"dropping-particle":"","family":"Fisher","given":"Anne G","non-dropping-particle":"","parse-names":false,"suffix":""},{"dropping-particle":"","family":"Jones","given":"Kristin Bray","non-dropping-particle":"","parse-names":false,"suffix":""}],"edition":"7th ed.","id":"ITEM-1","issued":{"date-parts":[["2012"]]},"note":"Sammenhørende med Assessment of motor and process skills: Volume 2: User Manual","publisher":"Three Star Press","publisher-place":"Fort Collins, Colorado, USA","title":"Assessment of motor and process skills. Volume 1: Development, standardization, and administration manual","type":"book"},"uris":["http://www.mendeley.com/documents/?uuid=b387c1ed-21f6-4fe5-8312-97ae83c0fb62"]}],"mendeley":{"formattedCitation":"(7)","plainTextFormattedCitation":"(7)","previouslyFormattedCitation":"(7)"},"properties":{"noteIndex":0},"schema":"https://github.com/citation-style-language/schema/raw/master/csl-citation.json"}</w:instrText>
      </w:r>
      <w:r w:rsidRPr="00854551">
        <w:rPr>
          <w:rFonts w:ascii="Calibri" w:eastAsia="Calibri" w:hAnsi="Calibri" w:cs="Calibri"/>
          <w:lang w:val="en-US"/>
        </w:rPr>
        <w:fldChar w:fldCharType="separate"/>
      </w:r>
      <w:r w:rsidRPr="00854551">
        <w:rPr>
          <w:rFonts w:ascii="Calibri" w:eastAsia="Calibri" w:hAnsi="Calibri" w:cs="Calibri"/>
          <w:noProof/>
          <w:lang w:val="en-US"/>
        </w:rPr>
        <w:t>(7)</w:t>
      </w:r>
      <w:r w:rsidRPr="00854551">
        <w:rPr>
          <w:rFonts w:ascii="Calibri" w:eastAsia="Calibri" w:hAnsi="Calibri" w:cs="Calibri"/>
          <w:lang w:val="en-US"/>
        </w:rPr>
        <w:fldChar w:fldCharType="end"/>
      </w:r>
      <w:r w:rsidRPr="00854551">
        <w:rPr>
          <w:rFonts w:ascii="Calibri" w:eastAsia="Calibri" w:hAnsi="Calibri" w:cs="Calibri"/>
          <w:lang w:val="en-US"/>
        </w:rPr>
        <w:t xml:space="preserve"> </w:t>
      </w:r>
      <w:bookmarkStart w:id="1" w:name="_Hlk60737181"/>
      <w:r w:rsidRPr="00854551">
        <w:rPr>
          <w:rFonts w:ascii="Calibri" w:eastAsia="Calibri" w:hAnsi="Calibri" w:cs="Calibri"/>
          <w:lang w:val="en-US"/>
        </w:rPr>
        <w:t xml:space="preserve">a difference of ≥ 0.30 logits on the ADL motor and/or ADL process scales defines a clinically relevant difference in ADL ability. </w:t>
      </w:r>
      <w:r w:rsidRPr="00854551">
        <w:rPr>
          <w:rFonts w:ascii="Calibri" w:eastAsia="Calibri" w:hAnsi="Calibri" w:cs="Times New Roman"/>
          <w:lang w:val="en-US"/>
        </w:rPr>
        <w:t>AMPS can only be administered by calibrated assessors.</w:t>
      </w:r>
      <w:bookmarkEnd w:id="1"/>
      <w:r w:rsidRPr="00854551">
        <w:rPr>
          <w:rFonts w:ascii="Calibri" w:eastAsia="Calibri" w:hAnsi="Calibri" w:cs="Times New Roman"/>
          <w:lang w:val="en-US"/>
        </w:rPr>
        <w:t xml:space="preserve">  </w:t>
      </w:r>
    </w:p>
    <w:p w14:paraId="4E63C0F3" w14:textId="77777777" w:rsidR="00854551" w:rsidRDefault="00854551" w:rsidP="00755346">
      <w:pPr>
        <w:pStyle w:val="Overskrift2"/>
        <w:spacing w:line="480" w:lineRule="auto"/>
      </w:pPr>
      <w:r>
        <w:t>Goal Attainment Scaling</w:t>
      </w:r>
    </w:p>
    <w:p w14:paraId="63EE0A09" w14:textId="7574EF9C" w:rsidR="00854551" w:rsidRPr="00652EFB" w:rsidRDefault="00755346" w:rsidP="008C0C2C">
      <w:pPr>
        <w:spacing w:line="480" w:lineRule="auto"/>
        <w:rPr>
          <w:rFonts w:ascii="Calibri" w:eastAsia="Calibri" w:hAnsi="Calibri" w:cs="Calibri"/>
        </w:rPr>
      </w:pPr>
      <w:r w:rsidRPr="00755346">
        <w:rPr>
          <w:rFonts w:ascii="Calibri" w:eastAsia="Calibri" w:hAnsi="Calibri" w:cs="Times New Roman"/>
        </w:rPr>
        <w:t>Goal</w:t>
      </w:r>
      <w:r>
        <w:rPr>
          <w:rFonts w:ascii="Calibri" w:eastAsia="Calibri" w:hAnsi="Calibri" w:cs="Times New Roman"/>
        </w:rPr>
        <w:t xml:space="preserve"> Attainment Scaling (GAS)</w:t>
      </w:r>
      <w:r w:rsidRPr="00755346">
        <w:rPr>
          <w:rFonts w:ascii="Calibri" w:eastAsia="Calibri" w:hAnsi="Calibri" w:cs="Times New Roman"/>
        </w:rPr>
        <w:t xml:space="preserve"> </w:t>
      </w:r>
      <w:r w:rsidRPr="00A32904">
        <w:rPr>
          <w:rFonts w:ascii="Calibri" w:eastAsia="Calibri" w:hAnsi="Calibri" w:cs="Calibri"/>
          <w:lang w:val="en-US"/>
        </w:rPr>
        <w:fldChar w:fldCharType="begin" w:fldLock="1"/>
      </w:r>
      <w:r w:rsidR="004A7F3B">
        <w:rPr>
          <w:rFonts w:ascii="Calibri" w:eastAsia="Calibri" w:hAnsi="Calibri" w:cs="Calibri"/>
        </w:rPr>
        <w:instrText>ADDIN CSL_CITATION {"citationItems":[{"id":"ITEM-1","itemData":{"ISBN":"0898598893","author":[{"dropping-particle":"","family":"Kiresuk","given":"Thomas J","non-dropping-particle":"","parse-names":false,"suffix":""},{"dropping-particle":"","family":"Smith","given":"Aaron","non-dropping-particle":"","parse-names":false,"suffix":""},{"dropping-particle":"","family":"Cardillo","given":"Joseph E","non-dropping-particle":"","parse-names":false,"suffix":""}],"id":"ITEM-1","issued":{"date-parts":[["1994"]]},"publisher":"L. Erlbaum Associates","publisher-place":"Hillsdale, N.J.","title":"Goal Attainment Scaling : Applications, theory, and measurement","type":"book"},"uris":["http://www.mendeley.com/documents/?uuid=c82a98f3-6541-4851-b03e-c2f5c5863e8a"]},{"id":"ITEM-2","itemData":{"DOI":"10.1016/j.rehab.2013.02.002","ISBN":"0960-2011","ISSN":"18770657","PMID":"23562111","abstract":"Goal Attainment Scaling (GAS) is a method for quantifying progress on personal goals. Turner-Stokes's guide to GAS is a method for quantifying progress towards personal goals. Turner-Stokes's guide and the use of Kiresuk's T-score are the most widely used GAS-based approaches in rehabilitation. However, the literature describes a number of other approaches and emphasizes the need for caution when using the T-score. This article presents the literature debates on GAS, variations of GAS (in terms of the score level assigned to the patient's initial status and description of the scale's different levels), the precautions to be taken to produce valid GAS scales and the various ways of analyzing GAS results. Our objective is to (i) provide clinical teams with a critical view of GAS (the application of which is not limited to a single research group's practices) and (ii) present the most useful resources and guidelines on writing GAS scales. According to the literature, it appears to be preferable to set the patient's initial level to -2 (even when worsening is a possible outcome) and to describe all five GAS levels in detail. The use of medians and rank tests appears to be appropriate, given the ordinal nature of GAS. © 2013 Elsevier Masson SAS.","author":[{"dropping-particle":"","family":"Krasny-Pacini","given":"A.","non-dropping-particle":"","parse-names":false,"suffix":""},{"dropping-particle":"","family":"Hiebel","given":"J.","non-dropping-particle":"","parse-names":false,"suffix":""},{"dropping-particle":"","family":"Pauly","given":"F.","non-dropping-particle":"","parse-names":false,"suffix":""},{"dropping-particle":"","family":"Godon","given":"S.","non-dropping-particle":"","parse-names":false,"suffix":""},{"dropping-particle":"","family":"Chevignard","given":"M.","non-dropping-particle":"","parse-names":false,"suffix":""}],"container-title":"Annals of Physical and Rehabilitation Medicine","id":"ITEM-2","issue":"3","issued":{"date-parts":[["2013"]]},"page":"212-230","publisher":"Elsevier Masson SAS","title":"Goal Attainment Scaling in rehabilitation: A literature-based update","type":"article-journal","volume":"56"},"uris":["http://www.mendeley.com/documents/?uuid=1a07e20e-c0f4-4a60-b4a0-4eca96d9419b"]}],"mendeley":{"formattedCitation":"(17,18)","plainTextFormattedCitation":"(17,18)","previouslyFormattedCitation":"(17,18)"},"properties":{"noteIndex":0},"schema":"https://github.com/citation-style-language/schema/raw/master/csl-citation.json"}</w:instrText>
      </w:r>
      <w:r w:rsidRPr="00A32904">
        <w:rPr>
          <w:rFonts w:ascii="Calibri" w:eastAsia="Calibri" w:hAnsi="Calibri" w:cs="Calibri"/>
          <w:lang w:val="en-US"/>
        </w:rPr>
        <w:fldChar w:fldCharType="separate"/>
      </w:r>
      <w:r w:rsidRPr="00755346">
        <w:rPr>
          <w:rFonts w:ascii="Calibri" w:eastAsia="Calibri" w:hAnsi="Calibri" w:cs="Calibri"/>
          <w:noProof/>
        </w:rPr>
        <w:t>(17,18)</w:t>
      </w:r>
      <w:r w:rsidRPr="00A32904">
        <w:rPr>
          <w:rFonts w:ascii="Calibri" w:eastAsia="Calibri" w:hAnsi="Calibri" w:cs="Calibri"/>
        </w:rPr>
        <w:fldChar w:fldCharType="end"/>
      </w:r>
      <w:r w:rsidRPr="00755346">
        <w:rPr>
          <w:rFonts w:ascii="Calibri" w:eastAsia="Calibri" w:hAnsi="Calibri" w:cs="Calibri"/>
        </w:rPr>
        <w:t xml:space="preserve"> </w:t>
      </w:r>
      <w:r>
        <w:rPr>
          <w:rFonts w:ascii="Calibri" w:eastAsia="Calibri" w:hAnsi="Calibri" w:cs="Calibri"/>
        </w:rPr>
        <w:t xml:space="preserve">is used in </w:t>
      </w:r>
      <w:r w:rsidR="00A36E94">
        <w:rPr>
          <w:rFonts w:ascii="Calibri" w:eastAsia="Calibri" w:hAnsi="Calibri" w:cs="Calibri"/>
        </w:rPr>
        <w:t xml:space="preserve">session 2 in </w:t>
      </w:r>
      <w:r>
        <w:rPr>
          <w:rFonts w:ascii="Calibri" w:eastAsia="Calibri" w:hAnsi="Calibri" w:cs="Calibri"/>
        </w:rPr>
        <w:t>the ABLE 2.0 to facilitate the dialogue between the client and the O</w:t>
      </w:r>
      <w:r w:rsidR="00652EFB">
        <w:rPr>
          <w:rFonts w:ascii="Calibri" w:eastAsia="Calibri" w:hAnsi="Calibri" w:cs="Calibri"/>
        </w:rPr>
        <w:t>T in the process of setting client-centred, quantifiable goals and to measure improvements towards these goals. Hence t</w:t>
      </w:r>
      <w:r w:rsidRPr="00331A1E">
        <w:rPr>
          <w:rFonts w:ascii="Calibri" w:eastAsia="Calibri" w:hAnsi="Calibri" w:cs="Calibri"/>
        </w:rPr>
        <w:t xml:space="preserve">he </w:t>
      </w:r>
      <w:r w:rsidR="00652EFB">
        <w:rPr>
          <w:rFonts w:ascii="Calibri" w:eastAsia="Calibri" w:hAnsi="Calibri" w:cs="Calibri"/>
        </w:rPr>
        <w:t xml:space="preserve">client </w:t>
      </w:r>
      <w:r w:rsidRPr="00331A1E">
        <w:rPr>
          <w:rFonts w:ascii="Calibri" w:eastAsia="Calibri" w:hAnsi="Calibri" w:cs="Calibri"/>
        </w:rPr>
        <w:t xml:space="preserve">is actively involved in defining goals and describing the levels of goal attainment. </w:t>
      </w:r>
      <w:r w:rsidRPr="00A32904">
        <w:rPr>
          <w:rFonts w:ascii="Calibri" w:eastAsia="Calibri" w:hAnsi="Calibri" w:cs="Calibri"/>
          <w:lang w:val="en-US"/>
        </w:rPr>
        <w:t xml:space="preserve">When a goal is being defined, measurable and observable indicators that can be used to evaluate the progress towards the goal (e.g., independence, duration and frequency). The level of goal attainment is described using an ordinal scale from −2 to +2. The actual level of performance is described at level −1, and the expected level is described at level 0. Level +1 and level +2 are descriptions of what the person will be able to, if he or she achieves more than expected. Level −2 describes the level, where the person achieves less than expected. A feasibility study </w:t>
      </w:r>
      <w:r w:rsidRPr="00A32904">
        <w:rPr>
          <w:rFonts w:ascii="Calibri" w:eastAsia="Calibri" w:hAnsi="Calibri" w:cs="Calibri"/>
          <w:lang w:val="en-US"/>
        </w:rPr>
        <w:fldChar w:fldCharType="begin" w:fldLock="1"/>
      </w:r>
      <w:r w:rsidR="006A39C8">
        <w:rPr>
          <w:rFonts w:ascii="Calibri" w:eastAsia="Calibri" w:hAnsi="Calibri" w:cs="Calibri"/>
          <w:lang w:val="en-US"/>
        </w:rPr>
        <w:instrText>ADDIN CSL_CITATION {"citationItems":[{"id":"ITEM-1","itemData":{"ISSN":"18726976","abstract":"Objective: Evaluate the feasibility of generating patient-centered goals using GAS with older adults who have multiple chronic conditions, recruited through primary care. Method: Adults age 65+ (N = 27) were recruited from a geriatric primary care center. Participants were asked to identify 2-4 activity-based goals and set attainment levels using GAS. At 8 weeks, participants were asked to rate current level of their goal performance. Physician surveys were used to evaluate if goals were realistic and feasible, and patient surveys were implemented to evaluate satisfaction. GAS T-scores were used to quantify change in goal achievement. Results: Ninety-three percent (n = 25) of participants were able to establish a minimum of two goals using GAS. 100% of participants were able to rate goal performance at follow-up. Physician survey results identified 100% of goals realistic and 93% achievable and 100% of participants were either neutral or satisfied with the process. Significant improvement was reported in GAS change scores (t(24) = 6.54, p&lt; 0.001). Conclusion: Findings support the feasibility of GAS for older adults with multiple chronic conditions in geriatric primary care as a strategy to facilitate patient-centered care and suggest that the process of personalized goal-setting itself may facilitate goal attainment.","author":[{"dropping-particle":"","family":"Toto","given":"Pamela E.","non-dropping-particle":"","parse-names":false,"suffix":""},{"dropping-particle":"","family":"Skidmore","given":"Elizabeth R.","non-dropping-particle":"","parse-names":false,"suffix":""},{"dropping-particle":"","family":"Terhorst","given":"Lauren","non-dropping-particle":"","parse-names":false,"suffix":""},{"dropping-particle":"","family":"Rosen","given":"Jules","non-dropping-particle":"","parse-names":false,"suffix":""},{"dropping-particle":"","family":"Weiner","given":"Debra K.","non-dropping-particle":"","parse-names":false,"suffix":""}],"container-title":"Archives of Gerontology and Geriatrics","id":"ITEM-1","issue":"1","issued":{"date-parts":[["2015"]]},"page":"16-21","publisher":"Elsevier Ireland Ltd","title":"Goal attainment scaling (GAS) in geriatric primary care: A feasibility study","type":"article-journal","volume":"60"},"uris":["http://www.mendeley.com/documents/?uuid=d0b7d0bf-41c9-417d-b8e6-08082067876b"]}],"mendeley":{"formattedCitation":"(19)","plainTextFormattedCitation":"(19)","previouslyFormattedCitation":"(19)"},"properties":{"noteIndex":0},"schema":"https://github.com/citation-style-language/schema/raw/master/csl-citation.json"}</w:instrText>
      </w:r>
      <w:r w:rsidRPr="00A32904">
        <w:rPr>
          <w:rFonts w:ascii="Calibri" w:eastAsia="Calibri" w:hAnsi="Calibri" w:cs="Calibri"/>
          <w:lang w:val="en-US"/>
        </w:rPr>
        <w:fldChar w:fldCharType="separate"/>
      </w:r>
      <w:r w:rsidRPr="00755346">
        <w:rPr>
          <w:rFonts w:ascii="Calibri" w:eastAsia="Calibri" w:hAnsi="Calibri" w:cs="Calibri"/>
          <w:noProof/>
          <w:lang w:val="en-US"/>
        </w:rPr>
        <w:t>(19)</w:t>
      </w:r>
      <w:r w:rsidRPr="00A32904">
        <w:rPr>
          <w:rFonts w:ascii="Calibri" w:eastAsia="Calibri" w:hAnsi="Calibri" w:cs="Calibri"/>
        </w:rPr>
        <w:fldChar w:fldCharType="end"/>
      </w:r>
      <w:r w:rsidRPr="00A32904">
        <w:rPr>
          <w:rFonts w:ascii="Calibri" w:eastAsia="Calibri" w:hAnsi="Calibri" w:cs="Calibri"/>
          <w:lang w:val="en-US"/>
        </w:rPr>
        <w:t xml:space="preserve"> concluded that GAS was applicable among older adults with multiple chronic conditions living at home.</w:t>
      </w:r>
      <w:r w:rsidRPr="00A32904">
        <w:rPr>
          <w:rFonts w:ascii="Calibri" w:eastAsia="Calibri" w:hAnsi="Calibri" w:cs="Times New Roman"/>
          <w:lang w:val="en-US"/>
        </w:rPr>
        <w:t xml:space="preserve">  </w:t>
      </w:r>
    </w:p>
    <w:p w14:paraId="3E03DA5B" w14:textId="77777777" w:rsidR="00854551" w:rsidRDefault="00854551" w:rsidP="00854551">
      <w:pPr>
        <w:pStyle w:val="Overskrift1"/>
      </w:pPr>
      <w:r>
        <w:t>References</w:t>
      </w:r>
    </w:p>
    <w:p w14:paraId="0E594880" w14:textId="3100292D" w:rsidR="006A39C8" w:rsidRPr="006A39C8" w:rsidRDefault="00854551" w:rsidP="006A39C8">
      <w:pPr>
        <w:widowControl w:val="0"/>
        <w:autoSpaceDE w:val="0"/>
        <w:autoSpaceDN w:val="0"/>
        <w:adjustRightInd w:val="0"/>
        <w:spacing w:line="480" w:lineRule="auto"/>
        <w:ind w:left="640" w:hanging="640"/>
        <w:rPr>
          <w:rFonts w:ascii="Calibri" w:hAnsi="Calibri" w:cs="Calibri"/>
          <w:noProof/>
          <w:szCs w:val="24"/>
        </w:rPr>
      </w:pPr>
      <w:r>
        <w:fldChar w:fldCharType="begin" w:fldLock="1"/>
      </w:r>
      <w:r>
        <w:instrText xml:space="preserve">ADDIN Mendeley Bibliography CSL_BIBLIOGRAPHY </w:instrText>
      </w:r>
      <w:r>
        <w:fldChar w:fldCharType="separate"/>
      </w:r>
      <w:r w:rsidR="006A39C8" w:rsidRPr="006A39C8">
        <w:rPr>
          <w:rFonts w:ascii="Calibri" w:hAnsi="Calibri" w:cs="Calibri"/>
          <w:noProof/>
          <w:szCs w:val="24"/>
        </w:rPr>
        <w:t xml:space="preserve">1. </w:t>
      </w:r>
      <w:r w:rsidR="006A39C8" w:rsidRPr="006A39C8">
        <w:rPr>
          <w:rFonts w:ascii="Calibri" w:hAnsi="Calibri" w:cs="Calibri"/>
          <w:noProof/>
          <w:szCs w:val="24"/>
        </w:rPr>
        <w:tab/>
        <w:t xml:space="preserve">Wæhrens EE. Measuring quality of occupational performance based on self-report and observation. Development and validation of instruments to evaluate ADL task performance. Sweden, Umeå: Department of Community Medicine and Rehabilitation, Umeå University; 2010. </w:t>
      </w:r>
    </w:p>
    <w:p w14:paraId="123F003D" w14:textId="77777777" w:rsidR="006A39C8" w:rsidRPr="006A39C8" w:rsidRDefault="006A39C8" w:rsidP="006A39C8">
      <w:pPr>
        <w:widowControl w:val="0"/>
        <w:autoSpaceDE w:val="0"/>
        <w:autoSpaceDN w:val="0"/>
        <w:adjustRightInd w:val="0"/>
        <w:spacing w:line="480" w:lineRule="auto"/>
        <w:ind w:left="640" w:hanging="640"/>
        <w:rPr>
          <w:rFonts w:ascii="Calibri" w:hAnsi="Calibri" w:cs="Calibri"/>
          <w:noProof/>
          <w:szCs w:val="24"/>
        </w:rPr>
      </w:pPr>
      <w:r w:rsidRPr="006A39C8">
        <w:rPr>
          <w:rFonts w:ascii="Calibri" w:hAnsi="Calibri" w:cs="Calibri"/>
          <w:noProof/>
          <w:szCs w:val="24"/>
        </w:rPr>
        <w:t xml:space="preserve">2. </w:t>
      </w:r>
      <w:r w:rsidRPr="006A39C8">
        <w:rPr>
          <w:rFonts w:ascii="Calibri" w:hAnsi="Calibri" w:cs="Calibri"/>
          <w:noProof/>
          <w:szCs w:val="24"/>
        </w:rPr>
        <w:tab/>
        <w:t xml:space="preserve">Wæhrens EE, Nielsen KT. ADL-Interview (ADL-I). Klinisk version 1.0 - Introduktion, ADL-I og administration. ACE Copenhagen. 2020. </w:t>
      </w:r>
    </w:p>
    <w:p w14:paraId="15F8DE4F" w14:textId="77777777" w:rsidR="006A39C8" w:rsidRPr="006A39C8" w:rsidRDefault="006A39C8" w:rsidP="006A39C8">
      <w:pPr>
        <w:widowControl w:val="0"/>
        <w:autoSpaceDE w:val="0"/>
        <w:autoSpaceDN w:val="0"/>
        <w:adjustRightInd w:val="0"/>
        <w:spacing w:line="480" w:lineRule="auto"/>
        <w:ind w:left="640" w:hanging="640"/>
        <w:rPr>
          <w:rFonts w:ascii="Calibri" w:hAnsi="Calibri" w:cs="Calibri"/>
          <w:noProof/>
          <w:szCs w:val="24"/>
        </w:rPr>
      </w:pPr>
      <w:r w:rsidRPr="006A39C8">
        <w:rPr>
          <w:rFonts w:ascii="Calibri" w:hAnsi="Calibri" w:cs="Calibri"/>
          <w:noProof/>
          <w:szCs w:val="24"/>
        </w:rPr>
        <w:t xml:space="preserve">3. </w:t>
      </w:r>
      <w:r w:rsidRPr="006A39C8">
        <w:rPr>
          <w:rFonts w:ascii="Calibri" w:hAnsi="Calibri" w:cs="Calibri"/>
          <w:noProof/>
          <w:szCs w:val="24"/>
        </w:rPr>
        <w:tab/>
        <w:t xml:space="preserve">Wæhrens EE, Bliddal H, Danneskiold-Samsøe B, Lund H, Fisher AG. Differences between questionnaire-and interview-based measures of activities of daily living (ADL) ability and their association with observed ADL ability in women with rheumatoid arthritis, knee osteoarthritis, and fibromyalgia. Scand J Rheumatol. 2012;41(2):95–102. </w:t>
      </w:r>
    </w:p>
    <w:p w14:paraId="07752E61" w14:textId="77777777" w:rsidR="006A39C8" w:rsidRPr="006A39C8" w:rsidRDefault="006A39C8" w:rsidP="006A39C8">
      <w:pPr>
        <w:widowControl w:val="0"/>
        <w:autoSpaceDE w:val="0"/>
        <w:autoSpaceDN w:val="0"/>
        <w:adjustRightInd w:val="0"/>
        <w:spacing w:line="480" w:lineRule="auto"/>
        <w:ind w:left="640" w:hanging="640"/>
        <w:rPr>
          <w:rFonts w:ascii="Calibri" w:hAnsi="Calibri" w:cs="Calibri"/>
          <w:noProof/>
          <w:szCs w:val="24"/>
        </w:rPr>
      </w:pPr>
      <w:r w:rsidRPr="006A39C8">
        <w:rPr>
          <w:rFonts w:ascii="Calibri" w:hAnsi="Calibri" w:cs="Calibri"/>
          <w:noProof/>
          <w:szCs w:val="24"/>
        </w:rPr>
        <w:t xml:space="preserve">4. </w:t>
      </w:r>
      <w:r w:rsidRPr="006A39C8">
        <w:rPr>
          <w:rFonts w:ascii="Calibri" w:hAnsi="Calibri" w:cs="Calibri"/>
          <w:noProof/>
          <w:szCs w:val="24"/>
        </w:rPr>
        <w:tab/>
        <w:t xml:space="preserve">Bendixen HJ, Wæhrens EE, Wilcke JT, Sørensen LV. Self-reported quality of ADL task performance among patients with COPD exacerbations. Scand J Occup Ther. 2014 Jul 21;21(4):313–20. </w:t>
      </w:r>
    </w:p>
    <w:p w14:paraId="35810320" w14:textId="77777777" w:rsidR="006A39C8" w:rsidRPr="006A39C8" w:rsidRDefault="006A39C8" w:rsidP="006A39C8">
      <w:pPr>
        <w:widowControl w:val="0"/>
        <w:autoSpaceDE w:val="0"/>
        <w:autoSpaceDN w:val="0"/>
        <w:adjustRightInd w:val="0"/>
        <w:spacing w:line="480" w:lineRule="auto"/>
        <w:ind w:left="640" w:hanging="640"/>
        <w:rPr>
          <w:rFonts w:ascii="Calibri" w:hAnsi="Calibri" w:cs="Calibri"/>
          <w:noProof/>
          <w:szCs w:val="24"/>
        </w:rPr>
      </w:pPr>
      <w:r w:rsidRPr="006A39C8">
        <w:rPr>
          <w:rFonts w:ascii="Calibri" w:hAnsi="Calibri" w:cs="Calibri"/>
          <w:noProof/>
          <w:szCs w:val="24"/>
        </w:rPr>
        <w:t xml:space="preserve">5. </w:t>
      </w:r>
      <w:r w:rsidRPr="006A39C8">
        <w:rPr>
          <w:rFonts w:ascii="Calibri" w:hAnsi="Calibri" w:cs="Calibri"/>
          <w:noProof/>
          <w:szCs w:val="24"/>
        </w:rPr>
        <w:tab/>
        <w:t xml:space="preserve">Nielsen KT, Wæhrens EE. Occupational therapy evaluation: Use of self-report and/or observation? Scand J Occup Ther. 2015;22(1):13–23. </w:t>
      </w:r>
    </w:p>
    <w:p w14:paraId="3161ABD5" w14:textId="77777777" w:rsidR="006A39C8" w:rsidRPr="006A39C8" w:rsidRDefault="006A39C8" w:rsidP="006A39C8">
      <w:pPr>
        <w:widowControl w:val="0"/>
        <w:autoSpaceDE w:val="0"/>
        <w:autoSpaceDN w:val="0"/>
        <w:adjustRightInd w:val="0"/>
        <w:spacing w:line="480" w:lineRule="auto"/>
        <w:ind w:left="640" w:hanging="640"/>
        <w:rPr>
          <w:rFonts w:ascii="Calibri" w:hAnsi="Calibri" w:cs="Calibri"/>
          <w:noProof/>
          <w:szCs w:val="24"/>
        </w:rPr>
      </w:pPr>
      <w:r w:rsidRPr="006A39C8">
        <w:rPr>
          <w:rFonts w:ascii="Calibri" w:hAnsi="Calibri" w:cs="Calibri"/>
          <w:noProof/>
          <w:szCs w:val="24"/>
        </w:rPr>
        <w:t xml:space="preserve">6. </w:t>
      </w:r>
      <w:r w:rsidRPr="006A39C8">
        <w:rPr>
          <w:rFonts w:ascii="Calibri" w:hAnsi="Calibri" w:cs="Calibri"/>
          <w:noProof/>
          <w:szCs w:val="24"/>
        </w:rPr>
        <w:tab/>
        <w:t xml:space="preserve">Winkel A, Langberg H, Wæhrens EE. Reablement in a community setting. Disabil Rehabil. 2015;37(15):1347–52. </w:t>
      </w:r>
    </w:p>
    <w:p w14:paraId="0B09CF9E" w14:textId="77777777" w:rsidR="006A39C8" w:rsidRPr="006A39C8" w:rsidRDefault="006A39C8" w:rsidP="006A39C8">
      <w:pPr>
        <w:widowControl w:val="0"/>
        <w:autoSpaceDE w:val="0"/>
        <w:autoSpaceDN w:val="0"/>
        <w:adjustRightInd w:val="0"/>
        <w:spacing w:line="480" w:lineRule="auto"/>
        <w:ind w:left="640" w:hanging="640"/>
        <w:rPr>
          <w:rFonts w:ascii="Calibri" w:hAnsi="Calibri" w:cs="Calibri"/>
          <w:noProof/>
          <w:szCs w:val="24"/>
        </w:rPr>
      </w:pPr>
      <w:r w:rsidRPr="006A39C8">
        <w:rPr>
          <w:rFonts w:ascii="Calibri" w:hAnsi="Calibri" w:cs="Calibri"/>
          <w:noProof/>
          <w:szCs w:val="24"/>
        </w:rPr>
        <w:t xml:space="preserve">7. </w:t>
      </w:r>
      <w:r w:rsidRPr="006A39C8">
        <w:rPr>
          <w:rFonts w:ascii="Calibri" w:hAnsi="Calibri" w:cs="Calibri"/>
          <w:noProof/>
          <w:szCs w:val="24"/>
        </w:rPr>
        <w:tab/>
        <w:t xml:space="preserve">Fisher AG, Jones KB. Assessment of motor and process skills. Volume 1: Development, standardization, and administration manual. 7th ed. Fort Collins, Colorado, USA: Three Star Press; 2012. </w:t>
      </w:r>
    </w:p>
    <w:p w14:paraId="126E8D95" w14:textId="77777777" w:rsidR="006A39C8" w:rsidRPr="006A39C8" w:rsidRDefault="006A39C8" w:rsidP="006A39C8">
      <w:pPr>
        <w:widowControl w:val="0"/>
        <w:autoSpaceDE w:val="0"/>
        <w:autoSpaceDN w:val="0"/>
        <w:adjustRightInd w:val="0"/>
        <w:spacing w:line="480" w:lineRule="auto"/>
        <w:ind w:left="640" w:hanging="640"/>
        <w:rPr>
          <w:rFonts w:ascii="Calibri" w:hAnsi="Calibri" w:cs="Calibri"/>
          <w:noProof/>
          <w:szCs w:val="24"/>
        </w:rPr>
      </w:pPr>
      <w:r w:rsidRPr="006A39C8">
        <w:rPr>
          <w:rFonts w:ascii="Calibri" w:hAnsi="Calibri" w:cs="Calibri"/>
          <w:noProof/>
          <w:szCs w:val="24"/>
        </w:rPr>
        <w:t xml:space="preserve">8. </w:t>
      </w:r>
      <w:r w:rsidRPr="006A39C8">
        <w:rPr>
          <w:rFonts w:ascii="Calibri" w:hAnsi="Calibri" w:cs="Calibri"/>
          <w:noProof/>
          <w:szCs w:val="24"/>
        </w:rPr>
        <w:tab/>
        <w:t xml:space="preserve">Fisher AG, Jones KB. Assessment of motor and process skills. Volume 2: User manual. 7th ed. Fort Collins, Colorado, USA: Three Star Press; 2012. </w:t>
      </w:r>
    </w:p>
    <w:p w14:paraId="363A54E9" w14:textId="77777777" w:rsidR="006A39C8" w:rsidRPr="006A39C8" w:rsidRDefault="006A39C8" w:rsidP="006A39C8">
      <w:pPr>
        <w:widowControl w:val="0"/>
        <w:autoSpaceDE w:val="0"/>
        <w:autoSpaceDN w:val="0"/>
        <w:adjustRightInd w:val="0"/>
        <w:spacing w:line="480" w:lineRule="auto"/>
        <w:ind w:left="640" w:hanging="640"/>
        <w:rPr>
          <w:rFonts w:ascii="Calibri" w:hAnsi="Calibri" w:cs="Calibri"/>
          <w:noProof/>
          <w:szCs w:val="24"/>
        </w:rPr>
      </w:pPr>
      <w:r w:rsidRPr="006A39C8">
        <w:rPr>
          <w:rFonts w:ascii="Calibri" w:hAnsi="Calibri" w:cs="Calibri"/>
          <w:noProof/>
          <w:szCs w:val="24"/>
        </w:rPr>
        <w:t xml:space="preserve">9. </w:t>
      </w:r>
      <w:r w:rsidRPr="006A39C8">
        <w:rPr>
          <w:rFonts w:ascii="Calibri" w:hAnsi="Calibri" w:cs="Calibri"/>
          <w:noProof/>
          <w:szCs w:val="24"/>
        </w:rPr>
        <w:tab/>
        <w:t xml:space="preserve">OT Assessment Package (OTAP). Fort Cloons, Colorado, USA: Center for Innovative OT Solutions; 2016. </w:t>
      </w:r>
    </w:p>
    <w:p w14:paraId="76D848EE" w14:textId="77777777" w:rsidR="006A39C8" w:rsidRPr="006A39C8" w:rsidRDefault="006A39C8" w:rsidP="006A39C8">
      <w:pPr>
        <w:widowControl w:val="0"/>
        <w:autoSpaceDE w:val="0"/>
        <w:autoSpaceDN w:val="0"/>
        <w:adjustRightInd w:val="0"/>
        <w:spacing w:line="480" w:lineRule="auto"/>
        <w:ind w:left="640" w:hanging="640"/>
        <w:rPr>
          <w:rFonts w:ascii="Calibri" w:hAnsi="Calibri" w:cs="Calibri"/>
          <w:noProof/>
          <w:szCs w:val="24"/>
        </w:rPr>
      </w:pPr>
      <w:r w:rsidRPr="006A39C8">
        <w:rPr>
          <w:rFonts w:ascii="Calibri" w:hAnsi="Calibri" w:cs="Calibri"/>
          <w:noProof/>
          <w:szCs w:val="24"/>
        </w:rPr>
        <w:t xml:space="preserve">10. </w:t>
      </w:r>
      <w:r w:rsidRPr="006A39C8">
        <w:rPr>
          <w:rFonts w:ascii="Calibri" w:hAnsi="Calibri" w:cs="Calibri"/>
          <w:noProof/>
          <w:szCs w:val="24"/>
        </w:rPr>
        <w:tab/>
        <w:t xml:space="preserve">Merritt BK. Utilizing AMPS ability measures to predict level of community dependence. Scand J Occup Ther. 2010;17(1):70–6. </w:t>
      </w:r>
    </w:p>
    <w:p w14:paraId="6272CDF1" w14:textId="77777777" w:rsidR="006A39C8" w:rsidRPr="006A39C8" w:rsidRDefault="006A39C8" w:rsidP="006A39C8">
      <w:pPr>
        <w:widowControl w:val="0"/>
        <w:autoSpaceDE w:val="0"/>
        <w:autoSpaceDN w:val="0"/>
        <w:adjustRightInd w:val="0"/>
        <w:spacing w:line="480" w:lineRule="auto"/>
        <w:ind w:left="640" w:hanging="640"/>
        <w:rPr>
          <w:rFonts w:ascii="Calibri" w:hAnsi="Calibri" w:cs="Calibri"/>
          <w:noProof/>
          <w:szCs w:val="24"/>
        </w:rPr>
      </w:pPr>
      <w:r w:rsidRPr="006A39C8">
        <w:rPr>
          <w:rFonts w:ascii="Calibri" w:hAnsi="Calibri" w:cs="Calibri"/>
          <w:noProof/>
          <w:szCs w:val="24"/>
        </w:rPr>
        <w:t xml:space="preserve">11. </w:t>
      </w:r>
      <w:r w:rsidRPr="006A39C8">
        <w:rPr>
          <w:rFonts w:ascii="Calibri" w:hAnsi="Calibri" w:cs="Calibri"/>
          <w:noProof/>
          <w:szCs w:val="24"/>
        </w:rPr>
        <w:tab/>
        <w:t xml:space="preserve">Moore K, Merritt B, Doble SE. ADL skill profiles across three psychiatric diagnoses. Scand J Occup Ther. 2010;17(1):77–85. </w:t>
      </w:r>
    </w:p>
    <w:p w14:paraId="69537D93" w14:textId="77777777" w:rsidR="006A39C8" w:rsidRPr="006A39C8" w:rsidRDefault="006A39C8" w:rsidP="006A39C8">
      <w:pPr>
        <w:widowControl w:val="0"/>
        <w:autoSpaceDE w:val="0"/>
        <w:autoSpaceDN w:val="0"/>
        <w:adjustRightInd w:val="0"/>
        <w:spacing w:line="480" w:lineRule="auto"/>
        <w:ind w:left="640" w:hanging="640"/>
        <w:rPr>
          <w:rFonts w:ascii="Calibri" w:hAnsi="Calibri" w:cs="Calibri"/>
          <w:noProof/>
          <w:szCs w:val="24"/>
        </w:rPr>
      </w:pPr>
      <w:r w:rsidRPr="006A39C8">
        <w:rPr>
          <w:rFonts w:ascii="Calibri" w:hAnsi="Calibri" w:cs="Calibri"/>
          <w:noProof/>
          <w:szCs w:val="24"/>
        </w:rPr>
        <w:t xml:space="preserve">12. </w:t>
      </w:r>
      <w:r w:rsidRPr="006A39C8">
        <w:rPr>
          <w:rFonts w:ascii="Calibri" w:hAnsi="Calibri" w:cs="Calibri"/>
          <w:noProof/>
          <w:szCs w:val="24"/>
        </w:rPr>
        <w:tab/>
        <w:t xml:space="preserve">Von Bülow C, Amris K, La Cour K, Danneskiold-Samsøe B, Wæhrens EE. Ineffective ADL skills in women with fibromyalgia: a cross-sectional study. Scand J Occup Ther. 2016;23(5):391–7. </w:t>
      </w:r>
    </w:p>
    <w:p w14:paraId="4305673D" w14:textId="77777777" w:rsidR="006A39C8" w:rsidRPr="006A39C8" w:rsidRDefault="006A39C8" w:rsidP="006A39C8">
      <w:pPr>
        <w:widowControl w:val="0"/>
        <w:autoSpaceDE w:val="0"/>
        <w:autoSpaceDN w:val="0"/>
        <w:adjustRightInd w:val="0"/>
        <w:spacing w:line="480" w:lineRule="auto"/>
        <w:ind w:left="640" w:hanging="640"/>
        <w:rPr>
          <w:rFonts w:ascii="Calibri" w:hAnsi="Calibri" w:cs="Calibri"/>
          <w:noProof/>
          <w:szCs w:val="24"/>
        </w:rPr>
      </w:pPr>
      <w:r w:rsidRPr="006A39C8">
        <w:rPr>
          <w:rFonts w:ascii="Calibri" w:hAnsi="Calibri" w:cs="Calibri"/>
          <w:noProof/>
          <w:szCs w:val="24"/>
        </w:rPr>
        <w:t xml:space="preserve">13. </w:t>
      </w:r>
      <w:r w:rsidRPr="006A39C8">
        <w:rPr>
          <w:rFonts w:ascii="Calibri" w:hAnsi="Calibri" w:cs="Calibri"/>
          <w:noProof/>
          <w:szCs w:val="24"/>
        </w:rPr>
        <w:tab/>
        <w:t xml:space="preserve">Wæhrens EE, Amris K, Fisher AG. Performance-based assessment of activities of daily living (ADL) ability among women with chronic widespread pain. Pain. 2010;150(3):535–41. </w:t>
      </w:r>
    </w:p>
    <w:p w14:paraId="41566C25" w14:textId="77777777" w:rsidR="006A39C8" w:rsidRPr="006A39C8" w:rsidRDefault="006A39C8" w:rsidP="006A39C8">
      <w:pPr>
        <w:widowControl w:val="0"/>
        <w:autoSpaceDE w:val="0"/>
        <w:autoSpaceDN w:val="0"/>
        <w:adjustRightInd w:val="0"/>
        <w:spacing w:line="480" w:lineRule="auto"/>
        <w:ind w:left="640" w:hanging="640"/>
        <w:rPr>
          <w:rFonts w:ascii="Calibri" w:hAnsi="Calibri" w:cs="Calibri"/>
          <w:noProof/>
          <w:szCs w:val="24"/>
        </w:rPr>
      </w:pPr>
      <w:r w:rsidRPr="006A39C8">
        <w:rPr>
          <w:rFonts w:ascii="Calibri" w:hAnsi="Calibri" w:cs="Calibri"/>
          <w:noProof/>
          <w:szCs w:val="24"/>
        </w:rPr>
        <w:t xml:space="preserve">14. </w:t>
      </w:r>
      <w:r w:rsidRPr="006A39C8">
        <w:rPr>
          <w:rFonts w:ascii="Calibri" w:hAnsi="Calibri" w:cs="Calibri"/>
          <w:noProof/>
          <w:szCs w:val="24"/>
        </w:rPr>
        <w:tab/>
        <w:t xml:space="preserve">Graff MJL, Vernooij-Dassen MJM, Thijssen M, Dekker J, Hoefnagels WHL, Rikkert MGMO. Community based occupational therapy for patients with dementia and their care givers: Randomised controlled trial. Br Med J. 2006;333(7580):1196–9. </w:t>
      </w:r>
    </w:p>
    <w:p w14:paraId="2B7FB13E" w14:textId="77777777" w:rsidR="006A39C8" w:rsidRPr="006A39C8" w:rsidRDefault="006A39C8" w:rsidP="006A39C8">
      <w:pPr>
        <w:widowControl w:val="0"/>
        <w:autoSpaceDE w:val="0"/>
        <w:autoSpaceDN w:val="0"/>
        <w:adjustRightInd w:val="0"/>
        <w:spacing w:line="480" w:lineRule="auto"/>
        <w:ind w:left="640" w:hanging="640"/>
        <w:rPr>
          <w:rFonts w:ascii="Calibri" w:hAnsi="Calibri" w:cs="Calibri"/>
          <w:noProof/>
          <w:szCs w:val="24"/>
        </w:rPr>
      </w:pPr>
      <w:r w:rsidRPr="006A39C8">
        <w:rPr>
          <w:rFonts w:ascii="Calibri" w:hAnsi="Calibri" w:cs="Calibri"/>
          <w:noProof/>
          <w:szCs w:val="24"/>
        </w:rPr>
        <w:t xml:space="preserve">15. </w:t>
      </w:r>
      <w:r w:rsidRPr="006A39C8">
        <w:rPr>
          <w:rFonts w:ascii="Calibri" w:hAnsi="Calibri" w:cs="Calibri"/>
          <w:noProof/>
          <w:szCs w:val="24"/>
        </w:rPr>
        <w:tab/>
        <w:t xml:space="preserve">Nielsen KT, Guidetti S, Bülow C von, Klokker L, Wæhrens EE. Feasibility of ABLE 1.0 – a program aiming at enhancing the ability to perform activities of daily living in persons with chronic conditions. Pilot Feasibility Stud. 2021;7(52). </w:t>
      </w:r>
    </w:p>
    <w:p w14:paraId="5CBF5D48" w14:textId="77777777" w:rsidR="006A39C8" w:rsidRPr="006A39C8" w:rsidRDefault="006A39C8" w:rsidP="006A39C8">
      <w:pPr>
        <w:widowControl w:val="0"/>
        <w:autoSpaceDE w:val="0"/>
        <w:autoSpaceDN w:val="0"/>
        <w:adjustRightInd w:val="0"/>
        <w:spacing w:line="480" w:lineRule="auto"/>
        <w:ind w:left="640" w:hanging="640"/>
        <w:rPr>
          <w:rFonts w:ascii="Calibri" w:hAnsi="Calibri" w:cs="Calibri"/>
          <w:noProof/>
          <w:szCs w:val="24"/>
        </w:rPr>
      </w:pPr>
      <w:r w:rsidRPr="006A39C8">
        <w:rPr>
          <w:rFonts w:ascii="Calibri" w:hAnsi="Calibri" w:cs="Calibri"/>
          <w:noProof/>
          <w:szCs w:val="24"/>
        </w:rPr>
        <w:t xml:space="preserve">16. </w:t>
      </w:r>
      <w:r w:rsidRPr="006A39C8">
        <w:rPr>
          <w:rFonts w:ascii="Calibri" w:hAnsi="Calibri" w:cs="Calibri"/>
          <w:noProof/>
          <w:szCs w:val="24"/>
        </w:rPr>
        <w:tab/>
        <w:t xml:space="preserve">Ellegaard K, von Bülow C, Røpke A, Bartholdy C, Hansen IS, Rifbjerg-Madsen S, et al. Hand exercise for women with rheumatoid arthritis and decreased hand function: An exploratory randomized controlled trial. Arthritis Res Ther. 2019;21(1):1–9. </w:t>
      </w:r>
    </w:p>
    <w:p w14:paraId="346A711E" w14:textId="77777777" w:rsidR="006A39C8" w:rsidRPr="006A39C8" w:rsidRDefault="006A39C8" w:rsidP="006A39C8">
      <w:pPr>
        <w:widowControl w:val="0"/>
        <w:autoSpaceDE w:val="0"/>
        <w:autoSpaceDN w:val="0"/>
        <w:adjustRightInd w:val="0"/>
        <w:spacing w:line="480" w:lineRule="auto"/>
        <w:ind w:left="640" w:hanging="640"/>
        <w:rPr>
          <w:rFonts w:ascii="Calibri" w:hAnsi="Calibri" w:cs="Calibri"/>
          <w:noProof/>
          <w:szCs w:val="24"/>
        </w:rPr>
      </w:pPr>
      <w:r w:rsidRPr="006A39C8">
        <w:rPr>
          <w:rFonts w:ascii="Calibri" w:hAnsi="Calibri" w:cs="Calibri"/>
          <w:noProof/>
          <w:szCs w:val="24"/>
        </w:rPr>
        <w:t xml:space="preserve">17. </w:t>
      </w:r>
      <w:r w:rsidRPr="006A39C8">
        <w:rPr>
          <w:rFonts w:ascii="Calibri" w:hAnsi="Calibri" w:cs="Calibri"/>
          <w:noProof/>
          <w:szCs w:val="24"/>
        </w:rPr>
        <w:tab/>
        <w:t xml:space="preserve">Kiresuk TJ, Smith A, Cardillo JE. Goal Attainment Scaling : Applications, theory, and measurement. Hillsdale, N.J.: L. Erlbaum Associates; 1994. </w:t>
      </w:r>
    </w:p>
    <w:p w14:paraId="72825D31" w14:textId="77777777" w:rsidR="006A39C8" w:rsidRPr="006A39C8" w:rsidRDefault="006A39C8" w:rsidP="006A39C8">
      <w:pPr>
        <w:widowControl w:val="0"/>
        <w:autoSpaceDE w:val="0"/>
        <w:autoSpaceDN w:val="0"/>
        <w:adjustRightInd w:val="0"/>
        <w:spacing w:line="480" w:lineRule="auto"/>
        <w:ind w:left="640" w:hanging="640"/>
        <w:rPr>
          <w:rFonts w:ascii="Calibri" w:hAnsi="Calibri" w:cs="Calibri"/>
          <w:noProof/>
          <w:szCs w:val="24"/>
        </w:rPr>
      </w:pPr>
      <w:r w:rsidRPr="006A39C8">
        <w:rPr>
          <w:rFonts w:ascii="Calibri" w:hAnsi="Calibri" w:cs="Calibri"/>
          <w:noProof/>
          <w:szCs w:val="24"/>
        </w:rPr>
        <w:t xml:space="preserve">18. </w:t>
      </w:r>
      <w:r w:rsidRPr="006A39C8">
        <w:rPr>
          <w:rFonts w:ascii="Calibri" w:hAnsi="Calibri" w:cs="Calibri"/>
          <w:noProof/>
          <w:szCs w:val="24"/>
        </w:rPr>
        <w:tab/>
        <w:t xml:space="preserve">Krasny-Pacini A, Hiebel J, Pauly F, Godon S, Chevignard M. Goal Attainment Scaling in rehabilitation: A literature-based update. Ann Phys Rehabil Med. 2013;56(3):212–30. </w:t>
      </w:r>
    </w:p>
    <w:p w14:paraId="0E3E2414" w14:textId="77777777" w:rsidR="006A39C8" w:rsidRPr="006A39C8" w:rsidRDefault="006A39C8" w:rsidP="006A39C8">
      <w:pPr>
        <w:widowControl w:val="0"/>
        <w:autoSpaceDE w:val="0"/>
        <w:autoSpaceDN w:val="0"/>
        <w:adjustRightInd w:val="0"/>
        <w:spacing w:line="480" w:lineRule="auto"/>
        <w:ind w:left="640" w:hanging="640"/>
        <w:rPr>
          <w:rFonts w:ascii="Calibri" w:hAnsi="Calibri" w:cs="Calibri"/>
          <w:noProof/>
        </w:rPr>
      </w:pPr>
      <w:r w:rsidRPr="006A39C8">
        <w:rPr>
          <w:rFonts w:ascii="Calibri" w:hAnsi="Calibri" w:cs="Calibri"/>
          <w:noProof/>
          <w:szCs w:val="24"/>
        </w:rPr>
        <w:t xml:space="preserve">19. </w:t>
      </w:r>
      <w:r w:rsidRPr="006A39C8">
        <w:rPr>
          <w:rFonts w:ascii="Calibri" w:hAnsi="Calibri" w:cs="Calibri"/>
          <w:noProof/>
          <w:szCs w:val="24"/>
        </w:rPr>
        <w:tab/>
        <w:t xml:space="preserve">Toto PE, Skidmore ER, Terhorst L, Rosen J, Weiner DK. Goal attainment scaling (GAS) in geriatric primary care: A feasibility study. Arch Gerontol Geriatr. 2015;60(1):16–21. </w:t>
      </w:r>
    </w:p>
    <w:p w14:paraId="364D082F" w14:textId="77777777" w:rsidR="00854551" w:rsidRPr="008C0C2C" w:rsidRDefault="00854551" w:rsidP="008C0C2C">
      <w:pPr>
        <w:spacing w:line="480" w:lineRule="auto"/>
      </w:pPr>
      <w:r>
        <w:fldChar w:fldCharType="end"/>
      </w:r>
    </w:p>
    <w:sectPr w:rsidR="00854551" w:rsidRPr="008C0C2C" w:rsidSect="00A25D51">
      <w:pgSz w:w="11906" w:h="16838"/>
      <w:pgMar w:top="1701" w:right="1134" w:bottom="1701"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FF798" w16cex:dateUtc="2021-04-13T08:57:00Z"/>
  <w16cex:commentExtensible w16cex:durableId="241FFED1" w16cex:dateUtc="2021-04-13T09:28: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C2C"/>
    <w:rsid w:val="001E72DA"/>
    <w:rsid w:val="002406E8"/>
    <w:rsid w:val="004A7F3B"/>
    <w:rsid w:val="006172A9"/>
    <w:rsid w:val="00652EFB"/>
    <w:rsid w:val="006A39C8"/>
    <w:rsid w:val="00706A3A"/>
    <w:rsid w:val="00755346"/>
    <w:rsid w:val="00854551"/>
    <w:rsid w:val="00855FF9"/>
    <w:rsid w:val="008C0C2C"/>
    <w:rsid w:val="008C4E75"/>
    <w:rsid w:val="009850BD"/>
    <w:rsid w:val="00A25D51"/>
    <w:rsid w:val="00A36E94"/>
    <w:rsid w:val="00EE1FE3"/>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F600B"/>
  <w15:chartTrackingRefBased/>
  <w15:docId w15:val="{3C56FEF4-B50D-4FBA-B8CF-AA9679C95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545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8545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54551"/>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typeiafsnit"/>
    <w:link w:val="Overskrift2"/>
    <w:uiPriority w:val="9"/>
    <w:rsid w:val="00854551"/>
    <w:rPr>
      <w:rFonts w:asciiTheme="majorHAnsi" w:eastAsiaTheme="majorEastAsia" w:hAnsiTheme="majorHAnsi" w:cstheme="majorBidi"/>
      <w:color w:val="2F5496" w:themeColor="accent1" w:themeShade="BF"/>
      <w:sz w:val="26"/>
      <w:szCs w:val="26"/>
    </w:rPr>
  </w:style>
  <w:style w:type="paragraph" w:styleId="Markeringsbobletekst">
    <w:name w:val="Balloon Text"/>
    <w:basedOn w:val="Normal"/>
    <w:link w:val="MarkeringsbobletekstTegn"/>
    <w:uiPriority w:val="99"/>
    <w:semiHidden/>
    <w:unhideWhenUsed/>
    <w:rsid w:val="00755346"/>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55346"/>
    <w:rPr>
      <w:rFonts w:ascii="Segoe UI" w:hAnsi="Segoe UI" w:cs="Segoe UI"/>
      <w:sz w:val="18"/>
      <w:szCs w:val="18"/>
    </w:rPr>
  </w:style>
  <w:style w:type="character" w:styleId="Kommentarhenvisning">
    <w:name w:val="annotation reference"/>
    <w:basedOn w:val="Standardskrifttypeiafsnit"/>
    <w:uiPriority w:val="99"/>
    <w:semiHidden/>
    <w:unhideWhenUsed/>
    <w:rsid w:val="00EE1FE3"/>
    <w:rPr>
      <w:sz w:val="16"/>
      <w:szCs w:val="16"/>
    </w:rPr>
  </w:style>
  <w:style w:type="paragraph" w:styleId="Kommentartekst">
    <w:name w:val="annotation text"/>
    <w:basedOn w:val="Normal"/>
    <w:link w:val="KommentartekstTegn"/>
    <w:uiPriority w:val="99"/>
    <w:semiHidden/>
    <w:unhideWhenUsed/>
    <w:rsid w:val="00EE1FE3"/>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EE1FE3"/>
    <w:rPr>
      <w:sz w:val="20"/>
      <w:szCs w:val="20"/>
    </w:rPr>
  </w:style>
  <w:style w:type="paragraph" w:styleId="Kommentaremne">
    <w:name w:val="annotation subject"/>
    <w:basedOn w:val="Kommentartekst"/>
    <w:next w:val="Kommentartekst"/>
    <w:link w:val="KommentaremneTegn"/>
    <w:uiPriority w:val="99"/>
    <w:semiHidden/>
    <w:unhideWhenUsed/>
    <w:rsid w:val="00EE1FE3"/>
    <w:rPr>
      <w:b/>
      <w:bCs/>
    </w:rPr>
  </w:style>
  <w:style w:type="character" w:customStyle="1" w:styleId="KommentaremneTegn">
    <w:name w:val="Kommentaremne Tegn"/>
    <w:basedOn w:val="KommentartekstTegn"/>
    <w:link w:val="Kommentaremne"/>
    <w:uiPriority w:val="99"/>
    <w:semiHidden/>
    <w:rsid w:val="00EE1F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F0BFD-3598-4D03-AAE0-B226C5F74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9864</Words>
  <Characters>56228</Characters>
  <Application>Microsoft Office Word</Application>
  <DocSecurity>0</DocSecurity>
  <Lines>468</Lines>
  <Paragraphs>131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Hagelskjær</dc:creator>
  <cp:keywords/>
  <dc:description/>
  <cp:lastModifiedBy>Vita Hagelskjær</cp:lastModifiedBy>
  <cp:revision>2</cp:revision>
  <dcterms:created xsi:type="dcterms:W3CDTF">2021-04-13T15:49:00Z</dcterms:created>
  <dcterms:modified xsi:type="dcterms:W3CDTF">2021-04-13T15:49:00Z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955d28f7-7774-3706-9dc8-456326dd4f2f</vt:lpwstr>
  </property>
  <property fmtid="{D5CDD505-2E9C-101B-9397-08002B2CF9AE}" pid="24" name="Mendeley Citation Style_1">
    <vt:lpwstr>http://www.zotero.org/styles/vancouver</vt:lpwstr>
  </property>
</Properties>
</file>