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320909" w14:textId="201BF8B6" w:rsidR="00F5585C" w:rsidRPr="00F5585C" w:rsidRDefault="00E25AB8">
      <w:pPr>
        <w:rPr>
          <w:rFonts w:ascii="Times New Roman" w:hAnsi="Times New Roman" w:cs="Times New Roman"/>
          <w:b/>
          <w:bCs/>
          <w:lang w:val="en-AU"/>
        </w:rPr>
      </w:pPr>
      <w:r>
        <w:rPr>
          <w:rFonts w:ascii="Times New Roman" w:hAnsi="Times New Roman" w:cs="Times New Roman"/>
          <w:b/>
          <w:bCs/>
          <w:lang w:val="en-AU"/>
        </w:rPr>
        <w:t xml:space="preserve">Additional file </w:t>
      </w:r>
      <w:r w:rsidR="00ED065A">
        <w:rPr>
          <w:rFonts w:ascii="Times New Roman" w:hAnsi="Times New Roman" w:cs="Times New Roman"/>
          <w:b/>
          <w:bCs/>
          <w:lang w:val="en-AU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bCs/>
          <w:lang w:val="en-AU"/>
        </w:rPr>
        <w:t xml:space="preserve">: </w:t>
      </w:r>
      <w:r w:rsidR="00F5585C" w:rsidRPr="00F5585C">
        <w:rPr>
          <w:rFonts w:ascii="Times New Roman" w:hAnsi="Times New Roman" w:cs="Times New Roman"/>
          <w:b/>
          <w:bCs/>
          <w:lang w:val="en-AU"/>
        </w:rPr>
        <w:t>Appendix II – Outcome measures used in the pilot-testing</w:t>
      </w:r>
    </w:p>
    <w:p w14:paraId="52D5F4D6" w14:textId="7F798E93" w:rsidR="00F5585C" w:rsidRDefault="00F5585C">
      <w:pPr>
        <w:rPr>
          <w:lang w:val="en-AU"/>
        </w:rPr>
      </w:pPr>
    </w:p>
    <w:p w14:paraId="07432C62" w14:textId="62B9957A" w:rsidR="00F5585C" w:rsidRPr="002961F8" w:rsidRDefault="00F5585C" w:rsidP="00F5585C">
      <w:pPr>
        <w:pStyle w:val="APAList-Bullets"/>
        <w:numPr>
          <w:ilvl w:val="0"/>
          <w:numId w:val="0"/>
        </w:numPr>
        <w:jc w:val="both"/>
        <w:rPr>
          <w:rFonts w:asciiTheme="majorBidi" w:hAnsiTheme="majorBidi" w:cstheme="majorBidi"/>
        </w:rPr>
      </w:pPr>
      <w:proofErr w:type="spellStart"/>
      <w:r w:rsidRPr="00F5585C">
        <w:rPr>
          <w:rFonts w:asciiTheme="majorBidi" w:hAnsiTheme="majorBidi" w:cstheme="majorBidi"/>
          <w:u w:val="single"/>
        </w:rPr>
        <w:t>Jebsen</w:t>
      </w:r>
      <w:proofErr w:type="spellEnd"/>
      <w:r w:rsidRPr="00F5585C">
        <w:rPr>
          <w:rFonts w:asciiTheme="majorBidi" w:hAnsiTheme="majorBidi" w:cstheme="majorBidi"/>
          <w:u w:val="single"/>
        </w:rPr>
        <w:t>-Taylor Hand Function Test (JTHFT)</w:t>
      </w:r>
      <w:r w:rsidRPr="002961F8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fldChar w:fldCharType="begin"/>
      </w:r>
      <w:r>
        <w:rPr>
          <w:rFonts w:asciiTheme="majorBidi" w:hAnsiTheme="majorBidi" w:cstheme="majorBidi"/>
        </w:rPr>
        <w:instrText xml:space="preserve"> ADDIN EN.CITE &lt;EndNote&gt;&lt;Cite&gt;&lt;Author&gt;Jebsen&lt;/Author&gt;&lt;Year&gt;1969&lt;/Year&gt;&lt;RecNum&gt;1061&lt;/RecNum&gt;&lt;DisplayText&gt;(Jebsen et al., 1969)&lt;/DisplayText&gt;&lt;record&gt;&lt;rec-number&gt;1061&lt;/rec-number&gt;&lt;foreign-keys&gt;&lt;key app="EN" db-id="e2zedv2xyptd08efe0659tebe92rrrfezxre" timestamp="1490837095"&gt;1061&lt;/key&gt;&lt;/foreign-keys&gt;&lt;ref-type name="Journal Article"&gt;17&lt;/ref-type&gt;&lt;contributors&gt;&lt;authors&gt;&lt;author&gt;Jebsen, Robert H&lt;/author&gt;&lt;author&gt;Taylor, NEAL&lt;/author&gt;&lt;author&gt;Trieschmann, RB&lt;/author&gt;&lt;author&gt;Trotter, Martha J&lt;/author&gt;&lt;author&gt;Howard, Linda A&lt;/author&gt;&lt;/authors&gt;&lt;/contributors&gt;&lt;titles&gt;&lt;title&gt;An objective and standardized test of hand function&lt;/title&gt;&lt;secondary-title&gt;Archives of physical medicine and rehabilitation&lt;/secondary-title&gt;&lt;/titles&gt;&lt;periodical&gt;&lt;full-title&gt;Archives Of Physical Medicine And Rehabilitation&lt;/full-title&gt;&lt;/periodical&gt;&lt;pages&gt;311&lt;/pages&gt;&lt;volume&gt;50&lt;/volume&gt;&lt;number&gt;6&lt;/number&gt;&lt;dates&gt;&lt;year&gt;1969&lt;/year&gt;&lt;/dates&gt;&lt;isbn&gt;0003-9993&lt;/isbn&gt;&lt;urls&gt;&lt;/urls&gt;&lt;/record&gt;&lt;/Cite&gt;&lt;/EndNote&gt;</w:instrText>
      </w:r>
      <w:r>
        <w:rPr>
          <w:rFonts w:asciiTheme="majorBidi" w:hAnsiTheme="majorBidi" w:cstheme="majorBidi"/>
        </w:rPr>
        <w:fldChar w:fldCharType="separate"/>
      </w:r>
      <w:r>
        <w:rPr>
          <w:rFonts w:asciiTheme="majorBidi" w:hAnsiTheme="majorBidi" w:cstheme="majorBidi"/>
          <w:noProof/>
        </w:rPr>
        <w:t>(Jebsen et al., 1969)</w:t>
      </w:r>
      <w:r>
        <w:rPr>
          <w:rFonts w:asciiTheme="majorBidi" w:hAnsiTheme="majorBidi" w:cstheme="majorBidi"/>
        </w:rPr>
        <w:fldChar w:fldCharType="end"/>
      </w:r>
    </w:p>
    <w:tbl>
      <w:tblPr>
        <w:tblStyle w:val="TableGrid"/>
        <w:tblW w:w="0" w:type="auto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3"/>
        <w:gridCol w:w="5697"/>
      </w:tblGrid>
      <w:tr w:rsidR="00F5585C" w:rsidRPr="003B498D" w14:paraId="78E6EE35" w14:textId="77777777" w:rsidTr="005B308C">
        <w:tc>
          <w:tcPr>
            <w:tcW w:w="2783" w:type="dxa"/>
          </w:tcPr>
          <w:p w14:paraId="370A7076" w14:textId="77777777" w:rsidR="00F5585C" w:rsidRPr="002961F8" w:rsidRDefault="00F5585C" w:rsidP="005B308C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2961F8">
              <w:rPr>
                <w:rFonts w:asciiTheme="majorBidi" w:hAnsiTheme="majorBidi" w:cstheme="majorBidi"/>
                <w:color w:val="000000" w:themeColor="text1"/>
              </w:rPr>
              <w:t xml:space="preserve">Use: </w:t>
            </w:r>
          </w:p>
        </w:tc>
        <w:tc>
          <w:tcPr>
            <w:tcW w:w="5697" w:type="dxa"/>
          </w:tcPr>
          <w:p w14:paraId="268935F0" w14:textId="77777777" w:rsidR="00F5585C" w:rsidRPr="002961F8" w:rsidRDefault="00F5585C" w:rsidP="005B308C">
            <w:pPr>
              <w:pStyle w:val="ListParagraph"/>
              <w:spacing w:after="0" w:line="480" w:lineRule="auto"/>
              <w:ind w:left="0"/>
              <w:contextualSpacing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2961F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Evaluates hand function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</w:t>
            </w:r>
          </w:p>
        </w:tc>
      </w:tr>
      <w:tr w:rsidR="00F5585C" w:rsidRPr="003B498D" w14:paraId="400D4CD1" w14:textId="77777777" w:rsidTr="005B308C">
        <w:tc>
          <w:tcPr>
            <w:tcW w:w="2783" w:type="dxa"/>
          </w:tcPr>
          <w:p w14:paraId="4E4D6608" w14:textId="77777777" w:rsidR="00F5585C" w:rsidRPr="00784560" w:rsidRDefault="00F5585C" w:rsidP="005B308C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Instrument:</w:t>
            </w:r>
          </w:p>
        </w:tc>
        <w:tc>
          <w:tcPr>
            <w:tcW w:w="5697" w:type="dxa"/>
          </w:tcPr>
          <w:p w14:paraId="0A5027A3" w14:textId="77777777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Consists of seven items - 1) writing; 2) turning 5 cards; 3) picking up small objects and placing them in a tin; 4) stacking for draughts pieces on a board; 5) simulated feeding; 6) lifting empty tin; and 7) lifting heavy tin.</w:t>
            </w:r>
          </w:p>
        </w:tc>
      </w:tr>
      <w:tr w:rsidR="00F5585C" w:rsidRPr="003B498D" w14:paraId="59EDB119" w14:textId="77777777" w:rsidTr="005B308C">
        <w:tc>
          <w:tcPr>
            <w:tcW w:w="2783" w:type="dxa"/>
          </w:tcPr>
          <w:p w14:paraId="5948B508" w14:textId="77777777" w:rsidR="00F5585C" w:rsidRPr="00784560" w:rsidRDefault="00F5585C" w:rsidP="005B308C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Measurement:</w:t>
            </w:r>
          </w:p>
        </w:tc>
        <w:tc>
          <w:tcPr>
            <w:tcW w:w="5697" w:type="dxa"/>
          </w:tcPr>
          <w:p w14:paraId="5555DC35" w14:textId="5F619D52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Objectively measured using a stopwatch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2B6BFCBC" w14:textId="77777777" w:rsidTr="005B308C">
        <w:tc>
          <w:tcPr>
            <w:tcW w:w="2783" w:type="dxa"/>
          </w:tcPr>
          <w:p w14:paraId="1BCB6B2D" w14:textId="77777777" w:rsidR="00F5585C" w:rsidRPr="00784560" w:rsidRDefault="00F5585C" w:rsidP="005B308C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Administration time:</w:t>
            </w:r>
          </w:p>
        </w:tc>
        <w:tc>
          <w:tcPr>
            <w:tcW w:w="5697" w:type="dxa"/>
          </w:tcPr>
          <w:p w14:paraId="65DB5C2C" w14:textId="77777777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6 to 30 minutes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52092C91" w14:textId="77777777" w:rsidTr="005B308C">
        <w:tc>
          <w:tcPr>
            <w:tcW w:w="2783" w:type="dxa"/>
          </w:tcPr>
          <w:p w14:paraId="68CB73F0" w14:textId="77777777" w:rsidR="00F5585C" w:rsidRPr="00784560" w:rsidRDefault="00F5585C" w:rsidP="005B308C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Scoring:</w:t>
            </w:r>
          </w:p>
        </w:tc>
        <w:tc>
          <w:tcPr>
            <w:tcW w:w="5697" w:type="dxa"/>
          </w:tcPr>
          <w:p w14:paraId="06D26F6C" w14:textId="3A038AE4" w:rsidR="00F5585C" w:rsidRPr="00784560" w:rsidRDefault="00FB1D49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T</w:t>
            </w:r>
            <w:r w:rsidR="00F5585C" w:rsidRPr="00784560">
              <w:rPr>
                <w:rFonts w:asciiTheme="majorBidi" w:hAnsiTheme="majorBidi" w:cstheme="majorBidi"/>
                <w:color w:val="000000" w:themeColor="text1"/>
              </w:rPr>
              <w:t xml:space="preserve">ime taken to complete the task, recorded in seconds. Less time indicates </w:t>
            </w:r>
            <w:r>
              <w:rPr>
                <w:rFonts w:asciiTheme="majorBidi" w:hAnsiTheme="majorBidi" w:cstheme="majorBidi"/>
                <w:color w:val="000000" w:themeColor="text1"/>
              </w:rPr>
              <w:t>better</w:t>
            </w:r>
            <w:r w:rsidR="00F5585C" w:rsidRPr="00784560">
              <w:rPr>
                <w:rFonts w:asciiTheme="majorBidi" w:hAnsiTheme="majorBidi" w:cstheme="majorBidi"/>
                <w:color w:val="000000" w:themeColor="text1"/>
              </w:rPr>
              <w:t xml:space="preserve"> hand function.</w:t>
            </w:r>
          </w:p>
        </w:tc>
      </w:tr>
      <w:tr w:rsidR="003D5E7A" w:rsidRPr="003B498D" w14:paraId="5F27A098" w14:textId="77777777" w:rsidTr="005B308C">
        <w:tc>
          <w:tcPr>
            <w:tcW w:w="2783" w:type="dxa"/>
          </w:tcPr>
          <w:p w14:paraId="7E598E91" w14:textId="70B5C4A7" w:rsidR="003D5E7A" w:rsidRPr="00784560" w:rsidRDefault="003D5E7A" w:rsidP="003D5E7A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Test</w:t>
            </w:r>
            <w:r>
              <w:rPr>
                <w:rFonts w:asciiTheme="majorBidi" w:hAnsiTheme="majorBidi" w:cstheme="majorBidi"/>
                <w:color w:val="000000" w:themeColor="text1"/>
              </w:rPr>
              <w:t>-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retest reliability: </w:t>
            </w:r>
          </w:p>
        </w:tc>
        <w:tc>
          <w:tcPr>
            <w:tcW w:w="5697" w:type="dxa"/>
          </w:tcPr>
          <w:p w14:paraId="4CBF3A2D" w14:textId="5F64D884" w:rsidR="003D5E7A" w:rsidRDefault="00473207" w:rsidP="003D5E7A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 xml:space="preserve">Good, </w:t>
            </w:r>
            <w:r w:rsidR="003D5E7A" w:rsidRPr="00784560">
              <w:rPr>
                <w:rFonts w:asciiTheme="majorBidi" w:hAnsiTheme="majorBidi" w:cstheme="majorBidi"/>
                <w:color w:val="000000" w:themeColor="text1"/>
              </w:rPr>
              <w:t>r = .6</w:t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t>9</w:t>
            </w:r>
            <w:r w:rsidR="003D5E7A" w:rsidRPr="00784560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t xml:space="preserve">to .73 </w:t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&lt;EndNote&gt;&lt;Cite&gt;&lt;Author&gt;Beebe&lt;/Author&gt;&lt;Year&gt;2009&lt;/Year&gt;&lt;RecNum&gt;2684&lt;/RecNum&gt;&lt;DisplayText&gt;(Beebe &amp;amp; Lang, 2009)&lt;/DisplayText&gt;&lt;record&gt;&lt;rec-number&gt;2684&lt;/rec-number&gt;&lt;foreign-keys&gt;&lt;key app="EN" db-id="e2zedv2xyptd08efe0659tebe92rrrfezxre" timestamp="1646973669"&gt;2684&lt;/key&gt;&lt;/foreign-keys&gt;&lt;ref-type name="Journal Article"&gt;17&lt;/ref-type&gt;&lt;contributors&gt;&lt;authors&gt;&lt;author&gt;Beebe, J. A.&lt;/author&gt;&lt;author&gt;Lang, C. E.&lt;/author&gt;&lt;/authors&gt;&lt;/contributors&gt;&lt;auth-address&gt;Program in Physical Therapy, Washington University, St. Louis, Missouri, USA.&lt;/auth-address&gt;&lt;titles&gt;&lt;title&gt;Relationships and responsiveness of six upper extremity function tests during the first six months of recovery after stroke&lt;/title&gt;&lt;secondary-title&gt;Journal of Neurologic Physical Therapy&lt;/secondary-title&gt;&lt;/titles&gt;&lt;periodical&gt;&lt;full-title&gt;Journal of Neurologic Physical Therapy&lt;/full-title&gt;&lt;/periodical&gt;&lt;pages&gt;96-103&lt;/pages&gt;&lt;volume&gt;33&lt;/volume&gt;&lt;number&gt;2&lt;/number&gt;&lt;edition&gt;2009/06/27&lt;/edition&gt;&lt;keywords&gt;&lt;keyword&gt;Adult&lt;/keyword&gt;&lt;keyword&gt;Aged&lt;/keyword&gt;&lt;keyword&gt;*Disability Evaluation&lt;/keyword&gt;&lt;keyword&gt;Female&lt;/keyword&gt;&lt;keyword&gt;Hand Strength&lt;/keyword&gt;&lt;keyword&gt;Humans&lt;/keyword&gt;&lt;keyword&gt;Male&lt;/keyword&gt;&lt;keyword&gt;Middle Aged&lt;/keyword&gt;&lt;keyword&gt;Paresis/*physiopathology/*rehabilitation&lt;/keyword&gt;&lt;keyword&gt;Recovery of Function&lt;/keyword&gt;&lt;keyword&gt;Registries&lt;/keyword&gt;&lt;keyword&gt;Stroke/*physiopathology&lt;/keyword&gt;&lt;keyword&gt;*Stroke Rehabilitation&lt;/keyword&gt;&lt;keyword&gt;Upper Extremity/*physiopathology&lt;/keyword&gt;&lt;/keywords&gt;&lt;dates&gt;&lt;year&gt;2009&lt;/year&gt;&lt;pub-dates&gt;&lt;date&gt;Jun&lt;/date&gt;&lt;/pub-dates&gt;&lt;/dates&gt;&lt;isbn&gt;1557-0576 (Print)&amp;#xD;1557-0576&lt;/isbn&gt;&lt;accession-num&gt;19556918&lt;/accession-num&gt;&lt;urls&gt;&lt;/urls&gt;&lt;custom2&gt;PMC2810625&lt;/custom2&gt;&lt;custom6&gt;NIHMS168702&lt;/custom6&gt;&lt;electronic-resource-num&gt;10.1097/NPT.0b013e3181a33638&lt;/electronic-resource-num&gt;&lt;remote-database-provider&gt;NLM&lt;/remote-database-provider&gt;&lt;language&gt;eng&lt;/language&gt;&lt;/record&gt;&lt;/Cite&gt;&lt;/EndNote&gt;</w:instrText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3D5E7A">
              <w:rPr>
                <w:rFonts w:asciiTheme="majorBidi" w:hAnsiTheme="majorBidi" w:cstheme="majorBidi"/>
                <w:noProof/>
                <w:color w:val="000000" w:themeColor="text1"/>
              </w:rPr>
              <w:t>(Beebe &amp; Lang, 2009)</w:t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3D5E7A" w:rsidRPr="003B498D" w14:paraId="3F8E4F6B" w14:textId="77777777" w:rsidTr="005B308C">
        <w:tc>
          <w:tcPr>
            <w:tcW w:w="2783" w:type="dxa"/>
          </w:tcPr>
          <w:p w14:paraId="0E50F496" w14:textId="791A98D0" w:rsidR="003D5E7A" w:rsidRPr="00784560" w:rsidRDefault="003D5E7A" w:rsidP="003D5E7A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Validity</w:t>
            </w:r>
          </w:p>
        </w:tc>
        <w:tc>
          <w:tcPr>
            <w:tcW w:w="5697" w:type="dxa"/>
          </w:tcPr>
          <w:p w14:paraId="5EEDA8E0" w14:textId="1E0089BA" w:rsidR="003D5E7A" w:rsidRDefault="00473207" w:rsidP="003D5E7A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>
              <w:rPr>
                <w:rFonts w:asciiTheme="majorBidi" w:hAnsiTheme="majorBidi" w:cstheme="majorBidi"/>
                <w:color w:val="000000" w:themeColor="text1"/>
              </w:rPr>
              <w:t>Satisgactory</w:t>
            </w:r>
            <w:proofErr w:type="spellEnd"/>
            <w:r>
              <w:rPr>
                <w:rFonts w:asciiTheme="majorBidi" w:hAnsiTheme="majorBidi" w:cstheme="majorBidi"/>
                <w:color w:val="000000" w:themeColor="text1"/>
              </w:rPr>
              <w:t xml:space="preserve"> c</w:t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t xml:space="preserve">onstruct validity – Moderate significant correlations with the </w:t>
            </w:r>
            <w:r w:rsidR="003D5E7A" w:rsidRPr="00FB1D49">
              <w:rPr>
                <w:rFonts w:asciiTheme="majorBidi" w:hAnsiTheme="majorBidi" w:cstheme="majorBidi"/>
                <w:color w:val="000000" w:themeColor="text1"/>
              </w:rPr>
              <w:t>Wolf Motor Function Test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t xml:space="preserve">r = .34 to .68 </w:t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fldChar w:fldCharType="begin">
                <w:fldData xml:space="preserve">PEVuZE5vdGU+PENpdGU+PEF1dGhvcj5CZXJhcmRpPC9BdXRob3I+PFllYXI+MjAxOTwvWWVhcj48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==
</w:fldData>
              </w:fldChar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instrText xml:space="preserve"> ADDIN EN.CITE </w:instrText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fldChar w:fldCharType="begin">
                <w:fldData xml:space="preserve">PEVuZE5vdGU+PENpdGU+PEF1dGhvcj5CZXJhcmRpPC9BdXRob3I+PFllYXI+MjAxOTwvWWVhcj48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==
</w:fldData>
              </w:fldChar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instrText xml:space="preserve"> ADDIN EN.CITE.DATA </w:instrText>
            </w:r>
            <w:r w:rsidR="003D5E7A">
              <w:rPr>
                <w:rFonts w:asciiTheme="majorBidi" w:hAnsiTheme="majorBidi" w:cstheme="majorBidi"/>
                <w:color w:val="000000" w:themeColor="text1"/>
              </w:rPr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 w:rsidR="003D5E7A">
              <w:rPr>
                <w:rFonts w:asciiTheme="majorBidi" w:hAnsiTheme="majorBidi" w:cstheme="majorBidi"/>
                <w:color w:val="000000" w:themeColor="text1"/>
              </w:rPr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3D5E7A">
              <w:rPr>
                <w:rFonts w:asciiTheme="majorBidi" w:hAnsiTheme="majorBidi" w:cstheme="majorBidi"/>
                <w:noProof/>
                <w:color w:val="000000" w:themeColor="text1"/>
              </w:rPr>
              <w:t>(Berardi et al., 2019)</w:t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 w:rsidR="003D5E7A"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  <w:p w14:paraId="52C3E0A7" w14:textId="26B73EB7" w:rsidR="003D5E7A" w:rsidRDefault="003D5E7A" w:rsidP="003D5E7A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44FFA891" w14:textId="57770311" w:rsidR="00F5585C" w:rsidRPr="00784560" w:rsidRDefault="00F5585C" w:rsidP="00FB1D49">
      <w:pPr>
        <w:pStyle w:val="APAList-Bullets"/>
        <w:numPr>
          <w:ilvl w:val="0"/>
          <w:numId w:val="0"/>
        </w:numPr>
        <w:ind w:left="360"/>
        <w:jc w:val="both"/>
        <w:rPr>
          <w:rFonts w:asciiTheme="majorBidi" w:hAnsiTheme="majorBidi" w:cstheme="majorBidi"/>
        </w:rPr>
      </w:pPr>
      <w:proofErr w:type="spellStart"/>
      <w:r w:rsidRPr="00FB1D49">
        <w:rPr>
          <w:rFonts w:asciiTheme="majorBidi" w:hAnsiTheme="majorBidi" w:cstheme="majorBidi"/>
          <w:u w:val="single"/>
        </w:rPr>
        <w:t>Fugl</w:t>
      </w:r>
      <w:proofErr w:type="spellEnd"/>
      <w:r w:rsidRPr="00FB1D49">
        <w:rPr>
          <w:rFonts w:asciiTheme="majorBidi" w:hAnsiTheme="majorBidi" w:cstheme="majorBidi"/>
          <w:u w:val="single"/>
        </w:rPr>
        <w:t>-Meyer Assessment of Motor Recovery after Stroke (FMA)</w:t>
      </w:r>
      <w:r w:rsidRPr="00784560">
        <w:rPr>
          <w:rFonts w:asciiTheme="majorBidi" w:hAnsiTheme="majorBidi" w:cstheme="majorBidi"/>
        </w:rPr>
        <w:t xml:space="preserve"> </w:t>
      </w:r>
      <w:r>
        <w:rPr>
          <w:rFonts w:asciiTheme="majorBidi" w:eastAsia="Calibri" w:hAnsiTheme="majorBidi" w:cstheme="majorBidi"/>
        </w:rPr>
        <w:fldChar w:fldCharType="begin"/>
      </w:r>
      <w:r>
        <w:rPr>
          <w:rFonts w:asciiTheme="majorBidi" w:eastAsia="Calibri" w:hAnsiTheme="majorBidi" w:cstheme="majorBidi"/>
        </w:rPr>
        <w:instrText xml:space="preserve"> ADDIN EN.CITE &lt;EndNote&gt;&lt;Cite&gt;&lt;Author&gt;Fugl-Meyer&lt;/Author&gt;&lt;Year&gt;1975&lt;/Year&gt;&lt;RecNum&gt;2600&lt;/RecNum&gt;&lt;DisplayText&gt;(Fugl-Meyer et al., 1975)&lt;/DisplayText&gt;&lt;record&gt;&lt;rec-number&gt;2600&lt;/rec-number&gt;&lt;foreign-keys&gt;&lt;key app="EN" db-id="e2zedv2xyptd08efe0659tebe92rrrfezxre" timestamp="1529367333"&gt;2600&lt;/key&gt;&lt;/foreign-keys&gt;&lt;ref-type name="Journal Article"&gt;17&lt;/ref-type&gt;&lt;contributors&gt;&lt;authors&gt;&lt;author&gt;Fugl-Meyer, Axel R&lt;/author&gt;&lt;author&gt;Jääskö, L&lt;/author&gt;&lt;author&gt;Leyman, Ingegerd&lt;/author&gt;&lt;author&gt;Olsson, Sigyn&lt;/author&gt;&lt;author&gt;Steglind, Solveig&lt;/author&gt;&lt;/authors&gt;&lt;/contributors&gt;&lt;titles&gt;&lt;title&gt;The post-stroke hemiplegic patient. 1. a method for evaluation of physical performance&lt;/title&gt;&lt;secondary-title&gt;Scandinavian journal of rehabilitation medicine&lt;/secondary-title&gt;&lt;/titles&gt;&lt;periodical&gt;&lt;full-title&gt;Scandinavian journal of rehabilitation medicine&lt;/full-title&gt;&lt;/periodical&gt;&lt;pages&gt;13-31&lt;/pages&gt;&lt;volume&gt;7&lt;/volume&gt;&lt;number&gt;1&lt;/number&gt;&lt;dates&gt;&lt;year&gt;1975&lt;/year&gt;&lt;/dates&gt;&lt;isbn&gt;0036-5505&lt;/isbn&gt;&lt;urls&gt;&lt;/urls&gt;&lt;/record&gt;&lt;/Cite&gt;&lt;/EndNote&gt;</w:instrText>
      </w:r>
      <w:r>
        <w:rPr>
          <w:rFonts w:asciiTheme="majorBidi" w:eastAsia="Calibri" w:hAnsiTheme="majorBidi" w:cstheme="majorBidi"/>
        </w:rPr>
        <w:fldChar w:fldCharType="separate"/>
      </w:r>
      <w:r>
        <w:rPr>
          <w:rFonts w:asciiTheme="majorBidi" w:eastAsia="Calibri" w:hAnsiTheme="majorBidi" w:cstheme="majorBidi"/>
          <w:noProof/>
        </w:rPr>
        <w:t>(Fugl-Meyer et al., 1975)</w:t>
      </w:r>
      <w:r>
        <w:rPr>
          <w:rFonts w:asciiTheme="majorBidi" w:eastAsia="Calibri" w:hAnsiTheme="majorBidi" w:cstheme="majorBidi"/>
        </w:rPr>
        <w:fldChar w:fldCharType="end"/>
      </w:r>
    </w:p>
    <w:tbl>
      <w:tblPr>
        <w:tblStyle w:val="TableGrid"/>
        <w:tblW w:w="864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5670"/>
      </w:tblGrid>
      <w:tr w:rsidR="00F5585C" w:rsidRPr="003B498D" w14:paraId="478EBF44" w14:textId="77777777" w:rsidTr="005B308C">
        <w:tc>
          <w:tcPr>
            <w:tcW w:w="2970" w:type="dxa"/>
          </w:tcPr>
          <w:p w14:paraId="1EF2A01D" w14:textId="77777777" w:rsidR="00F5585C" w:rsidRPr="00784560" w:rsidRDefault="00F5585C" w:rsidP="005B308C">
            <w:pPr>
              <w:spacing w:line="480" w:lineRule="auto"/>
              <w:ind w:left="435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Use: </w:t>
            </w:r>
          </w:p>
        </w:tc>
        <w:tc>
          <w:tcPr>
            <w:tcW w:w="5670" w:type="dxa"/>
          </w:tcPr>
          <w:p w14:paraId="5CF53F6A" w14:textId="77777777" w:rsidR="00F5585C" w:rsidRPr="00784560" w:rsidRDefault="00F5585C" w:rsidP="005B308C">
            <w:pPr>
              <w:spacing w:line="480" w:lineRule="auto"/>
              <w:ind w:left="-10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Evaluates motor functioning, balance, sensation and joint functioning in patients with post-stroke hemiplegia.</w:t>
            </w:r>
          </w:p>
        </w:tc>
      </w:tr>
      <w:tr w:rsidR="00F5585C" w:rsidRPr="003B498D" w14:paraId="27CC56B8" w14:textId="77777777" w:rsidTr="005B308C">
        <w:tc>
          <w:tcPr>
            <w:tcW w:w="2970" w:type="dxa"/>
            <w:vMerge w:val="restart"/>
          </w:tcPr>
          <w:p w14:paraId="4A4C73E9" w14:textId="77777777" w:rsidR="00F5585C" w:rsidRPr="00784560" w:rsidRDefault="00F5585C" w:rsidP="005B308C">
            <w:pPr>
              <w:spacing w:line="480" w:lineRule="auto"/>
              <w:ind w:left="435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Instrument:</w:t>
            </w:r>
          </w:p>
        </w:tc>
        <w:tc>
          <w:tcPr>
            <w:tcW w:w="5670" w:type="dxa"/>
          </w:tcPr>
          <w:p w14:paraId="7207942C" w14:textId="77777777" w:rsidR="00F5585C" w:rsidRPr="00784560" w:rsidRDefault="00F5585C" w:rsidP="005B308C">
            <w:pPr>
              <w:spacing w:line="480" w:lineRule="auto"/>
              <w:ind w:left="-10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Paper based test with five domains assessed includ</w:t>
            </w:r>
            <w:r>
              <w:rPr>
                <w:rFonts w:asciiTheme="majorBidi" w:hAnsiTheme="majorBidi" w:cstheme="majorBidi"/>
                <w:color w:val="000000" w:themeColor="text1"/>
              </w:rPr>
              <w:t>e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 1) motor function (upper extremity maximum score = 66; lower extremity maximum score = 34); 2) sensory function (maximum score = 24); 3) balance (maximum score = 14); 4) joint range of motion (maximum score = 44); and 5) joint pain (maximum score = 44).</w:t>
            </w:r>
          </w:p>
        </w:tc>
      </w:tr>
      <w:tr w:rsidR="00F5585C" w:rsidRPr="003B498D" w14:paraId="6C8A7D84" w14:textId="77777777" w:rsidTr="005B308C">
        <w:tc>
          <w:tcPr>
            <w:tcW w:w="2970" w:type="dxa"/>
            <w:vMerge/>
          </w:tcPr>
          <w:p w14:paraId="652798B3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5670" w:type="dxa"/>
          </w:tcPr>
          <w:p w14:paraId="3B19EC49" w14:textId="77777777" w:rsidR="00F5585C" w:rsidRPr="00784560" w:rsidRDefault="00F5585C" w:rsidP="005B308C">
            <w:pPr>
              <w:spacing w:line="480" w:lineRule="auto"/>
              <w:ind w:left="-10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Subscales can be administered without using the full test (in this study motor function of the upper limb was assessed)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41B7711A" w14:textId="77777777" w:rsidTr="005B308C">
        <w:tc>
          <w:tcPr>
            <w:tcW w:w="2970" w:type="dxa"/>
          </w:tcPr>
          <w:p w14:paraId="7D2361FC" w14:textId="77777777" w:rsidR="00F5585C" w:rsidRPr="00784560" w:rsidRDefault="00F5585C" w:rsidP="005B308C">
            <w:pPr>
              <w:spacing w:line="480" w:lineRule="auto"/>
              <w:ind w:left="435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Administration time:</w:t>
            </w:r>
          </w:p>
        </w:tc>
        <w:tc>
          <w:tcPr>
            <w:tcW w:w="5670" w:type="dxa"/>
          </w:tcPr>
          <w:p w14:paraId="5172F1EA" w14:textId="77777777" w:rsidR="00F5585C" w:rsidRPr="00784560" w:rsidRDefault="00F5585C" w:rsidP="005B308C">
            <w:pPr>
              <w:spacing w:line="480" w:lineRule="auto"/>
              <w:ind w:left="-10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30 minutes (shortened versions &gt; 10 minutes)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0AC3BF53" w14:textId="77777777" w:rsidTr="005B308C">
        <w:tc>
          <w:tcPr>
            <w:tcW w:w="2970" w:type="dxa"/>
          </w:tcPr>
          <w:p w14:paraId="357ADD25" w14:textId="77777777" w:rsidR="00F5585C" w:rsidRPr="00784560" w:rsidRDefault="00F5585C" w:rsidP="005B308C">
            <w:pPr>
              <w:spacing w:line="480" w:lineRule="auto"/>
              <w:ind w:left="435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Scoring:</w:t>
            </w:r>
          </w:p>
        </w:tc>
        <w:tc>
          <w:tcPr>
            <w:tcW w:w="5670" w:type="dxa"/>
          </w:tcPr>
          <w:p w14:paraId="0369BEA7" w14:textId="7AEF2018" w:rsidR="00F5585C" w:rsidRPr="008A56BC" w:rsidRDefault="00F5585C" w:rsidP="008A56BC">
            <w:pPr>
              <w:spacing w:line="480" w:lineRule="auto"/>
              <w:ind w:left="-108"/>
              <w:jc w:val="both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Scale of 0 to 2</w:t>
            </w:r>
            <w:r w:rsidR="00143C67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Lowest score </w:t>
            </w:r>
            <w:r w:rsidR="00143C67">
              <w:rPr>
                <w:rFonts w:asciiTheme="majorBidi" w:hAnsiTheme="majorBidi" w:cstheme="majorBidi"/>
                <w:color w:val="000000" w:themeColor="text1"/>
              </w:rPr>
              <w:t>0 indicating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 poor performance</w:t>
            </w:r>
            <w:r w:rsidR="008A56BC">
              <w:rPr>
                <w:rFonts w:asciiTheme="majorBidi" w:hAnsiTheme="majorBidi" w:cstheme="majorBidi"/>
                <w:color w:val="000000" w:themeColor="text1"/>
              </w:rPr>
              <w:t>, h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>ighest score 226</w:t>
            </w:r>
            <w:r w:rsidR="008A56BC">
              <w:rPr>
                <w:rFonts w:asciiTheme="majorBidi" w:hAnsiTheme="majorBidi" w:cstheme="majorBidi"/>
                <w:color w:val="000000" w:themeColor="text1"/>
              </w:rPr>
              <w:t xml:space="preserve"> indicating the best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 performance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B84F55" w:rsidRPr="003B498D" w14:paraId="3510431A" w14:textId="77777777" w:rsidTr="005B308C">
        <w:tc>
          <w:tcPr>
            <w:tcW w:w="2970" w:type="dxa"/>
          </w:tcPr>
          <w:p w14:paraId="00F08795" w14:textId="472BD24A" w:rsidR="00B84F55" w:rsidRPr="00784560" w:rsidRDefault="00B84F55" w:rsidP="00B84F55">
            <w:pPr>
              <w:spacing w:line="480" w:lineRule="auto"/>
              <w:ind w:left="435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Test</w:t>
            </w:r>
            <w:r>
              <w:rPr>
                <w:rFonts w:asciiTheme="majorBidi" w:hAnsiTheme="majorBidi" w:cstheme="majorBidi"/>
                <w:color w:val="000000" w:themeColor="text1"/>
              </w:rPr>
              <w:t>-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retest reliability: </w:t>
            </w:r>
          </w:p>
        </w:tc>
        <w:tc>
          <w:tcPr>
            <w:tcW w:w="5670" w:type="dxa"/>
          </w:tcPr>
          <w:p w14:paraId="268E1D8C" w14:textId="333E5FC2" w:rsidR="00B84F55" w:rsidRPr="00784560" w:rsidRDefault="00473207" w:rsidP="00B84F55">
            <w:pPr>
              <w:spacing w:line="480" w:lineRule="auto"/>
              <w:ind w:left="-10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 xml:space="preserve">Excellent, </w:t>
            </w:r>
            <w:r w:rsidR="00B84F55" w:rsidRPr="00784560">
              <w:rPr>
                <w:rFonts w:asciiTheme="majorBidi" w:hAnsiTheme="majorBidi" w:cstheme="majorBidi"/>
                <w:color w:val="000000" w:themeColor="text1"/>
              </w:rPr>
              <w:t xml:space="preserve">ICC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>&gt;</w:t>
            </w:r>
            <w:r w:rsidR="00B84F55" w:rsidRPr="00784560">
              <w:rPr>
                <w:rFonts w:asciiTheme="majorBidi" w:hAnsiTheme="majorBidi" w:cstheme="majorBidi"/>
                <w:color w:val="000000" w:themeColor="text1"/>
              </w:rPr>
              <w:t xml:space="preserve"> .9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 xml:space="preserve">5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&lt;EndNote&gt;&lt;Cite&gt;&lt;Author&gt;Platz&lt;/Author&gt;&lt;Year&gt;2005&lt;/Year&gt;&lt;RecNum&gt;2686&lt;/RecNum&gt;&lt;DisplayText&gt;(Platz et al., 2005)&lt;/DisplayText&gt;&lt;record&gt;&lt;rec-number&gt;2686&lt;/rec-number&gt;&lt;foreign-keys&gt;&lt;key app="EN" db-id="e2zedv2xyptd08efe0659tebe92rrrfezxre" timestamp="1646974821"&gt;2686&lt;/key&gt;&lt;/foreign-keys&gt;&lt;ref-type name="Journal Article"&gt;17&lt;/ref-type&gt;&lt;contributors&gt;&lt;authors&gt;&lt;author&gt;Platz, Thomas&lt;/author&gt;&lt;author&gt;Pinkowski, Cosima&lt;/author&gt;&lt;author&gt;van Wijck, Frederike&lt;/author&gt;&lt;author&gt;Kim, In-Ha&lt;/author&gt;&lt;author&gt;di Bella, Paolo&lt;/author&gt;&lt;author&gt;Johnson, Garth&lt;/author&gt;&lt;/authors&gt;&lt;/contributors&gt;&lt;titles&gt;&lt;title&gt;Reliability and validity of arm function assessment with standardized guidelines for the Fugl-Meyer Test, Action Research Arm Test and Box and Block Test: a multicentre study&lt;/title&gt;&lt;secondary-title&gt;Clinical Rehabilitation&lt;/secondary-title&gt;&lt;/titles&gt;&lt;periodical&gt;&lt;full-title&gt;Clinical Rehabilitation&lt;/full-title&gt;&lt;/periodical&gt;&lt;pages&gt;404-411&lt;/pages&gt;&lt;volume&gt;19&lt;/volume&gt;&lt;number&gt;4&lt;/number&gt;&lt;dates&gt;&lt;year&gt;2005&lt;/year&gt;&lt;/dates&gt;&lt;accession-num&gt;15929509&lt;/accession-num&gt;&lt;urls&gt;&lt;related-urls&gt;&lt;url&gt;https://journals.sagepub.com/doi/abs/10.1191/0269215505cr832oa&lt;/url&gt;&lt;/related-urls&gt;&lt;/urls&gt;&lt;electronic-resource-num&gt;10.1191/0269215505cr832oa&lt;/electronic-resource-num&gt;&lt;/record&gt;&lt;/Cite&gt;&lt;/EndNote&gt;</w:instrTex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B84F55">
              <w:rPr>
                <w:rFonts w:asciiTheme="majorBidi" w:hAnsiTheme="majorBidi" w:cstheme="majorBidi"/>
                <w:noProof/>
                <w:color w:val="000000" w:themeColor="text1"/>
              </w:rPr>
              <w:t>(Platz et al., 2005)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</w:tr>
      <w:tr w:rsidR="00B84F55" w:rsidRPr="003B498D" w14:paraId="017B4E22" w14:textId="77777777" w:rsidTr="005B308C">
        <w:tc>
          <w:tcPr>
            <w:tcW w:w="2970" w:type="dxa"/>
          </w:tcPr>
          <w:p w14:paraId="53A12E4B" w14:textId="48FE0860" w:rsidR="00B84F55" w:rsidRPr="00784560" w:rsidRDefault="00B84F55" w:rsidP="00B84F55">
            <w:pPr>
              <w:spacing w:line="480" w:lineRule="auto"/>
              <w:ind w:left="435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Validity</w:t>
            </w:r>
          </w:p>
        </w:tc>
        <w:tc>
          <w:tcPr>
            <w:tcW w:w="5670" w:type="dxa"/>
          </w:tcPr>
          <w:p w14:paraId="6979D207" w14:textId="6D9D3339" w:rsidR="00B84F55" w:rsidRPr="00784560" w:rsidRDefault="00B84F55" w:rsidP="00B84F55">
            <w:pPr>
              <w:spacing w:line="480" w:lineRule="auto"/>
              <w:ind w:left="-10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C</w:t>
            </w:r>
            <w:r w:rsidRPr="00FB1D49">
              <w:rPr>
                <w:rFonts w:asciiTheme="majorBidi" w:hAnsiTheme="majorBidi" w:cstheme="majorBidi"/>
                <w:color w:val="000000" w:themeColor="text1"/>
              </w:rPr>
              <w:t>orrelated moderately highly with the Hemispheric Stroke Scale, a measure of impairment</w:t>
            </w:r>
            <w:r w:rsidR="00473207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Pr="00FB1D49">
              <w:rPr>
                <w:rFonts w:asciiTheme="majorBidi" w:hAnsiTheme="majorBidi" w:cstheme="majorBidi"/>
                <w:color w:val="000000" w:themeColor="text1"/>
              </w:rPr>
              <w:t>rho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FB1D49">
              <w:rPr>
                <w:rFonts w:asciiTheme="majorBidi" w:hAnsiTheme="majorBidi" w:cstheme="majorBidi"/>
                <w:color w:val="000000" w:themeColor="text1"/>
              </w:rPr>
              <w:t>=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FB1D49">
              <w:rPr>
                <w:rFonts w:asciiTheme="majorBidi" w:hAnsiTheme="majorBidi" w:cstheme="majorBidi"/>
                <w:color w:val="000000" w:themeColor="text1"/>
              </w:rPr>
              <w:t>.66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FB1D49">
              <w:rPr>
                <w:rFonts w:asciiTheme="majorBidi" w:hAnsiTheme="majorBidi" w:cstheme="majorBidi"/>
                <w:color w:val="000000" w:themeColor="text1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FB1D49">
              <w:rPr>
                <w:rFonts w:asciiTheme="majorBidi" w:hAnsiTheme="majorBidi" w:cstheme="majorBidi"/>
                <w:color w:val="000000" w:themeColor="text1"/>
              </w:rPr>
              <w:t>.6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9 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&lt;EndNote&gt;&lt;Cite&gt;&lt;Author&gt;Platz&lt;/Author&gt;&lt;Year&gt;2005&lt;/Year&gt;&lt;RecNum&gt;2686&lt;/RecNum&gt;&lt;DisplayText&gt;(Platz et al., 2005)&lt;/DisplayText&gt;&lt;record&gt;&lt;rec-number&gt;2686&lt;/rec-number&gt;&lt;foreign-keys&gt;&lt;key app="EN" db-id="e2zedv2xyptd08efe0659tebe92rrrfezxre" timestamp="1646974821"&gt;2686&lt;/key&gt;&lt;/foreign-keys&gt;&lt;ref-type name="Journal Article"&gt;17&lt;/ref-type&gt;&lt;contributors&gt;&lt;authors&gt;&lt;author&gt;Platz, Thomas&lt;/author&gt;&lt;author&gt;Pinkowski, Cosima&lt;/author&gt;&lt;author&gt;van Wijck, Frederike&lt;/author&gt;&lt;author&gt;Kim, In-Ha&lt;/author&gt;&lt;author&gt;di Bella, Paolo&lt;/author&gt;&lt;author&gt;Johnson, Garth&lt;/author&gt;&lt;/authors&gt;&lt;/contributors&gt;&lt;titles&gt;&lt;title&gt;Reliability and validity of arm function assessment with standardized guidelines for the Fugl-Meyer Test, Action Research Arm Test and Box and Block Test: a multicentre study&lt;/title&gt;&lt;secondary-title&gt;Clinical Rehabilitation&lt;/secondary-title&gt;&lt;/titles&gt;&lt;periodical&gt;&lt;full-title&gt;Clinical Rehabilitation&lt;/full-title&gt;&lt;/periodical&gt;&lt;pages&gt;404-411&lt;/pages&gt;&lt;volume&gt;19&lt;/volume&gt;&lt;number&gt;4&lt;/number&gt;&lt;dates&gt;&lt;year&gt;2005&lt;/year&gt;&lt;/dates&gt;&lt;accession-num&gt;15929509&lt;/accession-num&gt;&lt;urls&gt;&lt;related-urls&gt;&lt;url&gt;https://journals.sagepub.com/doi/abs/10.1191/0269215505cr832oa&lt;/url&gt;&lt;/related-urls&gt;&lt;/urls&gt;&lt;electronic-resource-num&gt;10.1191/0269215505cr832oa&lt;/electronic-resource-num&gt;&lt;/record&gt;&lt;/Cite&gt;&lt;/EndNote&gt;</w:instrTex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(Platz et al., 2005)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</w:tr>
    </w:tbl>
    <w:p w14:paraId="128F7E8A" w14:textId="77777777" w:rsidR="00F5585C" w:rsidRPr="00784560" w:rsidRDefault="00F5585C" w:rsidP="00F5585C">
      <w:pPr>
        <w:pStyle w:val="APAList-Bullets"/>
        <w:numPr>
          <w:ilvl w:val="0"/>
          <w:numId w:val="0"/>
        </w:numPr>
        <w:ind w:left="720"/>
        <w:rPr>
          <w:rFonts w:asciiTheme="majorBidi" w:hAnsiTheme="majorBidi" w:cstheme="majorBidi"/>
        </w:rPr>
      </w:pPr>
    </w:p>
    <w:p w14:paraId="25F62E21" w14:textId="631EC22C" w:rsidR="00F5585C" w:rsidRPr="00784560" w:rsidRDefault="00F5585C" w:rsidP="008A56BC">
      <w:pPr>
        <w:pStyle w:val="APAList-Bullets"/>
        <w:numPr>
          <w:ilvl w:val="0"/>
          <w:numId w:val="0"/>
        </w:numPr>
        <w:ind w:left="720" w:hanging="360"/>
        <w:jc w:val="both"/>
        <w:rPr>
          <w:rFonts w:asciiTheme="majorBidi" w:hAnsiTheme="majorBidi" w:cstheme="majorBidi"/>
        </w:rPr>
      </w:pPr>
      <w:r w:rsidRPr="008A56BC">
        <w:rPr>
          <w:rFonts w:asciiTheme="majorBidi" w:hAnsiTheme="majorBidi" w:cstheme="majorBidi"/>
          <w:u w:val="single"/>
        </w:rPr>
        <w:t>Nine Hole Peg Test (NHPT)</w:t>
      </w:r>
      <w:r w:rsidRPr="0078456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fldChar w:fldCharType="begin"/>
      </w:r>
      <w:r>
        <w:rPr>
          <w:rFonts w:asciiTheme="majorBidi" w:hAnsiTheme="majorBidi" w:cstheme="majorBidi"/>
        </w:rPr>
        <w:instrText xml:space="preserve"> ADDIN EN.CITE &lt;EndNote&gt;&lt;Cite&gt;&lt;Author&gt;Mathiowetz&lt;/Author&gt;&lt;Year&gt;1985&lt;/Year&gt;&lt;RecNum&gt;1039&lt;/RecNum&gt;&lt;DisplayText&gt;(Mathiowetz et al., 1985)&lt;/DisplayText&gt;&lt;record&gt;&lt;rec-number&gt;1039&lt;/rec-number&gt;&lt;foreign-keys&gt;&lt;key app="EN" db-id="e2zedv2xyptd08efe0659tebe92rrrfezxre" timestamp="1490837094"&gt;1039&lt;/key&gt;&lt;/foreign-keys&gt;&lt;ref-type name="Journal Article"&gt;17&lt;/ref-type&gt;&lt;contributors&gt;&lt;authors&gt;&lt;author&gt;Mathiowetz, Virgil&lt;/author&gt;&lt;author&gt;Weber, Karen&lt;/author&gt;&lt;author&gt;Kashman, Nancy&lt;/author&gt;&lt;author&gt;Volland, Gloria&lt;/author&gt;&lt;/authors&gt;&lt;/contributors&gt;&lt;titles&gt;&lt;title&gt;Adult norms for the nine hole peg test of finger dexterity&lt;/title&gt;&lt;secondary-title&gt;OTJR: Occupation, Participation and Health&lt;/secondary-title&gt;&lt;/titles&gt;&lt;periodical&gt;&lt;full-title&gt;OTJR: Occupation, Participation and Health&lt;/full-title&gt;&lt;/periodical&gt;&lt;pages&gt;24-38&lt;/pages&gt;&lt;volume&gt;5&lt;/volume&gt;&lt;number&gt;1&lt;/number&gt;&lt;dates&gt;&lt;year&gt;1985&lt;/year&gt;&lt;/dates&gt;&lt;isbn&gt;1539-4492&lt;/isbn&gt;&lt;urls&gt;&lt;/urls&gt;&lt;/record&gt;&lt;/Cite&gt;&lt;/EndNote&gt;</w:instrText>
      </w:r>
      <w:r>
        <w:rPr>
          <w:rFonts w:asciiTheme="majorBidi" w:hAnsiTheme="majorBidi" w:cstheme="majorBidi"/>
        </w:rPr>
        <w:fldChar w:fldCharType="separate"/>
      </w:r>
      <w:r>
        <w:rPr>
          <w:rFonts w:asciiTheme="majorBidi" w:hAnsiTheme="majorBidi" w:cstheme="majorBidi"/>
          <w:noProof/>
        </w:rPr>
        <w:t>(Mathiowetz et al., 1985)</w:t>
      </w:r>
      <w:r>
        <w:rPr>
          <w:rFonts w:asciiTheme="majorBidi" w:hAnsiTheme="majorBidi" w:cstheme="majorBidi"/>
        </w:rPr>
        <w:fldChar w:fldCharType="end"/>
      </w:r>
    </w:p>
    <w:tbl>
      <w:tblPr>
        <w:tblStyle w:val="TableGrid"/>
        <w:tblW w:w="0" w:type="auto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3"/>
        <w:gridCol w:w="5687"/>
      </w:tblGrid>
      <w:tr w:rsidR="00F5585C" w:rsidRPr="003B498D" w14:paraId="77712349" w14:textId="77777777" w:rsidTr="005B308C">
        <w:tc>
          <w:tcPr>
            <w:tcW w:w="2793" w:type="dxa"/>
          </w:tcPr>
          <w:p w14:paraId="70547217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Use: </w:t>
            </w:r>
          </w:p>
        </w:tc>
        <w:tc>
          <w:tcPr>
            <w:tcW w:w="5687" w:type="dxa"/>
          </w:tcPr>
          <w:p w14:paraId="72A9CED8" w14:textId="77777777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Evaluates finger dexterity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076E3DAF" w14:textId="77777777" w:rsidTr="005B308C">
        <w:tc>
          <w:tcPr>
            <w:tcW w:w="2793" w:type="dxa"/>
          </w:tcPr>
          <w:p w14:paraId="4A639A3C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Instrument:</w:t>
            </w:r>
          </w:p>
        </w:tc>
        <w:tc>
          <w:tcPr>
            <w:tcW w:w="5687" w:type="dxa"/>
          </w:tcPr>
          <w:p w14:paraId="6A20CD3B" w14:textId="77777777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Consists of pegs, nine-hole pegboard and a stopwatch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0241E37D" w14:textId="77777777" w:rsidTr="005B308C">
        <w:tc>
          <w:tcPr>
            <w:tcW w:w="2793" w:type="dxa"/>
          </w:tcPr>
          <w:p w14:paraId="2B410F9C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Measurement:</w:t>
            </w:r>
          </w:p>
        </w:tc>
        <w:tc>
          <w:tcPr>
            <w:tcW w:w="5687" w:type="dxa"/>
          </w:tcPr>
          <w:p w14:paraId="7A008D83" w14:textId="77777777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Objectively measured using a stopwatch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075778CE" w14:textId="77777777" w:rsidTr="005B308C">
        <w:tc>
          <w:tcPr>
            <w:tcW w:w="2793" w:type="dxa"/>
          </w:tcPr>
          <w:p w14:paraId="7FC78688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Administration time:</w:t>
            </w:r>
          </w:p>
        </w:tc>
        <w:tc>
          <w:tcPr>
            <w:tcW w:w="5687" w:type="dxa"/>
          </w:tcPr>
          <w:p w14:paraId="248116E1" w14:textId="77777777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&lt; 1 minute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3F6B6BDA" w14:textId="77777777" w:rsidTr="005B308C">
        <w:tc>
          <w:tcPr>
            <w:tcW w:w="2793" w:type="dxa"/>
          </w:tcPr>
          <w:p w14:paraId="41C219C1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Scoring:</w:t>
            </w:r>
          </w:p>
        </w:tc>
        <w:tc>
          <w:tcPr>
            <w:tcW w:w="5687" w:type="dxa"/>
          </w:tcPr>
          <w:p w14:paraId="4E62CD51" w14:textId="11F69BFC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Based on the time taken to complete the test activity, recorded in seconds. Less time </w:t>
            </w:r>
            <w:r w:rsidR="008A56BC">
              <w:rPr>
                <w:rFonts w:asciiTheme="majorBidi" w:hAnsiTheme="majorBidi" w:cstheme="majorBidi"/>
                <w:color w:val="000000" w:themeColor="text1"/>
              </w:rPr>
              <w:t>indicating better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 finger dexterity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B84F55" w:rsidRPr="003B498D" w14:paraId="5AD73F56" w14:textId="77777777" w:rsidTr="005B308C">
        <w:tc>
          <w:tcPr>
            <w:tcW w:w="2793" w:type="dxa"/>
          </w:tcPr>
          <w:p w14:paraId="57B73CCD" w14:textId="535A9BE7" w:rsidR="00B84F55" w:rsidRPr="00784560" w:rsidRDefault="00B84F55" w:rsidP="00B84F55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Test</w:t>
            </w:r>
            <w:r>
              <w:rPr>
                <w:rFonts w:asciiTheme="majorBidi" w:hAnsiTheme="majorBidi" w:cstheme="majorBidi"/>
                <w:color w:val="000000" w:themeColor="text1"/>
              </w:rPr>
              <w:t>-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retest reliability: </w:t>
            </w:r>
          </w:p>
        </w:tc>
        <w:tc>
          <w:tcPr>
            <w:tcW w:w="5687" w:type="dxa"/>
          </w:tcPr>
          <w:p w14:paraId="2BA4582B" w14:textId="2653E716" w:rsidR="00B84F55" w:rsidRPr="00784560" w:rsidRDefault="00473207" w:rsidP="00B84F55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 xml:space="preserve">Excellent,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 xml:space="preserve">ICC = </w:t>
            </w:r>
            <w:r w:rsidR="00B84F55" w:rsidRPr="008A56BC">
              <w:rPr>
                <w:rFonts w:asciiTheme="majorBidi" w:hAnsiTheme="majorBidi" w:cstheme="majorBidi"/>
                <w:color w:val="000000" w:themeColor="text1"/>
              </w:rPr>
              <w:t>.83 to .99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&lt;EndNote&gt;&lt;Cite&gt;&lt;Author&gt;Ekstrand&lt;/Author&gt;&lt;Year&gt;2016&lt;/Year&gt;&lt;RecNum&gt;2687&lt;/RecNum&gt;&lt;DisplayText&gt;(Ekstrand et al., 2016)&lt;/DisplayText&gt;&lt;record&gt;&lt;rec-number&gt;2687&lt;/rec-number&gt;&lt;foreign-keys&gt;&lt;key app="EN" db-id="e2zedv2xyptd08efe0659tebe92rrrfezxre" timestamp="1646979622"&gt;2687&lt;/key&gt;&lt;/foreign-keys&gt;&lt;ref-type name="Journal Article"&gt;17&lt;/ref-type&gt;&lt;contributors&gt;&lt;authors&gt;&lt;author&gt;Ekstrand, Elisabeth&lt;/author&gt;&lt;author&gt;Lexell, Jan&lt;/author&gt;&lt;author&gt;Brogårdh, Christina&lt;/author&gt;&lt;/authors&gt;&lt;/contributors&gt;&lt;titles&gt;&lt;title&gt;Test−Retest Reliability and Convergent Validity of Three Manual Dexterity Measures in Persons With Chronic Stroke&lt;/title&gt;&lt;secondary-title&gt;PM&amp;amp;R&lt;/secondary-title&gt;&lt;/titles&gt;&lt;periodical&gt;&lt;full-title&gt;PM&amp;amp;R&lt;/full-title&gt;&lt;/periodical&gt;&lt;pages&gt;935-943&lt;/pages&gt;&lt;volume&gt;8&lt;/volume&gt;&lt;number&gt;10&lt;/number&gt;&lt;dates&gt;&lt;year&gt;2016&lt;/year&gt;&lt;pub-dates&gt;&lt;date&gt;2016/10/01/&lt;/date&gt;&lt;/pub-dates&gt;&lt;/dates&gt;&lt;isbn&gt;1934-1482&lt;/isbn&gt;&lt;urls&gt;&lt;related-urls&gt;&lt;url&gt;https://www.sciencedirect.com/science/article/pii/S1934148216001672&lt;/url&gt;&lt;/related-urls&gt;&lt;/urls&gt;&lt;electronic-resource-num&gt;https://doi.org/10.1016/j.pmrj.2016.02.014&lt;/electronic-resource-num&gt;&lt;/record&gt;&lt;/Cite&gt;&lt;/EndNote&gt;</w:instrTex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B84F55">
              <w:rPr>
                <w:rFonts w:asciiTheme="majorBidi" w:hAnsiTheme="majorBidi" w:cstheme="majorBidi"/>
                <w:noProof/>
                <w:color w:val="000000" w:themeColor="text1"/>
              </w:rPr>
              <w:t>(Ekstrand et al., 2016)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</w:tr>
      <w:tr w:rsidR="00B84F55" w:rsidRPr="003B498D" w14:paraId="0201770B" w14:textId="77777777" w:rsidTr="005B308C">
        <w:tc>
          <w:tcPr>
            <w:tcW w:w="2793" w:type="dxa"/>
          </w:tcPr>
          <w:p w14:paraId="2A9681AD" w14:textId="7F3D8E1F" w:rsidR="00B84F55" w:rsidRPr="00784560" w:rsidRDefault="00B84F55" w:rsidP="00B84F55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Validity </w:t>
            </w:r>
          </w:p>
        </w:tc>
        <w:tc>
          <w:tcPr>
            <w:tcW w:w="5687" w:type="dxa"/>
          </w:tcPr>
          <w:p w14:paraId="6AF988C9" w14:textId="528DBE39" w:rsidR="00B84F55" w:rsidRPr="00784560" w:rsidRDefault="00473207" w:rsidP="00B84F55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Satisfactory c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>onvergent validity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="00B84F55" w:rsidRPr="008A56BC">
              <w:rPr>
                <w:rFonts w:asciiTheme="majorBidi" w:hAnsiTheme="majorBidi" w:cstheme="majorBidi"/>
                <w:color w:val="000000" w:themeColor="text1"/>
              </w:rPr>
              <w:t>rho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 xml:space="preserve"> = .68 with </w:t>
            </w:r>
            <w:proofErr w:type="spellStart"/>
            <w:r w:rsidR="00B84F55" w:rsidRPr="008A56BC">
              <w:rPr>
                <w:rFonts w:asciiTheme="majorBidi" w:hAnsiTheme="majorBidi" w:cstheme="majorBidi"/>
                <w:color w:val="000000" w:themeColor="text1"/>
              </w:rPr>
              <w:t>Sollerman</w:t>
            </w:r>
            <w:proofErr w:type="spellEnd"/>
            <w:r w:rsidR="00B84F55" w:rsidRPr="008A56BC">
              <w:rPr>
                <w:rFonts w:asciiTheme="majorBidi" w:hAnsiTheme="majorBidi" w:cstheme="majorBidi"/>
                <w:color w:val="000000" w:themeColor="text1"/>
              </w:rPr>
              <w:t xml:space="preserve"> Hand Function Test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&lt;EndNote&gt;&lt;Cite&gt;&lt;Author&gt;Ekstrand&lt;/Author&gt;&lt;Year&gt;2016&lt;/Year&gt;&lt;RecNum&gt;2687&lt;/RecNum&gt;&lt;DisplayText&gt;(Ekstrand et al., 2016)&lt;/DisplayText&gt;&lt;record&gt;&lt;rec-number&gt;2687&lt;/rec-number&gt;&lt;foreign-keys&gt;&lt;key app="EN" db-id="e2zedv2xyptd08efe0659tebe92rrrfezxre" timestamp="1646979622"&gt;2687&lt;/key&gt;&lt;/foreign-keys&gt;&lt;ref-type name="Journal Article"&gt;17&lt;/ref-type&gt;&lt;contributors&gt;&lt;authors&gt;&lt;author&gt;Ekstrand, Elisabeth&lt;/author&gt;&lt;author&gt;Lexell, Jan&lt;/author&gt;&lt;author&gt;Brogårdh, Christina&lt;/author&gt;&lt;/authors&gt;&lt;/contributors&gt;&lt;titles&gt;&lt;title&gt;Test−Retest Reliability and Convergent Validity of Three Manual Dexterity Measures in Persons With Chronic Stroke&lt;/title&gt;&lt;secondary-title&gt;PM&amp;amp;R&lt;/secondary-title&gt;&lt;/titles&gt;&lt;periodical&gt;&lt;full-title&gt;PM&amp;amp;R&lt;/full-title&gt;&lt;/periodical&gt;&lt;pages&gt;935-943&lt;/pages&gt;&lt;volume&gt;8&lt;/volume&gt;&lt;number&gt;10&lt;/number&gt;&lt;dates&gt;&lt;year&gt;2016&lt;/year&gt;&lt;pub-dates&gt;&lt;date&gt;2016/10/01/&lt;/date&gt;&lt;/pub-dates&gt;&lt;/dates&gt;&lt;isbn&gt;1934-1482&lt;/isbn&gt;&lt;urls&gt;&lt;related-urls&gt;&lt;url&gt;https://www.sciencedirect.com/science/article/pii/S1934148216001672&lt;/url&gt;&lt;/related-urls&gt;&lt;/urls&gt;&lt;electronic-resource-num&gt;https://doi.org/10.1016/j.pmrj.2016.02.014&lt;/electronic-resource-num&gt;&lt;/record&gt;&lt;/Cite&gt;&lt;/EndNote&gt;</w:instrTex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B84F55">
              <w:rPr>
                <w:rFonts w:asciiTheme="majorBidi" w:hAnsiTheme="majorBidi" w:cstheme="majorBidi"/>
                <w:noProof/>
                <w:color w:val="000000" w:themeColor="text1"/>
              </w:rPr>
              <w:t>(Ekstrand et al., 2016)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</w:tr>
    </w:tbl>
    <w:p w14:paraId="1715525B" w14:textId="77777777" w:rsidR="00F5585C" w:rsidRPr="00784560" w:rsidRDefault="00F5585C" w:rsidP="00F5585C">
      <w:pPr>
        <w:pStyle w:val="APAList-Bullets"/>
        <w:numPr>
          <w:ilvl w:val="0"/>
          <w:numId w:val="0"/>
        </w:numPr>
        <w:ind w:left="720"/>
        <w:rPr>
          <w:rFonts w:asciiTheme="majorBidi" w:hAnsiTheme="majorBidi" w:cstheme="majorBidi"/>
        </w:rPr>
      </w:pPr>
    </w:p>
    <w:p w14:paraId="28051D77" w14:textId="135B49B3" w:rsidR="00F5585C" w:rsidRPr="00784560" w:rsidRDefault="00F5585C" w:rsidP="008A56BC">
      <w:pPr>
        <w:pStyle w:val="APAList-Bullets"/>
        <w:numPr>
          <w:ilvl w:val="0"/>
          <w:numId w:val="0"/>
        </w:numPr>
        <w:ind w:left="720" w:hanging="360"/>
        <w:jc w:val="both"/>
        <w:rPr>
          <w:rFonts w:asciiTheme="majorBidi" w:hAnsiTheme="majorBidi" w:cstheme="majorBidi"/>
        </w:rPr>
      </w:pPr>
      <w:r w:rsidRPr="00B84F55">
        <w:rPr>
          <w:rFonts w:asciiTheme="majorBidi" w:hAnsiTheme="majorBidi" w:cstheme="majorBidi"/>
          <w:u w:val="single"/>
        </w:rPr>
        <w:lastRenderedPageBreak/>
        <w:t>In-Hand Manipulation Assessment (IHMA)</w:t>
      </w:r>
      <w:r w:rsidRPr="00784560">
        <w:rPr>
          <w:rFonts w:asciiTheme="majorBidi" w:hAnsiTheme="majorBidi" w:cstheme="majorBidi"/>
        </w:rPr>
        <w:t xml:space="preserve"> </w:t>
      </w:r>
      <w:r w:rsidR="008A56BC">
        <w:rPr>
          <w:rFonts w:asciiTheme="majorBidi" w:hAnsiTheme="majorBidi" w:cstheme="majorBidi"/>
        </w:rPr>
        <w:fldChar w:fldCharType="begin"/>
      </w:r>
      <w:r w:rsidR="008A56BC">
        <w:rPr>
          <w:rFonts w:asciiTheme="majorBidi" w:hAnsiTheme="majorBidi" w:cstheme="majorBidi"/>
        </w:rPr>
        <w:instrText xml:space="preserve"> ADDIN EN.CITE &lt;EndNote&gt;&lt;Cite&gt;&lt;Author&gt;Klymenko&lt;/Author&gt;&lt;Year&gt;2018&lt;/Year&gt;&lt;RecNum&gt;2602&lt;/RecNum&gt;&lt;DisplayText&gt;(Klymenko et al., 2018)&lt;/DisplayText&gt;&lt;record&gt;&lt;rec-number&gt;2602&lt;/rec-number&gt;&lt;foreign-keys&gt;&lt;key app="EN" db-id="e2zedv2xyptd08efe0659tebe92rrrfezxre" timestamp="1529368103"&gt;2602&lt;/key&gt;&lt;/foreign-keys&gt;&lt;ref-type name="Journal Article"&gt;17&lt;/ref-type&gt;&lt;contributors&gt;&lt;authors&gt;&lt;author&gt;Klymenko, Gabrielle&lt;/author&gt;&lt;author&gt;Liu, Karen PY&lt;/author&gt;&lt;author&gt;Bissett, Michelle&lt;/author&gt;&lt;author&gt;Fong, Kenneth NK&lt;/author&gt;&lt;author&gt;Welage, Nandana&lt;/author&gt;&lt;author&gt;Wong, Rebecca SM&lt;/author&gt;&lt;/authors&gt;&lt;/contributors&gt;&lt;titles&gt;&lt;title&gt;Development and initial validity of the in‐hand manipulation assessment&lt;/title&gt;&lt;secondary-title&gt;Australian Occupational Therapy Journal&lt;/secondary-title&gt;&lt;/titles&gt;&lt;periodical&gt;&lt;full-title&gt;Australian Occupational Therapy Journal&lt;/full-title&gt;&lt;/periodical&gt;&lt;dates&gt;&lt;year&gt;2018&lt;/year&gt;&lt;/dates&gt;&lt;isbn&gt;1440-1630&lt;/isbn&gt;&lt;urls&gt;&lt;/urls&gt;&lt;/record&gt;&lt;/Cite&gt;&lt;/EndNote&gt;</w:instrText>
      </w:r>
      <w:r w:rsidR="008A56BC">
        <w:rPr>
          <w:rFonts w:asciiTheme="majorBidi" w:hAnsiTheme="majorBidi" w:cstheme="majorBidi"/>
        </w:rPr>
        <w:fldChar w:fldCharType="separate"/>
      </w:r>
      <w:r w:rsidR="008A56BC">
        <w:rPr>
          <w:rFonts w:asciiTheme="majorBidi" w:hAnsiTheme="majorBidi" w:cstheme="majorBidi"/>
          <w:noProof/>
        </w:rPr>
        <w:t>(Klymenko et al., 2018)</w:t>
      </w:r>
      <w:r w:rsidR="008A56BC">
        <w:rPr>
          <w:rFonts w:asciiTheme="majorBidi" w:hAnsiTheme="majorBidi" w:cstheme="majorBidi"/>
        </w:rPr>
        <w:fldChar w:fldCharType="end"/>
      </w:r>
    </w:p>
    <w:tbl>
      <w:tblPr>
        <w:tblStyle w:val="TableGrid"/>
        <w:tblW w:w="0" w:type="auto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3"/>
        <w:gridCol w:w="5677"/>
      </w:tblGrid>
      <w:tr w:rsidR="00F5585C" w:rsidRPr="003B498D" w14:paraId="55640DF6" w14:textId="77777777" w:rsidTr="005B308C">
        <w:tc>
          <w:tcPr>
            <w:tcW w:w="2803" w:type="dxa"/>
          </w:tcPr>
          <w:p w14:paraId="67481EBE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Use: </w:t>
            </w:r>
          </w:p>
        </w:tc>
        <w:tc>
          <w:tcPr>
            <w:tcW w:w="5677" w:type="dxa"/>
          </w:tcPr>
          <w:p w14:paraId="54D047EC" w14:textId="7FD0602A" w:rsidR="00F5585C" w:rsidRPr="00784560" w:rsidRDefault="00F5585C" w:rsidP="005B308C">
            <w:pPr>
              <w:spacing w:line="480" w:lineRule="auto"/>
              <w:ind w:left="-1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Evaluate in-hand manipulation </w:t>
            </w:r>
            <w:r w:rsidR="008A56BC">
              <w:rPr>
                <w:rFonts w:asciiTheme="majorBidi" w:hAnsiTheme="majorBidi" w:cstheme="majorBidi"/>
                <w:color w:val="000000" w:themeColor="text1"/>
              </w:rPr>
              <w:t>skills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1B9CBF5F" w14:textId="77777777" w:rsidTr="005B308C">
        <w:tc>
          <w:tcPr>
            <w:tcW w:w="2803" w:type="dxa"/>
          </w:tcPr>
          <w:p w14:paraId="7A787F6A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Instrument:</w:t>
            </w:r>
          </w:p>
        </w:tc>
        <w:tc>
          <w:tcPr>
            <w:tcW w:w="5677" w:type="dxa"/>
          </w:tcPr>
          <w:p w14:paraId="7BBCF8AB" w14:textId="78062B4F" w:rsidR="00F5585C" w:rsidRPr="00784560" w:rsidRDefault="00F5585C" w:rsidP="005B308C">
            <w:pPr>
              <w:spacing w:line="480" w:lineRule="auto"/>
              <w:ind w:left="-1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Consist</w:t>
            </w:r>
            <w:r w:rsidR="008A56BC">
              <w:rPr>
                <w:rFonts w:asciiTheme="majorBidi" w:hAnsiTheme="majorBidi" w:cstheme="majorBidi"/>
                <w:color w:val="000000" w:themeColor="text1"/>
              </w:rPr>
              <w:t>s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 of 20 hand tasks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44F28A2C" w14:textId="77777777" w:rsidTr="005B308C">
        <w:tc>
          <w:tcPr>
            <w:tcW w:w="2803" w:type="dxa"/>
          </w:tcPr>
          <w:p w14:paraId="67664DBE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Areas of assessment:</w:t>
            </w:r>
          </w:p>
        </w:tc>
        <w:tc>
          <w:tcPr>
            <w:tcW w:w="5677" w:type="dxa"/>
          </w:tcPr>
          <w:p w14:paraId="5AC14EA2" w14:textId="77777777" w:rsidR="00F5585C" w:rsidRPr="00784560" w:rsidRDefault="00F5585C" w:rsidP="005B308C">
            <w:pPr>
              <w:tabs>
                <w:tab w:val="left" w:pos="361"/>
              </w:tabs>
              <w:spacing w:line="480" w:lineRule="auto"/>
              <w:ind w:left="-1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1) finger-to-palm and palm-to-finger translation; 2) shift; 3) simple rotation; 4) complex rotation; and 5) </w:t>
            </w:r>
            <w:proofErr w:type="spellStart"/>
            <w:r w:rsidRPr="00784560">
              <w:rPr>
                <w:rFonts w:asciiTheme="majorBidi" w:hAnsiTheme="majorBidi" w:cstheme="majorBidi"/>
                <w:color w:val="000000" w:themeColor="text1"/>
              </w:rPr>
              <w:t>stabilisation</w:t>
            </w:r>
            <w:proofErr w:type="spellEnd"/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3A6DCAA4" w14:textId="77777777" w:rsidTr="005B308C">
        <w:tc>
          <w:tcPr>
            <w:tcW w:w="2803" w:type="dxa"/>
          </w:tcPr>
          <w:p w14:paraId="18F12361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Administration time:</w:t>
            </w:r>
          </w:p>
        </w:tc>
        <w:tc>
          <w:tcPr>
            <w:tcW w:w="5677" w:type="dxa"/>
          </w:tcPr>
          <w:p w14:paraId="75E70312" w14:textId="77777777" w:rsidR="00F5585C" w:rsidRPr="00784560" w:rsidRDefault="00F5585C" w:rsidP="005B308C">
            <w:pPr>
              <w:spacing w:line="480" w:lineRule="auto"/>
              <w:ind w:left="-1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15 minutes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5DB73C26" w14:textId="77777777" w:rsidTr="005B308C">
        <w:tc>
          <w:tcPr>
            <w:tcW w:w="2803" w:type="dxa"/>
          </w:tcPr>
          <w:p w14:paraId="2103CE38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Scoring:</w:t>
            </w:r>
          </w:p>
        </w:tc>
        <w:tc>
          <w:tcPr>
            <w:tcW w:w="5677" w:type="dxa"/>
          </w:tcPr>
          <w:p w14:paraId="39B7DD72" w14:textId="198978C8" w:rsidR="00F5585C" w:rsidRPr="00784560" w:rsidRDefault="00F5585C" w:rsidP="007F7541">
            <w:pPr>
              <w:spacing w:line="480" w:lineRule="auto"/>
              <w:ind w:left="-1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Skill </w:t>
            </w:r>
            <w:r w:rsidR="007F7541">
              <w:rPr>
                <w:rFonts w:asciiTheme="majorBidi" w:hAnsiTheme="majorBidi" w:cstheme="majorBidi"/>
                <w:color w:val="000000" w:themeColor="text1"/>
              </w:rPr>
              <w:t>p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erformance </w:t>
            </w:r>
            <w:r w:rsidR="007F7541">
              <w:rPr>
                <w:rFonts w:asciiTheme="majorBidi" w:hAnsiTheme="majorBidi" w:cstheme="majorBidi"/>
                <w:color w:val="000000" w:themeColor="text1"/>
              </w:rPr>
              <w:t xml:space="preserve">average 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0 - 4 (highest score </w:t>
            </w:r>
            <w:r w:rsidR="007F7541">
              <w:rPr>
                <w:rFonts w:asciiTheme="majorBidi" w:hAnsiTheme="majorBidi" w:cstheme="majorBidi"/>
                <w:color w:val="000000" w:themeColor="text1"/>
              </w:rPr>
              <w:t>indicating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 no difficulty)</w:t>
            </w:r>
            <w:r w:rsidR="007F7541"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B84F55" w:rsidRPr="003B498D" w14:paraId="6EF17591" w14:textId="77777777" w:rsidTr="005B308C">
        <w:tc>
          <w:tcPr>
            <w:tcW w:w="2803" w:type="dxa"/>
          </w:tcPr>
          <w:p w14:paraId="1109581E" w14:textId="4356B46A" w:rsidR="00B84F55" w:rsidRPr="00784560" w:rsidRDefault="00B84F55" w:rsidP="00B84F55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Inter-rater reliability: </w:t>
            </w:r>
          </w:p>
        </w:tc>
        <w:tc>
          <w:tcPr>
            <w:tcW w:w="5677" w:type="dxa"/>
          </w:tcPr>
          <w:p w14:paraId="2E863D7B" w14:textId="4BDA805C" w:rsidR="00B84F55" w:rsidRPr="00784560" w:rsidRDefault="00B84F55" w:rsidP="00B84F55">
            <w:pPr>
              <w:spacing w:line="480" w:lineRule="auto"/>
              <w:ind w:left="-1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</w:rPr>
              <w:t>Not reported.</w:t>
            </w:r>
          </w:p>
        </w:tc>
      </w:tr>
      <w:tr w:rsidR="00B84F55" w:rsidRPr="003B498D" w14:paraId="646D08AE" w14:textId="77777777" w:rsidTr="005B308C">
        <w:tc>
          <w:tcPr>
            <w:tcW w:w="2803" w:type="dxa"/>
          </w:tcPr>
          <w:p w14:paraId="52DF5B4B" w14:textId="187B358C" w:rsidR="00B84F55" w:rsidRPr="00784560" w:rsidRDefault="00B84F55" w:rsidP="00B84F55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Validity </w:t>
            </w:r>
          </w:p>
        </w:tc>
        <w:tc>
          <w:tcPr>
            <w:tcW w:w="5677" w:type="dxa"/>
          </w:tcPr>
          <w:p w14:paraId="5DBE3110" w14:textId="49C1F375" w:rsidR="00B84F55" w:rsidRPr="00784560" w:rsidRDefault="00B84F55" w:rsidP="00B84F55">
            <w:pPr>
              <w:spacing w:line="480" w:lineRule="auto"/>
              <w:ind w:left="-18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eastAsia="Calibri" w:hAnsiTheme="majorBidi" w:cstheme="majorBidi"/>
              </w:rPr>
              <w:t>Content validity established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>
              <w:rPr>
                <w:rFonts w:asciiTheme="majorBidi" w:eastAsia="Calibri" w:hAnsiTheme="majorBidi" w:cstheme="majorBidi"/>
              </w:rPr>
              <w:fldChar w:fldCharType="begin"/>
            </w:r>
            <w:r>
              <w:rPr>
                <w:rFonts w:asciiTheme="majorBidi" w:eastAsia="Calibri" w:hAnsiTheme="majorBidi" w:cstheme="majorBidi"/>
              </w:rPr>
              <w:instrText xml:space="preserve"> ADDIN EN.CITE &lt;EndNote&gt;&lt;Cite&gt;&lt;Author&gt;Klymenko&lt;/Author&gt;&lt;Year&gt;2018&lt;/Year&gt;&lt;RecNum&gt;2602&lt;/RecNum&gt;&lt;DisplayText&gt;(Klymenko et al., 2018)&lt;/DisplayText&gt;&lt;record&gt;&lt;rec-number&gt;2602&lt;/rec-number&gt;&lt;foreign-keys&gt;&lt;key app="EN" db-id="e2zedv2xyptd08efe0659tebe92rrrfezxre" timestamp="1529368103"&gt;2602&lt;/key&gt;&lt;/foreign-keys&gt;&lt;ref-type name="Journal Article"&gt;17&lt;/ref-type&gt;&lt;contributors&gt;&lt;authors&gt;&lt;author&gt;Klymenko, Gabrielle&lt;/author&gt;&lt;author&gt;Liu, Karen PY&lt;/author&gt;&lt;author&gt;Bissett, Michelle&lt;/author&gt;&lt;author&gt;Fong, Kenneth NK&lt;/author&gt;&lt;author&gt;Welage, Nandana&lt;/author&gt;&lt;author&gt;Wong, Rebecca SM&lt;/author&gt;&lt;/authors&gt;&lt;/contributors&gt;&lt;titles&gt;&lt;title&gt;Development and initial validity of the in‐hand manipulation assessment&lt;/title&gt;&lt;secondary-title&gt;Australian Occupational Therapy Journal&lt;/secondary-title&gt;&lt;/titles&gt;&lt;periodical&gt;&lt;full-title&gt;Australian Occupational Therapy Journal&lt;/full-title&gt;&lt;/periodical&gt;&lt;dates&gt;&lt;year&gt;2018&lt;/year&gt;&lt;/dates&gt;&lt;isbn&gt;1440-1630&lt;/isbn&gt;&lt;urls&gt;&lt;/urls&gt;&lt;/record&gt;&lt;/Cite&gt;&lt;/EndNote&gt;</w:instrText>
            </w:r>
            <w:r>
              <w:rPr>
                <w:rFonts w:asciiTheme="majorBidi" w:eastAsia="Calibri" w:hAnsiTheme="majorBidi" w:cstheme="majorBidi"/>
              </w:rPr>
              <w:fldChar w:fldCharType="separate"/>
            </w:r>
            <w:r>
              <w:rPr>
                <w:rFonts w:asciiTheme="majorBidi" w:eastAsia="Calibri" w:hAnsiTheme="majorBidi" w:cstheme="majorBidi"/>
                <w:noProof/>
              </w:rPr>
              <w:t>(Klymenko et al., 2018)</w:t>
            </w:r>
            <w:r>
              <w:rPr>
                <w:rFonts w:asciiTheme="majorBidi" w:eastAsia="Calibri" w:hAnsiTheme="majorBidi" w:cstheme="majorBidi"/>
              </w:rPr>
              <w:fldChar w:fldCharType="end"/>
            </w:r>
            <w:r w:rsidRPr="00784560">
              <w:rPr>
                <w:rFonts w:asciiTheme="majorBidi" w:eastAsia="Calibri" w:hAnsiTheme="majorBidi" w:cstheme="majorBidi"/>
              </w:rPr>
              <w:t>.</w:t>
            </w:r>
          </w:p>
        </w:tc>
      </w:tr>
    </w:tbl>
    <w:p w14:paraId="598B608F" w14:textId="77777777" w:rsidR="00F5585C" w:rsidRPr="00784560" w:rsidRDefault="00F5585C" w:rsidP="00F5585C">
      <w:pPr>
        <w:pStyle w:val="APAList-Bullets"/>
        <w:numPr>
          <w:ilvl w:val="0"/>
          <w:numId w:val="0"/>
        </w:numPr>
        <w:ind w:left="720"/>
        <w:rPr>
          <w:rFonts w:asciiTheme="majorBidi" w:hAnsiTheme="majorBidi" w:cstheme="majorBidi"/>
        </w:rPr>
      </w:pPr>
    </w:p>
    <w:p w14:paraId="53043739" w14:textId="5D932FE5" w:rsidR="00F5585C" w:rsidRPr="00784560" w:rsidRDefault="00F5585C" w:rsidP="007F7541">
      <w:pPr>
        <w:pStyle w:val="APAList-Bullets"/>
        <w:numPr>
          <w:ilvl w:val="0"/>
          <w:numId w:val="0"/>
        </w:numPr>
        <w:jc w:val="both"/>
        <w:rPr>
          <w:rFonts w:asciiTheme="majorBidi" w:hAnsiTheme="majorBidi" w:cstheme="majorBidi"/>
        </w:rPr>
      </w:pPr>
      <w:r w:rsidRPr="007F7541">
        <w:rPr>
          <w:rFonts w:asciiTheme="majorBidi" w:hAnsiTheme="majorBidi" w:cstheme="majorBidi"/>
          <w:u w:val="single"/>
        </w:rPr>
        <w:t>Motor Activity Log (MAL)</w:t>
      </w:r>
      <w:r w:rsidRPr="00784560">
        <w:rPr>
          <w:rFonts w:asciiTheme="majorBidi" w:hAnsiTheme="majorBidi" w:cstheme="majorBidi"/>
        </w:rPr>
        <w:t xml:space="preserve"> </w:t>
      </w:r>
      <w:r w:rsidR="007F7541">
        <w:rPr>
          <w:rFonts w:asciiTheme="majorBidi" w:hAnsiTheme="majorBidi" w:cstheme="majorBidi"/>
        </w:rPr>
        <w:fldChar w:fldCharType="begin">
          <w:fldData xml:space="preserve">PEVuZE5vdGU+PENpdGU+PEF1dGhvcj5EdW5jYW48L0F1dGhvcj48WWVhcj4yMDAzPC9ZZWFyPjxS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</w:fldData>
        </w:fldChar>
      </w:r>
      <w:r w:rsidR="007F7541">
        <w:rPr>
          <w:rFonts w:asciiTheme="majorBidi" w:hAnsiTheme="majorBidi" w:cstheme="majorBidi"/>
        </w:rPr>
        <w:instrText xml:space="preserve"> ADDIN EN.CITE </w:instrText>
      </w:r>
      <w:r w:rsidR="007F7541">
        <w:rPr>
          <w:rFonts w:asciiTheme="majorBidi" w:hAnsiTheme="majorBidi" w:cstheme="majorBidi"/>
        </w:rPr>
        <w:fldChar w:fldCharType="begin">
          <w:fldData xml:space="preserve">PEVuZE5vdGU+PENpdGU+PEF1dGhvcj5EdW5jYW48L0F1dGhvcj48WWVhcj4yMDAzPC9ZZWFyPjxS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</w:fldData>
        </w:fldChar>
      </w:r>
      <w:r w:rsidR="007F7541">
        <w:rPr>
          <w:rFonts w:asciiTheme="majorBidi" w:hAnsiTheme="majorBidi" w:cstheme="majorBidi"/>
        </w:rPr>
        <w:instrText xml:space="preserve"> ADDIN EN.CITE.DATA </w:instrText>
      </w:r>
      <w:r w:rsidR="007F7541">
        <w:rPr>
          <w:rFonts w:asciiTheme="majorBidi" w:hAnsiTheme="majorBidi" w:cstheme="majorBidi"/>
        </w:rPr>
      </w:r>
      <w:r w:rsidR="007F7541">
        <w:rPr>
          <w:rFonts w:asciiTheme="majorBidi" w:hAnsiTheme="majorBidi" w:cstheme="majorBidi"/>
        </w:rPr>
        <w:fldChar w:fldCharType="end"/>
      </w:r>
      <w:r w:rsidR="007F7541">
        <w:rPr>
          <w:rFonts w:asciiTheme="majorBidi" w:hAnsiTheme="majorBidi" w:cstheme="majorBidi"/>
        </w:rPr>
      </w:r>
      <w:r w:rsidR="007F7541">
        <w:rPr>
          <w:rFonts w:asciiTheme="majorBidi" w:hAnsiTheme="majorBidi" w:cstheme="majorBidi"/>
        </w:rPr>
        <w:fldChar w:fldCharType="separate"/>
      </w:r>
      <w:r w:rsidR="007F7541">
        <w:rPr>
          <w:rFonts w:asciiTheme="majorBidi" w:hAnsiTheme="majorBidi" w:cstheme="majorBidi"/>
          <w:noProof/>
        </w:rPr>
        <w:t>(Duncan et al., 2003)</w:t>
      </w:r>
      <w:r w:rsidR="007F7541">
        <w:rPr>
          <w:rFonts w:asciiTheme="majorBidi" w:hAnsiTheme="majorBidi" w:cstheme="majorBidi"/>
        </w:rPr>
        <w:fldChar w:fldCharType="end"/>
      </w:r>
    </w:p>
    <w:tbl>
      <w:tblPr>
        <w:tblStyle w:val="TableGrid"/>
        <w:tblW w:w="0" w:type="auto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8"/>
        <w:gridCol w:w="5772"/>
      </w:tblGrid>
      <w:tr w:rsidR="00F5585C" w:rsidRPr="003B498D" w14:paraId="1F3E5C51" w14:textId="77777777" w:rsidTr="005B308C">
        <w:tc>
          <w:tcPr>
            <w:tcW w:w="2708" w:type="dxa"/>
          </w:tcPr>
          <w:p w14:paraId="63C76769" w14:textId="77777777" w:rsidR="00F5585C" w:rsidRPr="00784560" w:rsidRDefault="00F5585C" w:rsidP="005B308C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Use: </w:t>
            </w:r>
          </w:p>
        </w:tc>
        <w:tc>
          <w:tcPr>
            <w:tcW w:w="5772" w:type="dxa"/>
          </w:tcPr>
          <w:p w14:paraId="73D721F3" w14:textId="19C18D06" w:rsidR="00F5585C" w:rsidRPr="00784560" w:rsidRDefault="00F5585C" w:rsidP="005B308C">
            <w:pPr>
              <w:pStyle w:val="ListParagraph"/>
              <w:spacing w:line="480" w:lineRule="auto"/>
              <w:ind w:left="72"/>
              <w:contextualSpacing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Evaluates Quality of Movement (Q</w:t>
            </w:r>
            <w:r w:rsidR="007F754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</w:t>
            </w:r>
            <w:r w:rsidRPr="0078456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M) and Amount of Use (A</w:t>
            </w:r>
            <w:r w:rsidR="007F754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</w:t>
            </w:r>
            <w:r w:rsidRPr="0078456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U)</w:t>
            </w:r>
            <w:r w:rsidR="007F754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. </w:t>
            </w:r>
            <w:r w:rsidRPr="0078456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en-AU" w:eastAsia="en-AU"/>
              </w:rPr>
              <w:t xml:space="preserve">In this study MAL 30 </w:t>
            </w:r>
            <w:r w:rsidR="007F7541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en-AU" w:eastAsia="en-AU"/>
              </w:rPr>
              <w:t xml:space="preserve">with 30 functional tasks </w:t>
            </w:r>
            <w:r w:rsidRPr="0078456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en-AU" w:eastAsia="en-AU"/>
              </w:rPr>
              <w:t>was used.</w:t>
            </w:r>
          </w:p>
        </w:tc>
      </w:tr>
      <w:tr w:rsidR="00F5585C" w:rsidRPr="003B498D" w14:paraId="32C07E93" w14:textId="77777777" w:rsidTr="005B308C">
        <w:tc>
          <w:tcPr>
            <w:tcW w:w="2708" w:type="dxa"/>
          </w:tcPr>
          <w:p w14:paraId="36685EC7" w14:textId="77777777" w:rsidR="00F5585C" w:rsidRPr="00784560" w:rsidRDefault="00F5585C" w:rsidP="005B308C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Instrument:</w:t>
            </w:r>
          </w:p>
        </w:tc>
        <w:tc>
          <w:tcPr>
            <w:tcW w:w="5772" w:type="dxa"/>
          </w:tcPr>
          <w:p w14:paraId="5D08B97B" w14:textId="23ED1D46" w:rsidR="00F5585C" w:rsidRPr="00784560" w:rsidRDefault="00F5585C" w:rsidP="005B308C">
            <w:pPr>
              <w:pStyle w:val="ListParagraph"/>
              <w:spacing w:line="480" w:lineRule="auto"/>
              <w:ind w:left="72"/>
              <w:contextualSpacing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Paper based test with 30 daily functional tasks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</w:t>
            </w:r>
            <w:r w:rsidRPr="0078456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5585C" w:rsidRPr="003B498D" w14:paraId="219EC20F" w14:textId="77777777" w:rsidTr="005B308C">
        <w:tc>
          <w:tcPr>
            <w:tcW w:w="2708" w:type="dxa"/>
          </w:tcPr>
          <w:p w14:paraId="1DC48D8B" w14:textId="77777777" w:rsidR="00F5585C" w:rsidRPr="00784560" w:rsidRDefault="00F5585C" w:rsidP="005B308C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Areas of assessment:</w:t>
            </w:r>
          </w:p>
        </w:tc>
        <w:tc>
          <w:tcPr>
            <w:tcW w:w="5772" w:type="dxa"/>
          </w:tcPr>
          <w:p w14:paraId="1876D38F" w14:textId="1DECE3D5" w:rsidR="00F5585C" w:rsidRPr="00784560" w:rsidRDefault="00F5585C" w:rsidP="005B308C">
            <w:pPr>
              <w:spacing w:line="480" w:lineRule="auto"/>
              <w:ind w:left="72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Amount of Use (AOU) and Quality of Movement (QOM) scale</w:t>
            </w:r>
            <w:r>
              <w:rPr>
                <w:rFonts w:asciiTheme="majorBidi" w:hAnsiTheme="majorBidi" w:cstheme="majorBidi"/>
                <w:color w:val="000000" w:themeColor="text1"/>
              </w:rPr>
              <w:t>s</w:t>
            </w:r>
            <w:r w:rsidR="007F7541">
              <w:rPr>
                <w:rFonts w:asciiTheme="majorBidi" w:hAnsiTheme="majorBidi" w:cstheme="majorBidi"/>
                <w:color w:val="000000" w:themeColor="text1"/>
              </w:rPr>
              <w:t xml:space="preserve"> on the 30 daily functional tasks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28BE8C7A" w14:textId="77777777" w:rsidTr="005B308C">
        <w:tc>
          <w:tcPr>
            <w:tcW w:w="2708" w:type="dxa"/>
          </w:tcPr>
          <w:p w14:paraId="5C600560" w14:textId="77777777" w:rsidR="00F5585C" w:rsidRPr="00784560" w:rsidRDefault="00F5585C" w:rsidP="005B308C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Administration time:</w:t>
            </w:r>
          </w:p>
        </w:tc>
        <w:tc>
          <w:tcPr>
            <w:tcW w:w="5772" w:type="dxa"/>
          </w:tcPr>
          <w:p w14:paraId="6ABB2670" w14:textId="77777777" w:rsidR="00F5585C" w:rsidRPr="00784560" w:rsidRDefault="00F5585C" w:rsidP="005B308C">
            <w:pPr>
              <w:spacing w:line="480" w:lineRule="auto"/>
              <w:ind w:left="72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Approximately 20 minutes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300EC217" w14:textId="77777777" w:rsidTr="005B308C">
        <w:tc>
          <w:tcPr>
            <w:tcW w:w="2708" w:type="dxa"/>
          </w:tcPr>
          <w:p w14:paraId="311FEC7A" w14:textId="77777777" w:rsidR="00F5585C" w:rsidRPr="00784560" w:rsidRDefault="00F5585C" w:rsidP="005B308C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Scoring:</w:t>
            </w:r>
          </w:p>
        </w:tc>
        <w:tc>
          <w:tcPr>
            <w:tcW w:w="5772" w:type="dxa"/>
          </w:tcPr>
          <w:p w14:paraId="30BFDB17" w14:textId="77777777" w:rsidR="00F5585C" w:rsidRPr="00784560" w:rsidRDefault="00F5585C" w:rsidP="005B308C">
            <w:pPr>
              <w:spacing w:line="480" w:lineRule="auto"/>
              <w:ind w:left="72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Semi structured interview scale ranges from 0 (never used) to 5 (same as pre-stroke)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  <w:p w14:paraId="4B44C1DE" w14:textId="77777777" w:rsidR="00F5585C" w:rsidRPr="00784560" w:rsidRDefault="00F5585C" w:rsidP="005B308C">
            <w:pPr>
              <w:spacing w:line="480" w:lineRule="auto"/>
              <w:ind w:left="72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0 = low amount of use and low quality of movement</w:t>
            </w:r>
          </w:p>
          <w:p w14:paraId="27CE4A8D" w14:textId="77777777" w:rsidR="00F5585C" w:rsidRPr="00784560" w:rsidRDefault="00F5585C" w:rsidP="005B308C">
            <w:pPr>
              <w:spacing w:line="480" w:lineRule="auto"/>
              <w:ind w:left="72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300 = Highest AOU and QOM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B84F55" w:rsidRPr="003B498D" w14:paraId="20DBE278" w14:textId="77777777" w:rsidTr="005B308C">
        <w:tc>
          <w:tcPr>
            <w:tcW w:w="2708" w:type="dxa"/>
          </w:tcPr>
          <w:p w14:paraId="24CFB038" w14:textId="6B7D48E6" w:rsidR="00B84F55" w:rsidRPr="00784560" w:rsidRDefault="00B84F55" w:rsidP="00B84F55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lastRenderedPageBreak/>
              <w:t>Test</w:t>
            </w:r>
            <w:r>
              <w:rPr>
                <w:rFonts w:asciiTheme="majorBidi" w:hAnsiTheme="majorBidi" w:cstheme="majorBidi"/>
                <w:color w:val="000000" w:themeColor="text1"/>
              </w:rPr>
              <w:t>-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retest reliability: </w:t>
            </w:r>
          </w:p>
        </w:tc>
        <w:tc>
          <w:tcPr>
            <w:tcW w:w="5772" w:type="dxa"/>
          </w:tcPr>
          <w:p w14:paraId="4EA81289" w14:textId="107FEA20" w:rsidR="00B84F55" w:rsidRPr="00784560" w:rsidRDefault="00B84F55" w:rsidP="00B84F55">
            <w:pPr>
              <w:spacing w:line="480" w:lineRule="auto"/>
              <w:ind w:left="72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Excellent</w:t>
            </w:r>
            <w:r w:rsidR="00473207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for </w:t>
            </w:r>
            <w:r>
              <w:rPr>
                <w:rFonts w:asciiTheme="majorBidi" w:hAnsiTheme="majorBidi" w:cstheme="majorBidi"/>
                <w:color w:val="000000" w:themeColor="text1"/>
              </w:rPr>
              <w:t>both AOU and QOM</w:t>
            </w:r>
            <w:r w:rsidR="00473207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ICC = </w:t>
            </w:r>
            <w:r w:rsidRPr="007F7541">
              <w:rPr>
                <w:rFonts w:asciiTheme="majorBidi" w:hAnsiTheme="majorBidi" w:cstheme="majorBidi"/>
                <w:color w:val="000000" w:themeColor="text1"/>
              </w:rPr>
              <w:t>.99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&lt;EndNote&gt;&lt;Cite&gt;&lt;Author&gt;Pereira&lt;/Author&gt;&lt;Year&gt;2012&lt;/Year&gt;&lt;RecNum&gt;2689&lt;/RecNum&gt;&lt;DisplayText&gt;(Pereira et al., 2012)&lt;/DisplayText&gt;&lt;record&gt;&lt;rec-number&gt;2689&lt;/rec-number&gt;&lt;foreign-keys&gt;&lt;key app="EN" db-id="e2zedv2xyptd08efe0659tebe92rrrfezxre" timestamp="1646980729"&gt;2689&lt;/key&gt;&lt;/foreign-keys&gt;&lt;ref-type name="Journal Article"&gt;17&lt;/ref-type&gt;&lt;contributors&gt;&lt;authors&gt;&lt;author&gt;Pereira, N. D.&lt;/author&gt;&lt;author&gt;Ovando, A. C.&lt;/author&gt;&lt;author&gt;Michaelsen, S. M.&lt;/author&gt;&lt;author&gt;Anjos, S. M.&lt;/author&gt;&lt;author&gt;Lima, R. C.&lt;/author&gt;&lt;author&gt;Nascimento, L. R.&lt;/author&gt;&lt;author&gt;Teixeira-Salmela, L. F.&lt;/author&gt;&lt;/authors&gt;&lt;/contributors&gt;&lt;auth-address&gt;Universidade do Estado de Santa Catarina, Florianópolis SC, Brazil. nat_duarte@yahoo.com.br&lt;/auth-address&gt;&lt;titles&gt;&lt;title&gt;Motor Activity Log-Brazil: reliability and relationships with motor impairments in individuals with chronic stroke&lt;/title&gt;&lt;secondary-title&gt;Arq Neuropsiquiatr&lt;/secondary-title&gt;&lt;/titles&gt;&lt;periodical&gt;&lt;full-title&gt;Arq Neuropsiquiatr&lt;/full-title&gt;&lt;/periodical&gt;&lt;pages&gt;196-201&lt;/pages&gt;&lt;volume&gt;70&lt;/volume&gt;&lt;number&gt;3&lt;/number&gt;&lt;edition&gt;2012/03/07&lt;/edition&gt;&lt;keywords&gt;&lt;keyword&gt;*Activities of Daily Living&lt;/keyword&gt;&lt;keyword&gt;Chronic Disease&lt;/keyword&gt;&lt;keyword&gt;*Disability Evaluation&lt;/keyword&gt;&lt;keyword&gt;Female&lt;/keyword&gt;&lt;keyword&gt;Hemiplegia/*etiology&lt;/keyword&gt;&lt;keyword&gt;Humans&lt;/keyword&gt;&lt;keyword&gt;Male&lt;/keyword&gt;&lt;keyword&gt;Middle Aged&lt;/keyword&gt;&lt;keyword&gt;Observer Variation&lt;/keyword&gt;&lt;keyword&gt;Reproducibility of Results&lt;/keyword&gt;&lt;keyword&gt;Stroke/*complications&lt;/keyword&gt;&lt;keyword&gt;Surveys and Questionnaires&lt;/keyword&gt;&lt;keyword&gt;Translating&lt;/keyword&gt;&lt;/keywords&gt;&lt;dates&gt;&lt;year&gt;2012&lt;/year&gt;&lt;pub-dates&gt;&lt;date&gt;Mar&lt;/date&gt;&lt;/pub-dates&gt;&lt;/dates&gt;&lt;isbn&gt;0004-282x&lt;/isbn&gt;&lt;accession-num&gt;22392112&lt;/accession-num&gt;&lt;urls&gt;&lt;/urls&gt;&lt;electronic-resource-num&gt;10.1590/s0004-282x2012000300008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(Pereira et al., 2012)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B84F55" w:rsidRPr="003B498D" w14:paraId="0947C1D8" w14:textId="77777777" w:rsidTr="005B308C">
        <w:tc>
          <w:tcPr>
            <w:tcW w:w="2708" w:type="dxa"/>
          </w:tcPr>
          <w:p w14:paraId="39C07CE9" w14:textId="4D7506F6" w:rsidR="00B84F55" w:rsidRPr="00784560" w:rsidRDefault="00B84F55" w:rsidP="00B84F55">
            <w:pPr>
              <w:spacing w:line="480" w:lineRule="auto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Validity</w:t>
            </w:r>
          </w:p>
        </w:tc>
        <w:tc>
          <w:tcPr>
            <w:tcW w:w="5772" w:type="dxa"/>
          </w:tcPr>
          <w:p w14:paraId="2884CA0B" w14:textId="1D98FBFD" w:rsidR="00B84F55" w:rsidRPr="00784560" w:rsidRDefault="00B84F55" w:rsidP="00B84F55">
            <w:pPr>
              <w:spacing w:line="480" w:lineRule="auto"/>
              <w:ind w:left="72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F</w:t>
            </w:r>
            <w:r w:rsidRPr="007F7541">
              <w:rPr>
                <w:rFonts w:asciiTheme="majorBidi" w:hAnsiTheme="majorBidi" w:cstheme="majorBidi"/>
                <w:color w:val="000000" w:themeColor="text1"/>
              </w:rPr>
              <w:t>air to moderate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construct validity with the </w:t>
            </w:r>
            <w:r w:rsidRPr="007F7541">
              <w:rPr>
                <w:rFonts w:asciiTheme="majorBidi" w:hAnsiTheme="majorBidi" w:cstheme="majorBidi"/>
                <w:color w:val="000000" w:themeColor="text1"/>
              </w:rPr>
              <w:t>16-hole peg test (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r = </w:t>
            </w:r>
            <w:r w:rsidRPr="007F7541">
              <w:rPr>
                <w:rFonts w:asciiTheme="majorBidi" w:hAnsiTheme="majorBidi" w:cstheme="majorBidi"/>
                <w:color w:val="000000" w:themeColor="text1"/>
              </w:rPr>
              <w:t>−.64 to −.67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) 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&lt;EndNote&gt;&lt;Cite&gt;&lt;Author&gt;Hammer&lt;/Author&gt;&lt;Year&gt;2010&lt;/Year&gt;&lt;RecNum&gt;2688&lt;/RecNum&gt;&lt;DisplayText&gt;(Hammer &amp;amp; Lindmark, 2010)&lt;/DisplayText&gt;&lt;record&gt;&lt;rec-number&gt;2688&lt;/rec-number&gt;&lt;foreign-keys&gt;&lt;key app="EN" db-id="e2zedv2xyptd08efe0659tebe92rrrfezxre" timestamp="1646980587"&gt;2688&lt;/key&gt;&lt;/foreign-keys&gt;&lt;ref-type name="Journal Article"&gt;17&lt;/ref-type&gt;&lt;contributors&gt;&lt;authors&gt;&lt;author&gt;Hammer, Ann M.&lt;/author&gt;&lt;author&gt;Lindmark, Birgitta&lt;/author&gt;&lt;/authors&gt;&lt;/contributors&gt;&lt;titles&gt;&lt;title&gt;Responsiveness and validity of the Motor Activity Log in patients during the subacute phase after stroke&lt;/title&gt;&lt;secondary-title&gt;Disability and Rehabilitation&lt;/secondary-title&gt;&lt;/titles&gt;&lt;periodical&gt;&lt;full-title&gt;Disability And Rehabilitation&lt;/full-title&gt;&lt;/periodical&gt;&lt;pages&gt;1184-1193&lt;/pages&gt;&lt;volume&gt;32&lt;/volume&gt;&lt;number&gt;14&lt;/number&gt;&lt;dates&gt;&lt;year&gt;2010&lt;/year&gt;&lt;pub-dates&gt;&lt;date&gt;2010/01/01&lt;/date&gt;&lt;/pub-dates&gt;&lt;/dates&gt;&lt;publisher&gt;Taylor &amp;amp; Francis&lt;/publisher&gt;&lt;isbn&gt;0963-8288&lt;/isbn&gt;&lt;urls&gt;&lt;related-urls&gt;&lt;url&gt;https://doi.org/10.3109/09638280903437253&lt;/url&gt;&lt;/related-urls&gt;&lt;/urls&gt;&lt;electronic-resource-num&gt;10.3109/09638280903437253&lt;/electronic-resource-num&gt;&lt;/record&gt;&lt;/Cite&gt;&lt;/EndNote&gt;</w:instrTex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(Hammer &amp; Lindmark, 2010)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</w:tr>
    </w:tbl>
    <w:p w14:paraId="4138AF0B" w14:textId="77777777" w:rsidR="00F5585C" w:rsidRPr="00784560" w:rsidRDefault="00F5585C" w:rsidP="00F5585C">
      <w:pPr>
        <w:pStyle w:val="APAList-Bullets"/>
        <w:numPr>
          <w:ilvl w:val="0"/>
          <w:numId w:val="0"/>
        </w:numPr>
        <w:rPr>
          <w:rFonts w:asciiTheme="majorBidi" w:hAnsiTheme="majorBidi" w:cstheme="majorBidi"/>
        </w:rPr>
      </w:pPr>
    </w:p>
    <w:p w14:paraId="36A005CC" w14:textId="35499FD6" w:rsidR="00F5585C" w:rsidRPr="00784560" w:rsidRDefault="00F5585C" w:rsidP="00C2297C">
      <w:pPr>
        <w:pStyle w:val="APAList-Bullets"/>
        <w:numPr>
          <w:ilvl w:val="0"/>
          <w:numId w:val="0"/>
        </w:numPr>
        <w:ind w:left="720" w:hanging="360"/>
        <w:jc w:val="both"/>
        <w:rPr>
          <w:rFonts w:asciiTheme="majorBidi" w:hAnsiTheme="majorBidi" w:cstheme="majorBidi"/>
        </w:rPr>
      </w:pPr>
      <w:r w:rsidRPr="00C2297C">
        <w:rPr>
          <w:rFonts w:asciiTheme="majorBidi" w:hAnsiTheme="majorBidi" w:cstheme="majorBidi"/>
          <w:u w:val="single"/>
        </w:rPr>
        <w:t>Lawton Instrumental Activities of Daily Living Scale (IADL)</w:t>
      </w:r>
      <w:r w:rsidRPr="00784560">
        <w:rPr>
          <w:rFonts w:asciiTheme="majorBidi" w:hAnsiTheme="majorBidi" w:cstheme="majorBidi"/>
        </w:rPr>
        <w:t xml:space="preserve"> </w:t>
      </w:r>
      <w:r w:rsidR="00C2297C">
        <w:rPr>
          <w:rFonts w:asciiTheme="majorBidi" w:hAnsiTheme="majorBidi" w:cstheme="majorBidi"/>
        </w:rPr>
        <w:fldChar w:fldCharType="begin"/>
      </w:r>
      <w:r w:rsidR="00C2297C">
        <w:rPr>
          <w:rFonts w:asciiTheme="majorBidi" w:hAnsiTheme="majorBidi" w:cstheme="majorBidi"/>
        </w:rPr>
        <w:instrText xml:space="preserve"> ADDIN EN.CITE &lt;EndNote&gt;&lt;Cite&gt;&lt;Author&gt;Lawton&lt;/Author&gt;&lt;Year&gt;1969&lt;/Year&gt;&lt;RecNum&gt;2604&lt;/RecNum&gt;&lt;DisplayText&gt;(Lawton &amp;amp; Brody, 1969)&lt;/DisplayText&gt;&lt;record&gt;&lt;rec-number&gt;2604&lt;/rec-number&gt;&lt;foreign-keys&gt;&lt;key app="EN" db-id="e2zedv2xyptd08efe0659tebe92rrrfezxre" timestamp="1529371988"&gt;2604&lt;/key&gt;&lt;/foreign-keys&gt;&lt;ref-type name="Journal Article"&gt;17&lt;/ref-type&gt;&lt;contributors&gt;&lt;authors&gt;&lt;author&gt;Lawton, M Powell&lt;/author&gt;&lt;author&gt;Brody, Elaine M&lt;/author&gt;&lt;/authors&gt;&lt;/contributors&gt;&lt;titles&gt;&lt;title&gt;Assessment of older people: self-maintaining and instrumental activities of daily living&lt;/title&gt;&lt;secondary-title&gt;The gerontologist&lt;/secondary-title&gt;&lt;/titles&gt;&lt;periodical&gt;&lt;full-title&gt;The gerontologist&lt;/full-title&gt;&lt;/periodical&gt;&lt;pages&gt;179-186&lt;/pages&gt;&lt;volume&gt;9&lt;/volume&gt;&lt;number&gt;3_Part_1&lt;/number&gt;&lt;dates&gt;&lt;year&gt;1969&lt;/year&gt;&lt;/dates&gt;&lt;isbn&gt;1758-5341&lt;/isbn&gt;&lt;urls&gt;&lt;/urls&gt;&lt;/record&gt;&lt;/Cite&gt;&lt;/EndNote&gt;</w:instrText>
      </w:r>
      <w:r w:rsidR="00C2297C">
        <w:rPr>
          <w:rFonts w:asciiTheme="majorBidi" w:hAnsiTheme="majorBidi" w:cstheme="majorBidi"/>
        </w:rPr>
        <w:fldChar w:fldCharType="separate"/>
      </w:r>
      <w:r w:rsidR="00C2297C">
        <w:rPr>
          <w:rFonts w:asciiTheme="majorBidi" w:hAnsiTheme="majorBidi" w:cstheme="majorBidi"/>
          <w:noProof/>
        </w:rPr>
        <w:t>(Lawton &amp; Brody, 1969)</w:t>
      </w:r>
      <w:r w:rsidR="00C2297C">
        <w:rPr>
          <w:rFonts w:asciiTheme="majorBidi" w:hAnsiTheme="majorBidi" w:cstheme="majorBidi"/>
        </w:rPr>
        <w:fldChar w:fldCharType="end"/>
      </w:r>
    </w:p>
    <w:tbl>
      <w:tblPr>
        <w:tblStyle w:val="TableGrid"/>
        <w:tblW w:w="0" w:type="auto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8"/>
        <w:gridCol w:w="5692"/>
      </w:tblGrid>
      <w:tr w:rsidR="00F5585C" w:rsidRPr="003B498D" w14:paraId="46884680" w14:textId="77777777" w:rsidTr="005B308C">
        <w:tc>
          <w:tcPr>
            <w:tcW w:w="2788" w:type="dxa"/>
          </w:tcPr>
          <w:p w14:paraId="340B43EB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Use: </w:t>
            </w:r>
          </w:p>
        </w:tc>
        <w:tc>
          <w:tcPr>
            <w:tcW w:w="5692" w:type="dxa"/>
          </w:tcPr>
          <w:p w14:paraId="2F395BEC" w14:textId="77777777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Evaluates instrumental activities of daily living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39D62445" w14:textId="77777777" w:rsidTr="005B308C">
        <w:tc>
          <w:tcPr>
            <w:tcW w:w="2788" w:type="dxa"/>
          </w:tcPr>
          <w:p w14:paraId="75056733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Instrument:</w:t>
            </w:r>
          </w:p>
        </w:tc>
        <w:tc>
          <w:tcPr>
            <w:tcW w:w="5692" w:type="dxa"/>
          </w:tcPr>
          <w:p w14:paraId="6B551366" w14:textId="44E9AE22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Paper based test consists of eight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>tasks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</w:tc>
      </w:tr>
      <w:tr w:rsidR="00F5585C" w:rsidRPr="003B498D" w14:paraId="0A0A0657" w14:textId="77777777" w:rsidTr="005B308C">
        <w:tc>
          <w:tcPr>
            <w:tcW w:w="2788" w:type="dxa"/>
          </w:tcPr>
          <w:p w14:paraId="673A3A6A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Areas of assessment:</w:t>
            </w:r>
          </w:p>
        </w:tc>
        <w:tc>
          <w:tcPr>
            <w:tcW w:w="5692" w:type="dxa"/>
          </w:tcPr>
          <w:p w14:paraId="3FDFDC0F" w14:textId="77777777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1) telephone use; 2) shopping; 3) food preparation; 4) housekeeping; 5) laundry; 6) transportation; 7) medical</w:t>
            </w:r>
            <w:r w:rsidRPr="00784560">
              <w:rPr>
                <w:rFonts w:asciiTheme="majorBidi" w:hAnsiTheme="majorBidi" w:cstheme="majorBidi"/>
              </w:rPr>
              <w:t xml:space="preserve"> 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>management; and 8) financial management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6E81FB00" w14:textId="77777777" w:rsidTr="005B308C">
        <w:tc>
          <w:tcPr>
            <w:tcW w:w="2788" w:type="dxa"/>
          </w:tcPr>
          <w:p w14:paraId="2C839247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Administration time:</w:t>
            </w:r>
          </w:p>
        </w:tc>
        <w:tc>
          <w:tcPr>
            <w:tcW w:w="5692" w:type="dxa"/>
          </w:tcPr>
          <w:p w14:paraId="4E8F677D" w14:textId="77777777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10 – 15 minutes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436EE4CE" w14:textId="77777777" w:rsidTr="005B308C">
        <w:tc>
          <w:tcPr>
            <w:tcW w:w="2788" w:type="dxa"/>
          </w:tcPr>
          <w:p w14:paraId="0B8731FA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Scoring:</w:t>
            </w:r>
          </w:p>
        </w:tc>
        <w:tc>
          <w:tcPr>
            <w:tcW w:w="5692" w:type="dxa"/>
          </w:tcPr>
          <w:p w14:paraId="7E955F1D" w14:textId="73406E44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Scale of 0 – 1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 xml:space="preserve">in each item. Total score of 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0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>indicating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 xml:space="preserve">dependent in the eight tasks, 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8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>indicating independent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B84F55" w:rsidRPr="003B498D" w14:paraId="247C8881" w14:textId="77777777" w:rsidTr="005B308C">
        <w:tc>
          <w:tcPr>
            <w:tcW w:w="2788" w:type="dxa"/>
          </w:tcPr>
          <w:p w14:paraId="7E1C4034" w14:textId="04B47A61" w:rsidR="00B84F55" w:rsidRPr="00784560" w:rsidRDefault="00B84F55" w:rsidP="00B84F55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Test</w:t>
            </w:r>
            <w:r>
              <w:rPr>
                <w:rFonts w:asciiTheme="majorBidi" w:hAnsiTheme="majorBidi" w:cstheme="majorBidi"/>
                <w:color w:val="000000" w:themeColor="text1"/>
              </w:rPr>
              <w:t>-</w:t>
            </w: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retest reliability: </w:t>
            </w:r>
          </w:p>
        </w:tc>
        <w:tc>
          <w:tcPr>
            <w:tcW w:w="5692" w:type="dxa"/>
          </w:tcPr>
          <w:p w14:paraId="1CD7F91D" w14:textId="64582CF7" w:rsidR="00B84F55" w:rsidRPr="00784560" w:rsidRDefault="00473207" w:rsidP="00B84F55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 xml:space="preserve">Excellent,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>ICC</w:t>
            </w:r>
            <w:r w:rsidR="00B84F55" w:rsidRPr="00784560">
              <w:rPr>
                <w:rFonts w:asciiTheme="majorBidi" w:hAnsiTheme="majorBidi" w:cstheme="majorBidi"/>
                <w:color w:val="000000" w:themeColor="text1"/>
              </w:rPr>
              <w:t xml:space="preserve"> = .99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&lt;EndNote&gt;&lt;Cite&gt;&lt;Author&gt;Tong&lt;/Author&gt;&lt;Year&gt;2002&lt;/Year&gt;&lt;RecNum&gt;2691&lt;/RecNum&gt;&lt;DisplayText&gt;(Tong &amp;amp; Man, 2002)&lt;/DisplayText&gt;&lt;record&gt;&lt;rec-number&gt;2691&lt;/rec-number&gt;&lt;foreign-keys&gt;&lt;key app="EN" db-id="e2zedv2xyptd08efe0659tebe92rrrfezxre" timestamp="1646981026"&gt;2691&lt;/key&gt;&lt;/foreign-keys&gt;&lt;ref-type name="Journal Article"&gt;17&lt;/ref-type&gt;&lt;contributors&gt;&lt;authors&gt;&lt;author&gt;Tong, Angela Y. C.&lt;/author&gt;&lt;author&gt;Man, David W. K.&lt;/author&gt;&lt;/authors&gt;&lt;/contributors&gt;&lt;titles&gt;&lt;title&gt;The Validation of the Hong Kong Chinese Version of the Lawton Instrumental Activities of Daily Living Scale for Institutionalized Elderly Persons&lt;/title&gt;&lt;secondary-title&gt;OTJR: Occupation, Participation and Health&lt;/secondary-title&gt;&lt;/titles&gt;&lt;periodical&gt;&lt;full-title&gt;OTJR: Occupation, Participation and Health&lt;/full-title&gt;&lt;/periodical&gt;&lt;pages&gt;132-142&lt;/pages&gt;&lt;volume&gt;22&lt;/volume&gt;&lt;number&gt;4&lt;/number&gt;&lt;dates&gt;&lt;year&gt;2002&lt;/year&gt;&lt;pub-dates&gt;&lt;date&gt;2002/10/01&lt;/date&gt;&lt;/pub-dates&gt;&lt;/dates&gt;&lt;publisher&gt;SAGE Publications Inc&lt;/publisher&gt;&lt;isbn&gt;1539-4492&lt;/isbn&gt;&lt;urls&gt;&lt;related-urls&gt;&lt;url&gt;https://doi.org/10.1177/153944920202200402&lt;/url&gt;&lt;/related-urls&gt;&lt;/urls&gt;&lt;electronic-resource-num&gt;10.1177/153944920202200402&lt;/electronic-resource-num&gt;&lt;access-date&gt;2022/03/10&lt;/access-date&gt;&lt;/record&gt;&lt;/Cite&gt;&lt;/EndNote&gt;</w:instrTex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B84F55">
              <w:rPr>
                <w:rFonts w:asciiTheme="majorBidi" w:hAnsiTheme="majorBidi" w:cstheme="majorBidi"/>
                <w:noProof/>
                <w:color w:val="000000" w:themeColor="text1"/>
              </w:rPr>
              <w:t>(Tong &amp; Man, 2002)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B84F55" w:rsidRPr="003B498D" w14:paraId="4E59BB6D" w14:textId="77777777" w:rsidTr="005B308C">
        <w:tc>
          <w:tcPr>
            <w:tcW w:w="2788" w:type="dxa"/>
          </w:tcPr>
          <w:p w14:paraId="14AE6CF0" w14:textId="5C16ACB4" w:rsidR="00B84F55" w:rsidRPr="00784560" w:rsidRDefault="00B84F55" w:rsidP="00B84F55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Validity</w:t>
            </w:r>
          </w:p>
        </w:tc>
        <w:tc>
          <w:tcPr>
            <w:tcW w:w="5692" w:type="dxa"/>
          </w:tcPr>
          <w:p w14:paraId="0295F80D" w14:textId="69E4F288" w:rsidR="00B84F55" w:rsidRPr="00784560" w:rsidRDefault="00473207" w:rsidP="00B84F55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Good c</w:t>
            </w:r>
            <w:r w:rsidR="00B84F55" w:rsidRPr="00C2297C">
              <w:rPr>
                <w:rFonts w:asciiTheme="majorBidi" w:hAnsiTheme="majorBidi" w:cstheme="majorBidi"/>
                <w:color w:val="000000" w:themeColor="text1"/>
              </w:rPr>
              <w:t>onstruct validity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 xml:space="preserve"> – demonstrated a one-factor structure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&lt;EndNote&gt;&lt;Cite&gt;&lt;Author&gt;Tong&lt;/Author&gt;&lt;Year&gt;2002&lt;/Year&gt;&lt;RecNum&gt;2691&lt;/RecNum&gt;&lt;DisplayText&gt;(Tong &amp;amp; Man, 2002)&lt;/DisplayText&gt;&lt;record&gt;&lt;rec-number&gt;2691&lt;/rec-number&gt;&lt;foreign-keys&gt;&lt;key app="EN" db-id="e2zedv2xyptd08efe0659tebe92rrrfezxre" timestamp="1646981026"&gt;2691&lt;/key&gt;&lt;/foreign-keys&gt;&lt;ref-type name="Journal Article"&gt;17&lt;/ref-type&gt;&lt;contributors&gt;&lt;authors&gt;&lt;author&gt;Tong, Angela Y. C.&lt;/author&gt;&lt;author&gt;Man, David W. K.&lt;/author&gt;&lt;/authors&gt;&lt;/contributors&gt;&lt;titles&gt;&lt;title&gt;The Validation of the Hong Kong Chinese Version of the Lawton Instrumental Activities of Daily Living Scale for Institutionalized Elderly Persons&lt;/title&gt;&lt;secondary-title&gt;OTJR: Occupation, Participation and Health&lt;/secondary-title&gt;&lt;/titles&gt;&lt;periodical&gt;&lt;full-title&gt;OTJR: Occupation, Participation and Health&lt;/full-title&gt;&lt;/periodical&gt;&lt;pages&gt;132-142&lt;/pages&gt;&lt;volume&gt;22&lt;/volume&gt;&lt;number&gt;4&lt;/number&gt;&lt;dates&gt;&lt;year&gt;2002&lt;/year&gt;&lt;pub-dates&gt;&lt;date&gt;2002/10/01&lt;/date&gt;&lt;/pub-dates&gt;&lt;/dates&gt;&lt;publisher&gt;SAGE Publications Inc&lt;/publisher&gt;&lt;isbn&gt;1539-4492&lt;/isbn&gt;&lt;urls&gt;&lt;related-urls&gt;&lt;url&gt;https://doi.org/10.1177/153944920202200402&lt;/url&gt;&lt;/related-urls&gt;&lt;/urls&gt;&lt;electronic-resource-num&gt;10.1177/153944920202200402&lt;/electronic-resource-num&gt;&lt;access-date&gt;2022/03/10&lt;/access-date&gt;&lt;/record&gt;&lt;/Cite&gt;&lt;/EndNote&gt;</w:instrTex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B84F55">
              <w:rPr>
                <w:rFonts w:asciiTheme="majorBidi" w:hAnsiTheme="majorBidi" w:cstheme="majorBidi"/>
                <w:noProof/>
                <w:color w:val="000000" w:themeColor="text1"/>
              </w:rPr>
              <w:t>(Tong &amp; Man, 2002)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B84F55" w:rsidRPr="003B498D" w14:paraId="26B9C0E3" w14:textId="77777777" w:rsidTr="005B308C">
        <w:tc>
          <w:tcPr>
            <w:tcW w:w="2788" w:type="dxa"/>
          </w:tcPr>
          <w:p w14:paraId="7B89264B" w14:textId="77777777" w:rsidR="00B84F55" w:rsidRPr="00784560" w:rsidRDefault="00B84F55" w:rsidP="00B84F55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5692" w:type="dxa"/>
          </w:tcPr>
          <w:p w14:paraId="578F1231" w14:textId="77777777" w:rsidR="00B84F55" w:rsidRPr="00784560" w:rsidRDefault="00B84F55" w:rsidP="00B84F55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104C83B0" w14:textId="77777777" w:rsidR="00F5585C" w:rsidRPr="00784560" w:rsidRDefault="00F5585C" w:rsidP="00F5585C">
      <w:pPr>
        <w:pStyle w:val="APAList-Bullets"/>
        <w:numPr>
          <w:ilvl w:val="0"/>
          <w:numId w:val="0"/>
        </w:numPr>
        <w:ind w:left="720"/>
        <w:rPr>
          <w:rFonts w:asciiTheme="majorBidi" w:hAnsiTheme="majorBidi" w:cstheme="majorBidi"/>
        </w:rPr>
      </w:pPr>
    </w:p>
    <w:p w14:paraId="6264AA09" w14:textId="79D08FAE" w:rsidR="00F5585C" w:rsidRPr="00784560" w:rsidRDefault="00F5585C" w:rsidP="00C2297C">
      <w:pPr>
        <w:pStyle w:val="APAList-Bullets"/>
        <w:numPr>
          <w:ilvl w:val="0"/>
          <w:numId w:val="0"/>
        </w:numPr>
        <w:ind w:left="720" w:hanging="360"/>
        <w:jc w:val="both"/>
        <w:rPr>
          <w:rFonts w:asciiTheme="majorBidi" w:hAnsiTheme="majorBidi" w:cstheme="majorBidi"/>
        </w:rPr>
      </w:pPr>
      <w:r w:rsidRPr="00C2297C">
        <w:rPr>
          <w:rFonts w:asciiTheme="majorBidi" w:hAnsiTheme="majorBidi" w:cstheme="majorBidi"/>
          <w:u w:val="single"/>
        </w:rPr>
        <w:t>Canadian Occupational Performance Measure (COPM)</w:t>
      </w:r>
      <w:r w:rsidRPr="00784560">
        <w:rPr>
          <w:rFonts w:asciiTheme="majorBidi" w:hAnsiTheme="majorBidi" w:cstheme="majorBidi"/>
        </w:rPr>
        <w:t xml:space="preserve"> </w:t>
      </w:r>
      <w:r w:rsidR="00C2297C">
        <w:rPr>
          <w:rFonts w:asciiTheme="majorBidi" w:hAnsiTheme="majorBidi" w:cstheme="majorBidi"/>
        </w:rPr>
        <w:fldChar w:fldCharType="begin"/>
      </w:r>
      <w:r w:rsidR="00C2297C">
        <w:rPr>
          <w:rFonts w:asciiTheme="majorBidi" w:hAnsiTheme="majorBidi" w:cstheme="majorBidi"/>
        </w:rPr>
        <w:instrText xml:space="preserve"> ADDIN EN.CITE &lt;EndNote&gt;&lt;Cite&gt;&lt;Author&gt;Law&lt;/Author&gt;&lt;Year&gt;1998&lt;/Year&gt;&lt;RecNum&gt;1062&lt;/RecNum&gt;&lt;DisplayText&gt;(Law et al., 1998)&lt;/DisplayText&gt;&lt;record&gt;&lt;rec-number&gt;1062&lt;/rec-number&gt;&lt;foreign-keys&gt;&lt;key app="EN" db-id="e2zedv2xyptd08efe0659tebe92rrrfezxre" timestamp="1490837095"&gt;1062&lt;/key&gt;&lt;/foreign-keys&gt;&lt;ref-type name="Book"&gt;6&lt;/ref-type&gt;&lt;contributors&gt;&lt;authors&gt;&lt;author&gt;Law, Mary C&lt;/author&gt;&lt;author&gt;Baptiste, Sue&lt;/author&gt;&lt;author&gt;Carswell, Anne&lt;/author&gt;&lt;author&gt;McColl, Mary Ann&lt;/author&gt;&lt;author&gt;Polatajko, Helene&lt;/author&gt;&lt;author&gt;Pollock, Nancy&lt;/author&gt;&lt;/authors&gt;&lt;/contributors&gt;&lt;titles&gt;&lt;title&gt;Canadian occupational performance measure&lt;/title&gt;&lt;/titles&gt;&lt;dates&gt;&lt;year&gt;1998&lt;/year&gt;&lt;/dates&gt;&lt;publisher&gt;Canadian Association of Occupational Therapists Ottawa ON&lt;/publisher&gt;&lt;isbn&gt;189543730X&lt;/isbn&gt;&lt;urls&gt;&lt;/urls&gt;&lt;/record&gt;&lt;/Cite&gt;&lt;/EndNote&gt;</w:instrText>
      </w:r>
      <w:r w:rsidR="00C2297C">
        <w:rPr>
          <w:rFonts w:asciiTheme="majorBidi" w:hAnsiTheme="majorBidi" w:cstheme="majorBidi"/>
        </w:rPr>
        <w:fldChar w:fldCharType="separate"/>
      </w:r>
      <w:r w:rsidR="00C2297C">
        <w:rPr>
          <w:rFonts w:asciiTheme="majorBidi" w:hAnsiTheme="majorBidi" w:cstheme="majorBidi"/>
          <w:noProof/>
        </w:rPr>
        <w:t>(Law et al., 1998)</w:t>
      </w:r>
      <w:r w:rsidR="00C2297C">
        <w:rPr>
          <w:rFonts w:asciiTheme="majorBidi" w:hAnsiTheme="majorBidi" w:cstheme="majorBidi"/>
        </w:rPr>
        <w:fldChar w:fldCharType="end"/>
      </w:r>
    </w:p>
    <w:tbl>
      <w:tblPr>
        <w:tblStyle w:val="TableGrid"/>
        <w:tblW w:w="0" w:type="auto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5699"/>
      </w:tblGrid>
      <w:tr w:rsidR="00F5585C" w:rsidRPr="003B498D" w14:paraId="4427CEA8" w14:textId="77777777" w:rsidTr="005B308C">
        <w:tc>
          <w:tcPr>
            <w:tcW w:w="2781" w:type="dxa"/>
          </w:tcPr>
          <w:p w14:paraId="4ADC16D3" w14:textId="77777777" w:rsidR="00F5585C" w:rsidRPr="00784560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 xml:space="preserve">Use: </w:t>
            </w:r>
          </w:p>
        </w:tc>
        <w:tc>
          <w:tcPr>
            <w:tcW w:w="5699" w:type="dxa"/>
          </w:tcPr>
          <w:p w14:paraId="78648AA5" w14:textId="77777777" w:rsidR="00F5585C" w:rsidRPr="00784560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784560">
              <w:rPr>
                <w:rFonts w:asciiTheme="majorBidi" w:hAnsiTheme="majorBidi" w:cstheme="majorBidi"/>
                <w:color w:val="000000" w:themeColor="text1"/>
              </w:rPr>
              <w:t>Evaluates a person’s self-perception of occupational performance and satisfaction with performance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1A0E75B8" w14:textId="77777777" w:rsidTr="005B308C">
        <w:tc>
          <w:tcPr>
            <w:tcW w:w="2781" w:type="dxa"/>
          </w:tcPr>
          <w:p w14:paraId="462FE077" w14:textId="77777777" w:rsidR="00F5585C" w:rsidRPr="009C6EE4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Instrument:</w:t>
            </w:r>
          </w:p>
        </w:tc>
        <w:tc>
          <w:tcPr>
            <w:tcW w:w="5699" w:type="dxa"/>
          </w:tcPr>
          <w:p w14:paraId="35C3227A" w14:textId="77777777" w:rsidR="00F5585C" w:rsidRPr="009C6EE4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Paper based assessment involves a 5-step process nested within a semi-structured interview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4F9DBEF6" w14:textId="77777777" w:rsidTr="005B308C">
        <w:tc>
          <w:tcPr>
            <w:tcW w:w="2781" w:type="dxa"/>
          </w:tcPr>
          <w:p w14:paraId="37C6CDB0" w14:textId="77777777" w:rsidR="00F5585C" w:rsidRPr="009C6EE4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lastRenderedPageBreak/>
              <w:t>Areas of assessment:</w:t>
            </w:r>
          </w:p>
        </w:tc>
        <w:tc>
          <w:tcPr>
            <w:tcW w:w="5699" w:type="dxa"/>
          </w:tcPr>
          <w:p w14:paraId="60CDBB77" w14:textId="52BD89E6" w:rsidR="00F5585C" w:rsidRPr="009C6EE4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1) </w:t>
            </w:r>
            <w:proofErr w:type="gramStart"/>
            <w:r w:rsidR="00C2297C">
              <w:rPr>
                <w:rFonts w:asciiTheme="majorBidi" w:hAnsiTheme="majorBidi" w:cstheme="majorBidi"/>
                <w:color w:val="000000" w:themeColor="text1"/>
              </w:rPr>
              <w:t>self-perceived</w:t>
            </w:r>
            <w:proofErr w:type="gramEnd"/>
            <w:r w:rsidR="00C2297C">
              <w:rPr>
                <w:rFonts w:asciiTheme="majorBidi" w:hAnsiTheme="majorBidi" w:cstheme="majorBidi"/>
                <w:color w:val="000000" w:themeColor="text1"/>
              </w:rPr>
              <w:t xml:space="preserve"> performance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; 2) </w:t>
            </w:r>
            <w:r w:rsidR="00C2297C">
              <w:rPr>
                <w:rFonts w:asciiTheme="majorBidi" w:hAnsiTheme="majorBidi" w:cstheme="majorBidi"/>
                <w:color w:val="000000" w:themeColor="text1"/>
              </w:rPr>
              <w:t>satisfaction on performance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3CDDC443" w14:textId="77777777" w:rsidTr="005B308C">
        <w:tc>
          <w:tcPr>
            <w:tcW w:w="2781" w:type="dxa"/>
          </w:tcPr>
          <w:p w14:paraId="2E95143C" w14:textId="77777777" w:rsidR="00F5585C" w:rsidRPr="009C6EE4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Administration time:</w:t>
            </w:r>
          </w:p>
        </w:tc>
        <w:tc>
          <w:tcPr>
            <w:tcW w:w="5699" w:type="dxa"/>
          </w:tcPr>
          <w:p w14:paraId="28360EAD" w14:textId="03D85922" w:rsidR="00F5585C" w:rsidRPr="009C6EE4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6 - 30 Minutes</w:t>
            </w:r>
          </w:p>
        </w:tc>
      </w:tr>
      <w:tr w:rsidR="00F5585C" w:rsidRPr="003B498D" w14:paraId="22395072" w14:textId="77777777" w:rsidTr="005B308C">
        <w:tc>
          <w:tcPr>
            <w:tcW w:w="2781" w:type="dxa"/>
          </w:tcPr>
          <w:p w14:paraId="22BF07C6" w14:textId="77777777" w:rsidR="00F5585C" w:rsidRPr="009C6EE4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Scoring:</w:t>
            </w:r>
          </w:p>
        </w:tc>
        <w:tc>
          <w:tcPr>
            <w:tcW w:w="5699" w:type="dxa"/>
          </w:tcPr>
          <w:p w14:paraId="126E0819" w14:textId="7BFD4EE8" w:rsidR="00D46765" w:rsidRPr="009C6EE4" w:rsidRDefault="00F5585C" w:rsidP="005B308C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10-point ordinal scale, </w:t>
            </w:r>
            <w:r w:rsidR="00D46765">
              <w:rPr>
                <w:rFonts w:asciiTheme="majorBidi" w:hAnsiTheme="majorBidi" w:cstheme="majorBidi"/>
                <w:color w:val="000000" w:themeColor="text1"/>
              </w:rPr>
              <w:t>1 indicating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 poor performance and satisfaction</w:t>
            </w:r>
            <w:r w:rsidR="00D46765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>10</w:t>
            </w:r>
            <w:r w:rsidR="00D46765">
              <w:rPr>
                <w:rFonts w:asciiTheme="majorBidi" w:hAnsiTheme="majorBidi" w:cstheme="majorBidi"/>
                <w:color w:val="000000" w:themeColor="text1"/>
              </w:rPr>
              <w:t xml:space="preserve"> indicating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D46765">
              <w:rPr>
                <w:rFonts w:asciiTheme="majorBidi" w:hAnsiTheme="majorBidi" w:cstheme="majorBidi"/>
                <w:color w:val="000000" w:themeColor="text1"/>
              </w:rPr>
              <w:t>the best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 performance and satisfaction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B84F55" w:rsidRPr="003B498D" w14:paraId="016A63D9" w14:textId="77777777" w:rsidTr="005B308C">
        <w:tc>
          <w:tcPr>
            <w:tcW w:w="2781" w:type="dxa"/>
          </w:tcPr>
          <w:p w14:paraId="6E85ED34" w14:textId="40B55558" w:rsidR="00B84F55" w:rsidRPr="009C6EE4" w:rsidRDefault="00B84F55" w:rsidP="00B84F55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Test</w:t>
            </w:r>
            <w:r>
              <w:rPr>
                <w:rFonts w:asciiTheme="majorBidi" w:hAnsiTheme="majorBidi" w:cstheme="majorBidi"/>
                <w:color w:val="000000" w:themeColor="text1"/>
              </w:rPr>
              <w:t>-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retest reliability: </w:t>
            </w:r>
          </w:p>
        </w:tc>
        <w:tc>
          <w:tcPr>
            <w:tcW w:w="5699" w:type="dxa"/>
          </w:tcPr>
          <w:p w14:paraId="22E9E106" w14:textId="17FEF961" w:rsidR="00B84F55" w:rsidRPr="009C6EE4" w:rsidRDefault="00473207" w:rsidP="00B84F55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 xml:space="preserve">Excellent, </w:t>
            </w:r>
            <w:r w:rsidR="00B84F55" w:rsidRPr="009C6EE4">
              <w:rPr>
                <w:rFonts w:asciiTheme="majorBidi" w:hAnsiTheme="majorBidi" w:cstheme="majorBidi"/>
                <w:color w:val="000000" w:themeColor="text1"/>
              </w:rPr>
              <w:t xml:space="preserve">r = </w:t>
            </w:r>
            <w:r w:rsidR="00B84F55" w:rsidRPr="00C2297C">
              <w:rPr>
                <w:rFonts w:asciiTheme="majorBidi" w:hAnsiTheme="majorBidi" w:cstheme="majorBidi"/>
                <w:color w:val="000000" w:themeColor="text1"/>
              </w:rPr>
              <w:t>0.89 for performance and 0.88 for satisfaction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&lt;EndNote&gt;&lt;Cite&gt;&lt;Author&gt;Cup&lt;/Author&gt;&lt;Year&gt;2003&lt;/Year&gt;&lt;RecNum&gt;2692&lt;/RecNum&gt;&lt;DisplayText&gt;(Cup et al., 2003)&lt;/DisplayText&gt;&lt;record&gt;&lt;rec-number&gt;2692&lt;/rec-number&gt;&lt;foreign-keys&gt;&lt;key app="EN" db-id="e2zedv2xyptd08efe0659tebe92rrrfezxre" timestamp="1646981367"&gt;2692&lt;/key&gt;&lt;/foreign-keys&gt;&lt;ref-type name="Journal Article"&gt;17&lt;/ref-type&gt;&lt;contributors&gt;&lt;authors&gt;&lt;author&gt;Cup, E. H. C.&lt;/author&gt;&lt;author&gt;Scholte op Reimer, W. J. M.&lt;/author&gt;&lt;author&gt;Thijssen, M. C. E.&lt;/author&gt;&lt;author&gt;van Kuyk-Minis, M. A. H.&lt;/author&gt;&lt;/authors&gt;&lt;/contributors&gt;&lt;titles&gt;&lt;title&gt;Reliability and validity of the Canadian Occupat189ional Performance Measure in stroke patients&lt;/title&gt;&lt;secondary-title&gt;Clinical Rehabilitation&lt;/secondary-title&gt;&lt;/titles&gt;&lt;periodical&gt;&lt;full-title&gt;Clinical Rehabilitation&lt;/full-title&gt;&lt;/periodical&gt;&lt;pages&gt;402-409&lt;/pages&gt;&lt;volume&gt;17&lt;/volume&gt;&lt;number&gt;4&lt;/number&gt;&lt;dates&gt;&lt;year&gt;2003&lt;/year&gt;&lt;pub-dates&gt;&lt;date&gt;2003/06/01&lt;/date&gt;&lt;/pub-dates&gt;&lt;/dates&gt;&lt;publisher&gt;SAGE Publications Ltd STM&lt;/publisher&gt;&lt;isbn&gt;0269-2155&lt;/isbn&gt;&lt;urls&gt;&lt;related-urls&gt;&lt;url&gt;https://doi.org/10.1191/0269215503cr635oa&lt;/url&gt;&lt;/related-urls&gt;&lt;/urls&gt;&lt;electronic-resource-num&gt;10.1191/0269215503cr635oa&lt;/electronic-resource-num&gt;&lt;access-date&gt;2022/03/10&lt;/access-date&gt;&lt;/record&gt;&lt;/Cite&gt;&lt;/EndNote&gt;</w:instrTex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B84F55">
              <w:rPr>
                <w:rFonts w:asciiTheme="majorBidi" w:hAnsiTheme="majorBidi" w:cstheme="majorBidi"/>
                <w:noProof/>
                <w:color w:val="000000" w:themeColor="text1"/>
              </w:rPr>
              <w:t>(Cup et al., 2003)</w:t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 w:rsidR="00B84F55"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B84F55" w:rsidRPr="003B498D" w14:paraId="0104D759" w14:textId="77777777" w:rsidTr="005B308C">
        <w:tc>
          <w:tcPr>
            <w:tcW w:w="2781" w:type="dxa"/>
          </w:tcPr>
          <w:p w14:paraId="01E35C09" w14:textId="2EEB437D" w:rsidR="00B84F55" w:rsidRPr="009C6EE4" w:rsidRDefault="00B84F55" w:rsidP="00B84F55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Validity:</w:t>
            </w:r>
          </w:p>
        </w:tc>
        <w:tc>
          <w:tcPr>
            <w:tcW w:w="5699" w:type="dxa"/>
          </w:tcPr>
          <w:p w14:paraId="09C8A071" w14:textId="77777777" w:rsidR="00B84F55" w:rsidRDefault="00B84F55" w:rsidP="00B84F55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Poor to fair c</w:t>
            </w:r>
            <w:r w:rsidRPr="00C2297C">
              <w:rPr>
                <w:rFonts w:asciiTheme="majorBidi" w:hAnsiTheme="majorBidi" w:cstheme="majorBidi"/>
                <w:color w:val="000000" w:themeColor="text1"/>
              </w:rPr>
              <w:t>riterion-related validity between the COPM and Functional Independence Measure (r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C2297C">
              <w:rPr>
                <w:rFonts w:asciiTheme="majorBidi" w:hAnsiTheme="majorBidi" w:cstheme="majorBidi"/>
                <w:color w:val="000000" w:themeColor="text1"/>
              </w:rPr>
              <w:t>=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C2297C">
              <w:rPr>
                <w:rFonts w:asciiTheme="majorBidi" w:hAnsiTheme="majorBidi" w:cstheme="majorBidi"/>
                <w:color w:val="000000" w:themeColor="text1"/>
              </w:rPr>
              <w:t>−0.14 to 0.38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) 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&lt;EndNote&gt;&lt;Cite&gt;&lt;Author&gt;Chan&lt;/Author&gt;&lt;Year&gt;2006&lt;/Year&gt;&lt;RecNum&gt;2693&lt;/RecNum&gt;&lt;DisplayText&gt;(Chan &amp;amp; Lee, 2006)&lt;/DisplayText&gt;&lt;record&gt;&lt;rec-number&gt;2693&lt;/rec-number&gt;&lt;foreign-keys&gt;&lt;key app="EN" db-id="e2zedv2xyptd08efe0659tebe92rrrfezxre" timestamp="1646981897"&gt;2693&lt;/key&gt;&lt;/foreign-keys&gt;&lt;ref-type name="Journal Article"&gt;17&lt;/ref-type&gt;&lt;contributors&gt;&lt;authors&gt;&lt;author&gt;Chan, C. C. H.&lt;/author&gt;&lt;author&gt;Lee, T. M. C.&lt;/author&gt;&lt;/authors&gt;&lt;/contributors&gt;&lt;titles&gt;&lt;title&gt;Validity of the Canadian occupational performance measure&lt;/title&gt;&lt;secondary-title&gt;Occupational Therapy International&lt;/secondary-title&gt;&lt;/titles&gt;&lt;periodical&gt;&lt;full-title&gt;Occup Ther Int&lt;/full-title&gt;&lt;abbr-1&gt;Occupational therapy international&lt;/abbr-1&gt;&lt;/periodical&gt;&lt;pages&gt;231-249&lt;/pages&gt;&lt;volume&gt;4&lt;/volume&gt;&lt;number&gt;3&lt;/number&gt;&lt;dates&gt;&lt;year&gt;2006&lt;/year&gt;&lt;/dates&gt;&lt;urls&gt;&lt;/urls&gt;&lt;electronic-resource-num&gt;https://doi.org/10.1002/oti.58&lt;/electronic-resource-num&gt;&lt;/record&gt;&lt;/Cite&gt;&lt;/EndNote&gt;</w:instrTex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(Chan &amp; Lee, 2006)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  <w:p w14:paraId="0A4E8304" w14:textId="0CFABA45" w:rsidR="00B84F55" w:rsidRPr="009C6EE4" w:rsidRDefault="00B84F55" w:rsidP="00B84F55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0BCFE315" w14:textId="03DBBC80" w:rsidR="00F5585C" w:rsidRPr="009C6EE4" w:rsidRDefault="00F5585C" w:rsidP="00D46765">
      <w:pPr>
        <w:pStyle w:val="APAList-Bullets"/>
        <w:numPr>
          <w:ilvl w:val="0"/>
          <w:numId w:val="0"/>
        </w:numPr>
        <w:ind w:left="720" w:hanging="360"/>
        <w:jc w:val="both"/>
        <w:rPr>
          <w:rFonts w:asciiTheme="majorBidi" w:hAnsiTheme="majorBidi" w:cstheme="majorBidi"/>
        </w:rPr>
      </w:pPr>
      <w:r w:rsidRPr="00D46765">
        <w:rPr>
          <w:rFonts w:asciiTheme="majorBidi" w:hAnsiTheme="majorBidi" w:cstheme="majorBidi"/>
          <w:u w:val="single"/>
        </w:rPr>
        <w:t xml:space="preserve">Stroke Specific </w:t>
      </w:r>
      <w:r w:rsidR="00D46765">
        <w:rPr>
          <w:rFonts w:asciiTheme="majorBidi" w:hAnsiTheme="majorBidi" w:cstheme="majorBidi"/>
          <w:u w:val="single"/>
        </w:rPr>
        <w:t>Q</w:t>
      </w:r>
      <w:r w:rsidRPr="00D46765">
        <w:rPr>
          <w:rFonts w:asciiTheme="majorBidi" w:hAnsiTheme="majorBidi" w:cstheme="majorBidi"/>
          <w:u w:val="single"/>
        </w:rPr>
        <w:t xml:space="preserve">uality of </w:t>
      </w:r>
      <w:r w:rsidR="00D46765">
        <w:rPr>
          <w:rFonts w:asciiTheme="majorBidi" w:hAnsiTheme="majorBidi" w:cstheme="majorBidi"/>
          <w:u w:val="single"/>
        </w:rPr>
        <w:t>L</w:t>
      </w:r>
      <w:r w:rsidRPr="00D46765">
        <w:rPr>
          <w:rFonts w:asciiTheme="majorBidi" w:hAnsiTheme="majorBidi" w:cstheme="majorBidi"/>
          <w:u w:val="single"/>
        </w:rPr>
        <w:t>ife scale (SS-QOL)</w:t>
      </w:r>
      <w:r w:rsidRPr="009C6EE4">
        <w:rPr>
          <w:rFonts w:asciiTheme="majorBidi" w:hAnsiTheme="majorBidi" w:cstheme="majorBidi"/>
        </w:rPr>
        <w:t xml:space="preserve"> </w:t>
      </w:r>
      <w:r w:rsidR="00D46765">
        <w:rPr>
          <w:rFonts w:asciiTheme="majorBidi" w:hAnsiTheme="majorBidi" w:cstheme="majorBidi"/>
        </w:rPr>
        <w:fldChar w:fldCharType="begin"/>
      </w:r>
      <w:r w:rsidR="00D46765">
        <w:rPr>
          <w:rFonts w:asciiTheme="majorBidi" w:hAnsiTheme="majorBidi" w:cstheme="majorBidi"/>
        </w:rPr>
        <w:instrText xml:space="preserve"> ADDIN EN.CITE &lt;EndNote&gt;&lt;Cite&gt;&lt;Author&gt;Williams&lt;/Author&gt;&lt;Year&gt;1999&lt;/Year&gt;&lt;RecNum&gt;1036&lt;/RecNum&gt;&lt;DisplayText&gt;(Williams et al., 1999)&lt;/DisplayText&gt;&lt;record&gt;&lt;rec-number&gt;1036&lt;/rec-number&gt;&lt;foreign-keys&gt;&lt;key app="EN" db-id="e2zedv2xyptd08efe0659tebe92rrrfezxre" timestamp="1490837094"&gt;1036&lt;/key&gt;&lt;/foreign-keys&gt;&lt;ref-type name="Journal Article"&gt;17&lt;/ref-type&gt;&lt;contributors&gt;&lt;authors&gt;&lt;author&gt;Williams, Linda S&lt;/author&gt;&lt;author&gt;Weinberger, Morris&lt;/author&gt;&lt;author&gt;Harris, Lisa E&lt;/author&gt;&lt;author&gt;Clark, Daniel O&lt;/author&gt;&lt;author&gt;Biller, José&lt;/author&gt;&lt;/authors&gt;&lt;/contributors&gt;&lt;titles&gt;&lt;title&gt;Development of a stroke-specific quality of life scale&lt;/title&gt;&lt;secondary-title&gt;Stroke&lt;/secondary-title&gt;&lt;/titles&gt;&lt;periodical&gt;&lt;full-title&gt;Stroke&lt;/full-title&gt;&lt;abbr-1&gt;Stroke; a journal of cerebral circulation&lt;/abbr-1&gt;&lt;/periodical&gt;&lt;pages&gt;1362-1369&lt;/pages&gt;&lt;volume&gt;30&lt;/volume&gt;&lt;number&gt;7&lt;/number&gt;&lt;dates&gt;&lt;year&gt;1999&lt;/year&gt;&lt;/dates&gt;&lt;isbn&gt;0039-2499&lt;/isbn&gt;&lt;urls&gt;&lt;/urls&gt;&lt;/record&gt;&lt;/Cite&gt;&lt;/EndNote&gt;</w:instrText>
      </w:r>
      <w:r w:rsidR="00D46765">
        <w:rPr>
          <w:rFonts w:asciiTheme="majorBidi" w:hAnsiTheme="majorBidi" w:cstheme="majorBidi"/>
        </w:rPr>
        <w:fldChar w:fldCharType="separate"/>
      </w:r>
      <w:r w:rsidR="00D46765">
        <w:rPr>
          <w:rFonts w:asciiTheme="majorBidi" w:hAnsiTheme="majorBidi" w:cstheme="majorBidi"/>
          <w:noProof/>
        </w:rPr>
        <w:t>(Williams et al., 1999)</w:t>
      </w:r>
      <w:r w:rsidR="00D46765">
        <w:rPr>
          <w:rFonts w:asciiTheme="majorBidi" w:hAnsiTheme="majorBidi" w:cstheme="majorBidi"/>
        </w:rPr>
        <w:fldChar w:fldCharType="end"/>
      </w:r>
      <w:r w:rsidR="00D46765">
        <w:rPr>
          <w:rFonts w:asciiTheme="majorBidi" w:hAnsiTheme="majorBidi" w:cstheme="majorBidi"/>
        </w:rPr>
        <w:t xml:space="preserve"> </w:t>
      </w:r>
    </w:p>
    <w:tbl>
      <w:tblPr>
        <w:tblStyle w:val="TableGrid"/>
        <w:tblW w:w="864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5670"/>
      </w:tblGrid>
      <w:tr w:rsidR="00F5585C" w:rsidRPr="003B498D" w14:paraId="272533A2" w14:textId="77777777" w:rsidTr="005B308C">
        <w:tc>
          <w:tcPr>
            <w:tcW w:w="2970" w:type="dxa"/>
          </w:tcPr>
          <w:p w14:paraId="414762E9" w14:textId="77777777" w:rsidR="00F5585C" w:rsidRPr="009C6EE4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Use: </w:t>
            </w:r>
          </w:p>
        </w:tc>
        <w:tc>
          <w:tcPr>
            <w:tcW w:w="5670" w:type="dxa"/>
          </w:tcPr>
          <w:p w14:paraId="6AAA6D04" w14:textId="77777777" w:rsidR="00F5585C" w:rsidRPr="009C6EE4" w:rsidRDefault="00F5585C" w:rsidP="005B308C">
            <w:pPr>
              <w:spacing w:line="480" w:lineRule="auto"/>
              <w:ind w:left="-18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Evaluates health-related quality of life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74D28B84" w14:textId="77777777" w:rsidTr="005B308C">
        <w:tc>
          <w:tcPr>
            <w:tcW w:w="2970" w:type="dxa"/>
          </w:tcPr>
          <w:p w14:paraId="593A8705" w14:textId="77777777" w:rsidR="00F5585C" w:rsidRPr="009C6EE4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Instrument:</w:t>
            </w:r>
          </w:p>
        </w:tc>
        <w:tc>
          <w:tcPr>
            <w:tcW w:w="5670" w:type="dxa"/>
          </w:tcPr>
          <w:p w14:paraId="355ABB5C" w14:textId="6149E6F9" w:rsidR="00F5585C" w:rsidRPr="009C6EE4" w:rsidRDefault="00F5585C" w:rsidP="005B308C">
            <w:pPr>
              <w:spacing w:line="480" w:lineRule="auto"/>
              <w:ind w:left="-18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Paper based test with </w:t>
            </w:r>
            <w:r w:rsidR="00D46765">
              <w:rPr>
                <w:rFonts w:asciiTheme="majorBidi" w:hAnsiTheme="majorBidi" w:cstheme="majorBidi"/>
                <w:color w:val="000000" w:themeColor="text1"/>
              </w:rPr>
              <w:t>12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 domains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</w:tc>
      </w:tr>
      <w:tr w:rsidR="00F5585C" w:rsidRPr="003B498D" w14:paraId="28F33CA9" w14:textId="77777777" w:rsidTr="005B308C">
        <w:tc>
          <w:tcPr>
            <w:tcW w:w="2970" w:type="dxa"/>
          </w:tcPr>
          <w:p w14:paraId="4C3F31A7" w14:textId="77777777" w:rsidR="00F5585C" w:rsidRPr="009C6EE4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Areas of assessment:</w:t>
            </w:r>
          </w:p>
        </w:tc>
        <w:tc>
          <w:tcPr>
            <w:tcW w:w="5670" w:type="dxa"/>
          </w:tcPr>
          <w:p w14:paraId="2F60A052" w14:textId="77777777" w:rsidR="00F5585C" w:rsidRPr="009C6EE4" w:rsidRDefault="00F5585C" w:rsidP="005B308C">
            <w:pPr>
              <w:spacing w:line="480" w:lineRule="auto"/>
              <w:ind w:left="-18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1) energy; 2) family roles; 3) language; 4) mobility; 5) mood; 6) personality; 7) self-care; 8) social roles; 9) thinking; 10) upper extremity function; 11) vision; and 12) work/productivity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4791FC5D" w14:textId="77777777" w:rsidTr="005B308C">
        <w:tc>
          <w:tcPr>
            <w:tcW w:w="2970" w:type="dxa"/>
          </w:tcPr>
          <w:p w14:paraId="1AD7E5E5" w14:textId="77777777" w:rsidR="00F5585C" w:rsidRPr="009C6EE4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Administration time:</w:t>
            </w:r>
          </w:p>
        </w:tc>
        <w:tc>
          <w:tcPr>
            <w:tcW w:w="5670" w:type="dxa"/>
          </w:tcPr>
          <w:p w14:paraId="679B301F" w14:textId="77777777" w:rsidR="00F5585C" w:rsidRPr="009C6EE4" w:rsidRDefault="00F5585C" w:rsidP="005B308C">
            <w:pPr>
              <w:spacing w:line="480" w:lineRule="auto"/>
              <w:ind w:left="-18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10-15 minutes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F5585C" w:rsidRPr="003B498D" w14:paraId="776DAA83" w14:textId="77777777" w:rsidTr="005B308C">
        <w:tc>
          <w:tcPr>
            <w:tcW w:w="2970" w:type="dxa"/>
          </w:tcPr>
          <w:p w14:paraId="468B533A" w14:textId="77777777" w:rsidR="00F5585C" w:rsidRPr="009C6EE4" w:rsidRDefault="00F5585C" w:rsidP="005B308C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Scoring:</w:t>
            </w:r>
          </w:p>
        </w:tc>
        <w:tc>
          <w:tcPr>
            <w:tcW w:w="5670" w:type="dxa"/>
          </w:tcPr>
          <w:p w14:paraId="6A04B0EF" w14:textId="77777777" w:rsidR="00F5585C" w:rsidRPr="009C6EE4" w:rsidRDefault="00F5585C" w:rsidP="005B308C">
            <w:pPr>
              <w:spacing w:line="480" w:lineRule="auto"/>
              <w:ind w:left="-18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Scale of 1-5 with overall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  <w:p w14:paraId="3B20E13D" w14:textId="22E46B0D" w:rsidR="00F5585C" w:rsidRPr="009C6EE4" w:rsidRDefault="00F5585C" w:rsidP="00D46765">
            <w:pPr>
              <w:spacing w:line="480" w:lineRule="auto"/>
              <w:ind w:left="-18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Lowest score 49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D46765">
              <w:rPr>
                <w:rFonts w:asciiTheme="majorBidi" w:hAnsiTheme="majorBidi" w:cstheme="majorBidi"/>
                <w:color w:val="000000" w:themeColor="text1"/>
              </w:rPr>
              <w:t>indicating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 total help </w:t>
            </w:r>
            <w:r w:rsidRPr="003B498D">
              <w:rPr>
                <w:rFonts w:asciiTheme="majorBidi" w:hAnsiTheme="majorBidi" w:cstheme="majorBidi"/>
                <w:color w:val="000000" w:themeColor="text1"/>
              </w:rPr>
              <w:t>needed</w:t>
            </w:r>
            <w:r w:rsidR="00D46765">
              <w:rPr>
                <w:rFonts w:asciiTheme="majorBidi" w:hAnsiTheme="majorBidi" w:cstheme="majorBidi"/>
                <w:color w:val="000000" w:themeColor="text1"/>
              </w:rPr>
              <w:t>, h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>ighest score 245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D46765">
              <w:rPr>
                <w:rFonts w:asciiTheme="majorBidi" w:hAnsiTheme="majorBidi" w:cstheme="majorBidi"/>
                <w:color w:val="000000" w:themeColor="text1"/>
              </w:rPr>
              <w:t>indicating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</w:rPr>
              <w:t>n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>o help needed</w:t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B84F55" w:rsidRPr="003B498D" w14:paraId="1390F6B8" w14:textId="77777777" w:rsidTr="005B308C">
        <w:tc>
          <w:tcPr>
            <w:tcW w:w="2970" w:type="dxa"/>
          </w:tcPr>
          <w:p w14:paraId="77762CEE" w14:textId="7BF2FB8D" w:rsidR="00B84F55" w:rsidRPr="009C6EE4" w:rsidRDefault="00B84F55" w:rsidP="00B84F55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Test</w:t>
            </w:r>
            <w:r>
              <w:rPr>
                <w:rFonts w:asciiTheme="majorBidi" w:hAnsiTheme="majorBidi" w:cstheme="majorBidi"/>
                <w:color w:val="000000" w:themeColor="text1"/>
              </w:rPr>
              <w:t>-</w:t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 xml:space="preserve">retest reliability: </w:t>
            </w:r>
          </w:p>
        </w:tc>
        <w:tc>
          <w:tcPr>
            <w:tcW w:w="5670" w:type="dxa"/>
          </w:tcPr>
          <w:p w14:paraId="0BA6A83E" w14:textId="4571A02A" w:rsidR="00B84F55" w:rsidRPr="009C6EE4" w:rsidRDefault="00B84F55" w:rsidP="00B84F55">
            <w:pPr>
              <w:spacing w:line="480" w:lineRule="auto"/>
              <w:ind w:left="-18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 xml:space="preserve">Excellent, </w:t>
            </w:r>
            <w:r w:rsidRPr="00D46765">
              <w:rPr>
                <w:rFonts w:asciiTheme="majorBidi" w:hAnsiTheme="majorBidi" w:cstheme="majorBidi"/>
                <w:color w:val="000000" w:themeColor="text1"/>
              </w:rPr>
              <w:t>r</w:t>
            </w:r>
            <w:r>
              <w:rPr>
                <w:rFonts w:asciiTheme="majorBidi" w:hAnsiTheme="majorBidi" w:cstheme="majorBidi"/>
                <w:color w:val="000000" w:themeColor="text1"/>
              </w:rPr>
              <w:t>ho</w:t>
            </w:r>
            <w:r w:rsidRPr="00D46765">
              <w:rPr>
                <w:rFonts w:asciiTheme="majorBidi" w:hAnsiTheme="majorBidi" w:cstheme="majorBidi"/>
                <w:color w:val="000000" w:themeColor="text1"/>
              </w:rPr>
              <w:t xml:space="preserve"> = .65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- </w:t>
            </w:r>
            <w:r w:rsidRPr="00D46765">
              <w:rPr>
                <w:rFonts w:asciiTheme="majorBidi" w:hAnsiTheme="majorBidi" w:cstheme="majorBidi"/>
                <w:color w:val="000000" w:themeColor="text1"/>
              </w:rPr>
              <w:t>.99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&lt;EndNote&gt;&lt;Cite&gt;&lt;Author&gt;Muus&lt;/Author&gt;&lt;Year&gt;2007&lt;/Year&gt;&lt;RecNum&gt;2694&lt;/RecNum&gt;&lt;DisplayText&gt;(Muus et al., 2007)&lt;/DisplayText&gt;&lt;record&gt;&lt;rec-number&gt;2694&lt;/rec-number&gt;&lt;foreign-keys&gt;&lt;key app="EN" db-id="e2zedv2xyptd08efe0659tebe92rrrfezxre" timestamp="1646982247"&gt;2694&lt;/key&gt;&lt;/foreign-keys&gt;&lt;ref-type name="Journal Article"&gt;17&lt;/ref-type&gt;&lt;contributors&gt;&lt;authors&gt;&lt;author&gt;Muus, Ingrid&lt;/author&gt;&lt;author&gt;Williams, Linda S.&lt;/author&gt;&lt;author&gt;Ringsberg, Karin C.&lt;/author&gt;&lt;/authors&gt;&lt;/contributors&gt;&lt;titles&gt;&lt;title&gt;Validation of the Stroke Specific Quality of Life Scale (SS-QOL): test of reliability and validity of the Danish version (SS-QOL-DK)&lt;/title&gt;&lt;secondary-title&gt;Clinical Rehabilitation&lt;/secondary-title&gt;&lt;/titles&gt;&lt;periodical&gt;&lt;full-title&gt;Clinical Rehabilitation&lt;/full-title&gt;&lt;/periodical&gt;&lt;pages&gt;620-627&lt;/pages&gt;&lt;volume&gt;21&lt;/volume&gt;&lt;number&gt;7&lt;/number&gt;&lt;dates&gt;&lt;year&gt;2007&lt;/year&gt;&lt;pub-dates&gt;&lt;date&gt;2007/07/01&lt;/date&gt;&lt;/pub-dates&gt;&lt;/dates&gt;&lt;publisher&gt;SAGE Publications Ltd STM&lt;/publisher&gt;&lt;isbn&gt;0269-2155&lt;/isbn&gt;&lt;urls&gt;&lt;related-urls&gt;&lt;url&gt;https://doi.org/10.1177/0269215507075504&lt;/url&gt;&lt;/related-urls&gt;&lt;/urls&gt;&lt;electronic-resource-num&gt;10.1177/0269215507075504&lt;/electronic-resource-num&gt;&lt;access-date&gt;2022/03/10&lt;/access-date&gt;&lt;/record&gt;&lt;/Cite&gt;&lt;/EndNote&gt;</w:instrTex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(Muus et al., 2007)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B84F55" w:rsidRPr="003B498D" w14:paraId="5D893217" w14:textId="77777777" w:rsidTr="005B308C">
        <w:tc>
          <w:tcPr>
            <w:tcW w:w="2970" w:type="dxa"/>
          </w:tcPr>
          <w:p w14:paraId="55E2703C" w14:textId="331A579B" w:rsidR="00B84F55" w:rsidRPr="009C6EE4" w:rsidRDefault="00B84F55" w:rsidP="00B84F55">
            <w:pPr>
              <w:spacing w:line="480" w:lineRule="auto"/>
              <w:ind w:left="522"/>
              <w:rPr>
                <w:rFonts w:asciiTheme="majorBidi" w:hAnsiTheme="majorBidi" w:cstheme="majorBidi"/>
                <w:color w:val="000000" w:themeColor="text1"/>
              </w:rPr>
            </w:pPr>
            <w:r w:rsidRPr="009C6EE4">
              <w:rPr>
                <w:rFonts w:asciiTheme="majorBidi" w:hAnsiTheme="majorBidi" w:cstheme="majorBidi"/>
                <w:color w:val="000000" w:themeColor="text1"/>
              </w:rPr>
              <w:t>Validity:</w:t>
            </w:r>
          </w:p>
        </w:tc>
        <w:tc>
          <w:tcPr>
            <w:tcW w:w="5670" w:type="dxa"/>
          </w:tcPr>
          <w:p w14:paraId="6AF8956C" w14:textId="149FA1D0" w:rsidR="00B84F55" w:rsidRPr="009C6EE4" w:rsidRDefault="00B84F55" w:rsidP="00B84F55">
            <w:pPr>
              <w:spacing w:line="480" w:lineRule="auto"/>
              <w:ind w:left="-18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 xml:space="preserve">Discriminant validity established 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&lt;EndNote&gt;&lt;Cite&gt;&lt;Author&gt;Muus&lt;/Author&gt;&lt;Year&gt;2007&lt;/Year&gt;&lt;RecNum&gt;2694&lt;/RecNum&gt;&lt;DisplayText&gt;(Muus et al., 2007)&lt;/DisplayText&gt;&lt;record&gt;&lt;rec-number&gt;2694&lt;/rec-number&gt;&lt;foreign-keys&gt;&lt;key app="EN" db-id="e2zedv2xyptd08efe0659tebe92rrrfezxre" timestamp="1646982247"&gt;2694&lt;/key&gt;&lt;/foreign-keys&gt;&lt;ref-type name="Journal Article"&gt;17&lt;/ref-type&gt;&lt;contributors&gt;&lt;authors&gt;&lt;author&gt;Muus, Ingrid&lt;/author&gt;&lt;author&gt;Williams, Linda S.&lt;/author&gt;&lt;author&gt;Ringsberg, Karin C.&lt;/author&gt;&lt;/authors&gt;&lt;/contributors&gt;&lt;titles&gt;&lt;title&gt;Validation of the Stroke Specific Quality of Life Scale (SS-QOL): test of reliability and validity of the Danish version (SS-QOL-DK)&lt;/title&gt;&lt;secondary-title&gt;Clinical Rehabilitation&lt;/secondary-title&gt;&lt;/titles&gt;&lt;periodical&gt;&lt;full-title&gt;Clinical Rehabilitation&lt;/full-title&gt;&lt;/periodical&gt;&lt;pages&gt;620-627&lt;/pages&gt;&lt;volume&gt;21&lt;/volume&gt;&lt;number&gt;7&lt;/number&gt;&lt;dates&gt;&lt;year&gt;2007&lt;/year&gt;&lt;pub-dates&gt;&lt;date&gt;2007/07/01&lt;/date&gt;&lt;/pub-dates&gt;&lt;/dates&gt;&lt;publisher&gt;SAGE Publications Ltd STM&lt;/publisher&gt;&lt;isbn&gt;0269-2155&lt;/isbn&gt;&lt;urls&gt;&lt;related-urls&gt;&lt;url&gt;https://doi.org/10.1177/0269215507075504&lt;/url&gt;&lt;/related-urls&gt;&lt;/urls&gt;&lt;electronic-resource-num&gt;10.1177/0269215507075504&lt;/electronic-resource-num&gt;&lt;access-date&gt;2022/03/10&lt;/access-date&gt;&lt;/record&gt;&lt;/Cite&gt;&lt;/EndNote&gt;</w:instrTex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(Muus et al., 2007)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 w:rsidRPr="009C6EE4"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</w:tbl>
    <w:p w14:paraId="1F2E381B" w14:textId="77777777" w:rsidR="00F5585C" w:rsidRDefault="00F5585C"/>
    <w:p w14:paraId="4FD8754D" w14:textId="77777777" w:rsidR="00F5585C" w:rsidRDefault="00F5585C"/>
    <w:p w14:paraId="71BF2E1B" w14:textId="77777777" w:rsidR="003D5E7A" w:rsidRPr="003D5E7A" w:rsidRDefault="00F5585C" w:rsidP="003D5E7A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3D5E7A" w:rsidRPr="003D5E7A">
        <w:rPr>
          <w:noProof/>
        </w:rPr>
        <w:t xml:space="preserve">Beebe, J. A., &amp; Lang, C. E. (2009, Jun). Relationships and responsiveness of six upper extremity function tests during the first six months of recovery after stroke. </w:t>
      </w:r>
      <w:r w:rsidR="003D5E7A" w:rsidRPr="003D5E7A">
        <w:rPr>
          <w:i/>
          <w:noProof/>
        </w:rPr>
        <w:t>Journal of Neurologic Physical Therapy, 33</w:t>
      </w:r>
      <w:r w:rsidR="003D5E7A" w:rsidRPr="003D5E7A">
        <w:rPr>
          <w:noProof/>
        </w:rPr>
        <w:t xml:space="preserve">(2), 96-103. </w:t>
      </w:r>
      <w:hyperlink r:id="rId6" w:history="1">
        <w:r w:rsidR="003D5E7A" w:rsidRPr="003D5E7A">
          <w:rPr>
            <w:rStyle w:val="Hyperlink"/>
            <w:noProof/>
          </w:rPr>
          <w:t>https://doi.org/10.1097/NPT.0b013e3181a33638</w:t>
        </w:r>
      </w:hyperlink>
      <w:r w:rsidR="003D5E7A" w:rsidRPr="003D5E7A">
        <w:rPr>
          <w:noProof/>
        </w:rPr>
        <w:t xml:space="preserve"> </w:t>
      </w:r>
    </w:p>
    <w:p w14:paraId="3C519345" w14:textId="77777777" w:rsidR="003D5E7A" w:rsidRPr="003D5E7A" w:rsidRDefault="003D5E7A" w:rsidP="003D5E7A">
      <w:pPr>
        <w:pStyle w:val="EndNoteBibliography"/>
        <w:rPr>
          <w:noProof/>
        </w:rPr>
      </w:pPr>
    </w:p>
    <w:p w14:paraId="42C14C0C" w14:textId="30F26F7A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Berardi, A., Saffioti, M., Tofani, M., Nobilia, M., Culicchia, G., Valente, D., Servadio, A., &amp; Galeoto, G. (2019). Internal consistency and validity of the Jebsen-Taylor hand function test in an Italian population with hemiparesis. </w:t>
      </w:r>
      <w:r w:rsidRPr="003D5E7A">
        <w:rPr>
          <w:i/>
          <w:noProof/>
        </w:rPr>
        <w:t>NeuroRehabilitation, 45</w:t>
      </w:r>
      <w:r w:rsidRPr="003D5E7A">
        <w:rPr>
          <w:noProof/>
        </w:rPr>
        <w:t xml:space="preserve">(3), 331-339. </w:t>
      </w:r>
      <w:hyperlink r:id="rId7" w:history="1">
        <w:r w:rsidRPr="003D5E7A">
          <w:rPr>
            <w:rStyle w:val="Hyperlink"/>
            <w:noProof/>
          </w:rPr>
          <w:t>https://doi.org/10.3233/nre-192867</w:t>
        </w:r>
      </w:hyperlink>
      <w:r w:rsidRPr="003D5E7A">
        <w:rPr>
          <w:noProof/>
        </w:rPr>
        <w:t xml:space="preserve"> </w:t>
      </w:r>
    </w:p>
    <w:p w14:paraId="7147150A" w14:textId="77777777" w:rsidR="003D5E7A" w:rsidRPr="003D5E7A" w:rsidRDefault="003D5E7A" w:rsidP="003D5E7A">
      <w:pPr>
        <w:pStyle w:val="EndNoteBibliography"/>
        <w:rPr>
          <w:noProof/>
        </w:rPr>
      </w:pPr>
    </w:p>
    <w:p w14:paraId="29542941" w14:textId="7260C1C5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Chan, C. C. H., &amp; Lee, T. M. C. (2006). Validity of the Canadian occupational performance measure. </w:t>
      </w:r>
      <w:r w:rsidRPr="003D5E7A">
        <w:rPr>
          <w:i/>
          <w:noProof/>
        </w:rPr>
        <w:t>Occup Ther Int, 4</w:t>
      </w:r>
      <w:r w:rsidRPr="003D5E7A">
        <w:rPr>
          <w:noProof/>
        </w:rPr>
        <w:t xml:space="preserve">(3), 231-249. </w:t>
      </w:r>
      <w:hyperlink r:id="rId8" w:history="1">
        <w:r w:rsidRPr="003D5E7A">
          <w:rPr>
            <w:rStyle w:val="Hyperlink"/>
            <w:noProof/>
          </w:rPr>
          <w:t>https://doi.org/https://doi.org/10.1002/oti.58</w:t>
        </w:r>
      </w:hyperlink>
      <w:r w:rsidRPr="003D5E7A">
        <w:rPr>
          <w:noProof/>
        </w:rPr>
        <w:t xml:space="preserve"> </w:t>
      </w:r>
    </w:p>
    <w:p w14:paraId="766CFE76" w14:textId="77777777" w:rsidR="003D5E7A" w:rsidRPr="003D5E7A" w:rsidRDefault="003D5E7A" w:rsidP="003D5E7A">
      <w:pPr>
        <w:pStyle w:val="EndNoteBibliography"/>
        <w:rPr>
          <w:noProof/>
        </w:rPr>
      </w:pPr>
    </w:p>
    <w:p w14:paraId="1E336BB9" w14:textId="402BB86F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Cup, E. H. C., Scholte op Reimer, W. J. M., Thijssen, M. C. E., &amp; van Kuyk-Minis, M. A. H. (2003, 2003/06/01). Reliability and validity of the Canadian Occupat189ional Performance Measure in stroke patients. </w:t>
      </w:r>
      <w:r w:rsidRPr="003D5E7A">
        <w:rPr>
          <w:i/>
          <w:noProof/>
        </w:rPr>
        <w:t>Clinical Rehabilitation, 17</w:t>
      </w:r>
      <w:r w:rsidRPr="003D5E7A">
        <w:rPr>
          <w:noProof/>
        </w:rPr>
        <w:t xml:space="preserve">(4), 402-409. </w:t>
      </w:r>
      <w:hyperlink r:id="rId9" w:history="1">
        <w:r w:rsidRPr="003D5E7A">
          <w:rPr>
            <w:rStyle w:val="Hyperlink"/>
            <w:noProof/>
          </w:rPr>
          <w:t>https://doi.org/10.1191/0269215503cr635oa</w:t>
        </w:r>
      </w:hyperlink>
      <w:r w:rsidRPr="003D5E7A">
        <w:rPr>
          <w:noProof/>
        </w:rPr>
        <w:t xml:space="preserve"> </w:t>
      </w:r>
    </w:p>
    <w:p w14:paraId="7A16EBED" w14:textId="77777777" w:rsidR="003D5E7A" w:rsidRPr="003D5E7A" w:rsidRDefault="003D5E7A" w:rsidP="003D5E7A">
      <w:pPr>
        <w:pStyle w:val="EndNoteBibliography"/>
        <w:rPr>
          <w:noProof/>
        </w:rPr>
      </w:pPr>
    </w:p>
    <w:p w14:paraId="48445B62" w14:textId="77777777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Duncan, P. W., Bode, R. K., Min Lai, S., &amp; Perera, S. (2003). Rasch analysis of a new stroke-specific outcome scale: the Stroke Impact Scale. </w:t>
      </w:r>
      <w:r w:rsidRPr="003D5E7A">
        <w:rPr>
          <w:i/>
          <w:noProof/>
        </w:rPr>
        <w:t>Archives Of Physical Medicine And Rehabilitation, 84</w:t>
      </w:r>
      <w:r w:rsidRPr="003D5E7A">
        <w:rPr>
          <w:noProof/>
        </w:rPr>
        <w:t xml:space="preserve">(7), 950-963. </w:t>
      </w:r>
    </w:p>
    <w:p w14:paraId="234F243C" w14:textId="77777777" w:rsidR="003D5E7A" w:rsidRPr="003D5E7A" w:rsidRDefault="003D5E7A" w:rsidP="003D5E7A">
      <w:pPr>
        <w:pStyle w:val="EndNoteBibliography"/>
        <w:rPr>
          <w:noProof/>
        </w:rPr>
      </w:pPr>
    </w:p>
    <w:p w14:paraId="7CA69642" w14:textId="717772EF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Ekstrand, E., Lexell, J., &amp; Brogårdh, C. (2016, 2016/10/01/). Test−Retest Reliability and Convergent Validity of Three Manual Dexterity Measures in Persons With Chronic Stroke. </w:t>
      </w:r>
      <w:r w:rsidRPr="003D5E7A">
        <w:rPr>
          <w:i/>
          <w:noProof/>
        </w:rPr>
        <w:t>PM&amp;R, 8</w:t>
      </w:r>
      <w:r w:rsidRPr="003D5E7A">
        <w:rPr>
          <w:noProof/>
        </w:rPr>
        <w:t xml:space="preserve">(10), 935-943. </w:t>
      </w:r>
      <w:hyperlink r:id="rId10" w:history="1">
        <w:r w:rsidRPr="003D5E7A">
          <w:rPr>
            <w:rStyle w:val="Hyperlink"/>
            <w:noProof/>
          </w:rPr>
          <w:t>https://doi.org/https://doi.org/10.1016/j.pmrj.2016.02.014</w:t>
        </w:r>
      </w:hyperlink>
      <w:r w:rsidRPr="003D5E7A">
        <w:rPr>
          <w:noProof/>
        </w:rPr>
        <w:t xml:space="preserve"> </w:t>
      </w:r>
    </w:p>
    <w:p w14:paraId="1AA004C6" w14:textId="77777777" w:rsidR="003D5E7A" w:rsidRPr="003D5E7A" w:rsidRDefault="003D5E7A" w:rsidP="003D5E7A">
      <w:pPr>
        <w:pStyle w:val="EndNoteBibliography"/>
        <w:rPr>
          <w:noProof/>
        </w:rPr>
      </w:pPr>
    </w:p>
    <w:p w14:paraId="12AA758E" w14:textId="77777777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Fugl-Meyer, A. R., Jääskö, L., Leyman, I., Olsson, S., &amp; Steglind, S. (1975). The post-stroke hemiplegic patient. 1. a method for evaluation of physical performance. </w:t>
      </w:r>
      <w:r w:rsidRPr="003D5E7A">
        <w:rPr>
          <w:i/>
          <w:noProof/>
        </w:rPr>
        <w:t>Scandinavian journal of rehabilitation medicine, 7</w:t>
      </w:r>
      <w:r w:rsidRPr="003D5E7A">
        <w:rPr>
          <w:noProof/>
        </w:rPr>
        <w:t xml:space="preserve">(1), 13-31. </w:t>
      </w:r>
    </w:p>
    <w:p w14:paraId="50ABD7C6" w14:textId="77777777" w:rsidR="003D5E7A" w:rsidRPr="003D5E7A" w:rsidRDefault="003D5E7A" w:rsidP="003D5E7A">
      <w:pPr>
        <w:pStyle w:val="EndNoteBibliography"/>
        <w:rPr>
          <w:noProof/>
        </w:rPr>
      </w:pPr>
    </w:p>
    <w:p w14:paraId="192C62A2" w14:textId="7A3506F1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Hammer, A. M., &amp; Lindmark, B. (2010, 2010/01/01). Responsiveness and validity of the Motor Activity Log in patients during the subacute phase after stroke. </w:t>
      </w:r>
      <w:r w:rsidRPr="003D5E7A">
        <w:rPr>
          <w:i/>
          <w:noProof/>
        </w:rPr>
        <w:t>Disability And Rehabilitation, 32</w:t>
      </w:r>
      <w:r w:rsidRPr="003D5E7A">
        <w:rPr>
          <w:noProof/>
        </w:rPr>
        <w:t xml:space="preserve">(14), 1184-1193. </w:t>
      </w:r>
      <w:hyperlink r:id="rId11" w:history="1">
        <w:r w:rsidRPr="003D5E7A">
          <w:rPr>
            <w:rStyle w:val="Hyperlink"/>
            <w:noProof/>
          </w:rPr>
          <w:t>https://doi.org/10.3109/09638280903437253</w:t>
        </w:r>
      </w:hyperlink>
      <w:r w:rsidRPr="003D5E7A">
        <w:rPr>
          <w:noProof/>
        </w:rPr>
        <w:t xml:space="preserve"> </w:t>
      </w:r>
    </w:p>
    <w:p w14:paraId="1D7AADCC" w14:textId="77777777" w:rsidR="003D5E7A" w:rsidRPr="003D5E7A" w:rsidRDefault="003D5E7A" w:rsidP="003D5E7A">
      <w:pPr>
        <w:pStyle w:val="EndNoteBibliography"/>
        <w:rPr>
          <w:noProof/>
        </w:rPr>
      </w:pPr>
    </w:p>
    <w:p w14:paraId="1670E6FE" w14:textId="77777777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Jebsen, R. H., Taylor, N., Trieschmann, R., Trotter, M. J., &amp; Howard, L. A. (1969). An objective and standardized test of hand function. </w:t>
      </w:r>
      <w:r w:rsidRPr="003D5E7A">
        <w:rPr>
          <w:i/>
          <w:noProof/>
        </w:rPr>
        <w:t>Archives Of Physical Medicine And Rehabilitation, 50</w:t>
      </w:r>
      <w:r w:rsidRPr="003D5E7A">
        <w:rPr>
          <w:noProof/>
        </w:rPr>
        <w:t xml:space="preserve">(6), 311. </w:t>
      </w:r>
    </w:p>
    <w:p w14:paraId="1A6628C0" w14:textId="77777777" w:rsidR="003D5E7A" w:rsidRPr="003D5E7A" w:rsidRDefault="003D5E7A" w:rsidP="003D5E7A">
      <w:pPr>
        <w:pStyle w:val="EndNoteBibliography"/>
        <w:rPr>
          <w:noProof/>
        </w:rPr>
      </w:pPr>
    </w:p>
    <w:p w14:paraId="2769556A" w14:textId="77777777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Klymenko, G., Liu, K. P., Bissett, M., Fong, K. N., Welage, N., &amp; Wong, R. S. (2018). Development and initial validity of the in‐hand manipulation assessment. </w:t>
      </w:r>
      <w:r w:rsidRPr="003D5E7A">
        <w:rPr>
          <w:i/>
          <w:noProof/>
        </w:rPr>
        <w:t>Australian Occupational Therapy Journal</w:t>
      </w:r>
      <w:r w:rsidRPr="003D5E7A">
        <w:rPr>
          <w:noProof/>
        </w:rPr>
        <w:t xml:space="preserve">. </w:t>
      </w:r>
    </w:p>
    <w:p w14:paraId="5729A50C" w14:textId="77777777" w:rsidR="003D5E7A" w:rsidRPr="003D5E7A" w:rsidRDefault="003D5E7A" w:rsidP="003D5E7A">
      <w:pPr>
        <w:pStyle w:val="EndNoteBibliography"/>
        <w:rPr>
          <w:noProof/>
        </w:rPr>
      </w:pPr>
    </w:p>
    <w:p w14:paraId="7BBF2D3C" w14:textId="77777777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lastRenderedPageBreak/>
        <w:t xml:space="preserve">Law, M. C., Baptiste, S., Carswell, A., McColl, M. A., Polatajko, H., &amp; Pollock, N. (1998). </w:t>
      </w:r>
      <w:r w:rsidRPr="003D5E7A">
        <w:rPr>
          <w:i/>
          <w:noProof/>
        </w:rPr>
        <w:t>Canadian occupational performance measure</w:t>
      </w:r>
      <w:r w:rsidRPr="003D5E7A">
        <w:rPr>
          <w:noProof/>
        </w:rPr>
        <w:t xml:space="preserve">. Canadian Association of Occupational Therapists Ottawa ON. </w:t>
      </w:r>
    </w:p>
    <w:p w14:paraId="167BC7E4" w14:textId="77777777" w:rsidR="003D5E7A" w:rsidRPr="003D5E7A" w:rsidRDefault="003D5E7A" w:rsidP="003D5E7A">
      <w:pPr>
        <w:pStyle w:val="EndNoteBibliography"/>
        <w:rPr>
          <w:noProof/>
        </w:rPr>
      </w:pPr>
    </w:p>
    <w:p w14:paraId="724465F8" w14:textId="77777777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Lawton, M. P., &amp; Brody, E. M. (1969). Assessment of older people: self-maintaining and instrumental activities of daily living. </w:t>
      </w:r>
      <w:r w:rsidRPr="003D5E7A">
        <w:rPr>
          <w:i/>
          <w:noProof/>
        </w:rPr>
        <w:t>The gerontologist, 9</w:t>
      </w:r>
      <w:r w:rsidRPr="003D5E7A">
        <w:rPr>
          <w:noProof/>
        </w:rPr>
        <w:t xml:space="preserve">(3_Part_1), 179-186. </w:t>
      </w:r>
    </w:p>
    <w:p w14:paraId="008F7BD3" w14:textId="77777777" w:rsidR="003D5E7A" w:rsidRPr="003D5E7A" w:rsidRDefault="003D5E7A" w:rsidP="003D5E7A">
      <w:pPr>
        <w:pStyle w:val="EndNoteBibliography"/>
        <w:rPr>
          <w:noProof/>
        </w:rPr>
      </w:pPr>
    </w:p>
    <w:p w14:paraId="750ECDCD" w14:textId="77777777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Mathiowetz, V., Weber, K., Kashman, N., &amp; Volland, G. (1985). Adult norms for the nine hole peg test of finger dexterity. </w:t>
      </w:r>
      <w:r w:rsidRPr="003D5E7A">
        <w:rPr>
          <w:i/>
          <w:noProof/>
        </w:rPr>
        <w:t>OTJR: Occupation, Participation and Health, 5</w:t>
      </w:r>
      <w:r w:rsidRPr="003D5E7A">
        <w:rPr>
          <w:noProof/>
        </w:rPr>
        <w:t xml:space="preserve">(1), 24-38. </w:t>
      </w:r>
    </w:p>
    <w:p w14:paraId="3D527E19" w14:textId="77777777" w:rsidR="003D5E7A" w:rsidRPr="003D5E7A" w:rsidRDefault="003D5E7A" w:rsidP="003D5E7A">
      <w:pPr>
        <w:pStyle w:val="EndNoteBibliography"/>
        <w:rPr>
          <w:noProof/>
        </w:rPr>
      </w:pPr>
    </w:p>
    <w:p w14:paraId="7C35BC66" w14:textId="2F954721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Muus, I., Williams, L. S., &amp; Ringsberg, K. C. (2007, 2007/07/01). Validation of the Stroke Specific Quality of Life Scale (SS-QOL): test of reliability and validity of the Danish version (SS-QOL-DK). </w:t>
      </w:r>
      <w:r w:rsidRPr="003D5E7A">
        <w:rPr>
          <w:i/>
          <w:noProof/>
        </w:rPr>
        <w:t>Clinical Rehabilitation, 21</w:t>
      </w:r>
      <w:r w:rsidRPr="003D5E7A">
        <w:rPr>
          <w:noProof/>
        </w:rPr>
        <w:t xml:space="preserve">(7), 620-627. </w:t>
      </w:r>
      <w:hyperlink r:id="rId12" w:history="1">
        <w:r w:rsidRPr="003D5E7A">
          <w:rPr>
            <w:rStyle w:val="Hyperlink"/>
            <w:noProof/>
          </w:rPr>
          <w:t>https://doi.org/10.1177/0269215507075504</w:t>
        </w:r>
      </w:hyperlink>
      <w:r w:rsidRPr="003D5E7A">
        <w:rPr>
          <w:noProof/>
        </w:rPr>
        <w:t xml:space="preserve"> </w:t>
      </w:r>
    </w:p>
    <w:p w14:paraId="1DFECD6A" w14:textId="77777777" w:rsidR="003D5E7A" w:rsidRPr="003D5E7A" w:rsidRDefault="003D5E7A" w:rsidP="003D5E7A">
      <w:pPr>
        <w:pStyle w:val="EndNoteBibliography"/>
        <w:rPr>
          <w:noProof/>
        </w:rPr>
      </w:pPr>
    </w:p>
    <w:p w14:paraId="397D9A5A" w14:textId="10EE7E7A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Pereira, N. D., Ovando, A. C., Michaelsen, S. M., Anjos, S. M., Lima, R. C., Nascimento, L. R., &amp; Teixeira-Salmela, L. F. (2012, Mar). Motor Activity Log-Brazil: reliability and relationships with motor impairments in individuals with chronic stroke. </w:t>
      </w:r>
      <w:r w:rsidRPr="003D5E7A">
        <w:rPr>
          <w:i/>
          <w:noProof/>
        </w:rPr>
        <w:t>Arq Neuropsiquiatr, 70</w:t>
      </w:r>
      <w:r w:rsidRPr="003D5E7A">
        <w:rPr>
          <w:noProof/>
        </w:rPr>
        <w:t xml:space="preserve">(3), 196-201. </w:t>
      </w:r>
      <w:hyperlink r:id="rId13" w:history="1">
        <w:r w:rsidRPr="003D5E7A">
          <w:rPr>
            <w:rStyle w:val="Hyperlink"/>
            <w:noProof/>
          </w:rPr>
          <w:t>https://doi.org/10.1590/s0004-282x2012000300008</w:t>
        </w:r>
      </w:hyperlink>
      <w:r w:rsidRPr="003D5E7A">
        <w:rPr>
          <w:noProof/>
        </w:rPr>
        <w:t xml:space="preserve"> </w:t>
      </w:r>
    </w:p>
    <w:p w14:paraId="200E89B8" w14:textId="77777777" w:rsidR="003D5E7A" w:rsidRPr="003D5E7A" w:rsidRDefault="003D5E7A" w:rsidP="003D5E7A">
      <w:pPr>
        <w:pStyle w:val="EndNoteBibliography"/>
        <w:rPr>
          <w:noProof/>
        </w:rPr>
      </w:pPr>
    </w:p>
    <w:p w14:paraId="793BFDD2" w14:textId="3B2A4F5C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Platz, T., Pinkowski, C., van Wijck, F., Kim, I.-H., di Bella, P., &amp; Johnson, G. (2005). Reliability and validity of arm function assessment with standardized guidelines for the Fugl-Meyer Test, Action Research Arm Test and Box and Block Test: a multicentre study. </w:t>
      </w:r>
      <w:r w:rsidRPr="003D5E7A">
        <w:rPr>
          <w:i/>
          <w:noProof/>
        </w:rPr>
        <w:t>Clinical Rehabilitation, 19</w:t>
      </w:r>
      <w:r w:rsidRPr="003D5E7A">
        <w:rPr>
          <w:noProof/>
        </w:rPr>
        <w:t xml:space="preserve">(4), 404-411. </w:t>
      </w:r>
      <w:hyperlink r:id="rId14" w:history="1">
        <w:r w:rsidRPr="003D5E7A">
          <w:rPr>
            <w:rStyle w:val="Hyperlink"/>
            <w:noProof/>
          </w:rPr>
          <w:t>https://doi.org/10.1191/0269215505cr832oa</w:t>
        </w:r>
      </w:hyperlink>
      <w:r w:rsidRPr="003D5E7A">
        <w:rPr>
          <w:noProof/>
        </w:rPr>
        <w:t xml:space="preserve"> </w:t>
      </w:r>
    </w:p>
    <w:p w14:paraId="51502CA4" w14:textId="77777777" w:rsidR="003D5E7A" w:rsidRPr="003D5E7A" w:rsidRDefault="003D5E7A" w:rsidP="003D5E7A">
      <w:pPr>
        <w:pStyle w:val="EndNoteBibliography"/>
        <w:rPr>
          <w:noProof/>
        </w:rPr>
      </w:pPr>
    </w:p>
    <w:p w14:paraId="5D5825D6" w14:textId="32CC0BC3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Tong, A. Y. C., &amp; Man, D. W. K. (2002, 2002/10/01). The Validation of the Hong Kong Chinese Version of the Lawton Instrumental Activities of Daily Living Scale for Institutionalized Elderly Persons. </w:t>
      </w:r>
      <w:r w:rsidRPr="003D5E7A">
        <w:rPr>
          <w:i/>
          <w:noProof/>
        </w:rPr>
        <w:t>OTJR: Occupation, Participation and Health, 22</w:t>
      </w:r>
      <w:r w:rsidRPr="003D5E7A">
        <w:rPr>
          <w:noProof/>
        </w:rPr>
        <w:t xml:space="preserve">(4), 132-142. </w:t>
      </w:r>
      <w:hyperlink r:id="rId15" w:history="1">
        <w:r w:rsidRPr="003D5E7A">
          <w:rPr>
            <w:rStyle w:val="Hyperlink"/>
            <w:noProof/>
          </w:rPr>
          <w:t>https://doi.org/10.1177/153944920202200402</w:t>
        </w:r>
      </w:hyperlink>
      <w:r w:rsidRPr="003D5E7A">
        <w:rPr>
          <w:noProof/>
        </w:rPr>
        <w:t xml:space="preserve"> </w:t>
      </w:r>
    </w:p>
    <w:p w14:paraId="205AB518" w14:textId="77777777" w:rsidR="003D5E7A" w:rsidRPr="003D5E7A" w:rsidRDefault="003D5E7A" w:rsidP="003D5E7A">
      <w:pPr>
        <w:pStyle w:val="EndNoteBibliography"/>
        <w:rPr>
          <w:noProof/>
        </w:rPr>
      </w:pPr>
    </w:p>
    <w:p w14:paraId="232A9B43" w14:textId="77777777" w:rsidR="003D5E7A" w:rsidRPr="003D5E7A" w:rsidRDefault="003D5E7A" w:rsidP="003D5E7A">
      <w:pPr>
        <w:pStyle w:val="EndNoteBibliography"/>
        <w:ind w:left="720" w:hanging="720"/>
        <w:rPr>
          <w:noProof/>
        </w:rPr>
      </w:pPr>
      <w:r w:rsidRPr="003D5E7A">
        <w:rPr>
          <w:noProof/>
        </w:rPr>
        <w:t xml:space="preserve">Williams, L. S., Weinberger, M., Harris, L. E., Clark, D. O., &amp; Biller, J. (1999). Development of a stroke-specific quality of life scale. </w:t>
      </w:r>
      <w:r w:rsidRPr="003D5E7A">
        <w:rPr>
          <w:i/>
          <w:noProof/>
        </w:rPr>
        <w:t>Stroke, 30</w:t>
      </w:r>
      <w:r w:rsidRPr="003D5E7A">
        <w:rPr>
          <w:noProof/>
        </w:rPr>
        <w:t xml:space="preserve">(7), 1362-1369. </w:t>
      </w:r>
    </w:p>
    <w:p w14:paraId="0AACC517" w14:textId="77777777" w:rsidR="003D5E7A" w:rsidRPr="003D5E7A" w:rsidRDefault="003D5E7A" w:rsidP="003D5E7A">
      <w:pPr>
        <w:pStyle w:val="EndNoteBibliography"/>
        <w:rPr>
          <w:noProof/>
        </w:rPr>
      </w:pPr>
    </w:p>
    <w:p w14:paraId="755FAB50" w14:textId="34931C2D" w:rsidR="00F5585C" w:rsidRPr="00F5585C" w:rsidRDefault="00F5585C">
      <w:r>
        <w:fldChar w:fldCharType="end"/>
      </w:r>
    </w:p>
    <w:sectPr w:rsidR="00F5585C" w:rsidRPr="00F5585C" w:rsidSect="00784BBA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3744A6"/>
    <w:multiLevelType w:val="hybridMultilevel"/>
    <w:tmpl w:val="40626228"/>
    <w:lvl w:ilvl="0" w:tplc="FB56C380">
      <w:start w:val="1"/>
      <w:numFmt w:val="bullet"/>
      <w:pStyle w:val="APAList-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2zedv2xyptd08efe0659tebe92rrrfezxre&quot;&gt;Main data base - 30.03.2017 SYS REV-Converted&lt;record-ids&gt;&lt;item&gt;761&lt;/item&gt;&lt;item&gt;1036&lt;/item&gt;&lt;item&gt;1039&lt;/item&gt;&lt;item&gt;1061&lt;/item&gt;&lt;item&gt;1062&lt;/item&gt;&lt;item&gt;2600&lt;/item&gt;&lt;item&gt;2602&lt;/item&gt;&lt;item&gt;2604&lt;/item&gt;&lt;item&gt;2684&lt;/item&gt;&lt;item&gt;2685&lt;/item&gt;&lt;item&gt;2686&lt;/item&gt;&lt;item&gt;2687&lt;/item&gt;&lt;item&gt;2688&lt;/item&gt;&lt;item&gt;2689&lt;/item&gt;&lt;item&gt;2691&lt;/item&gt;&lt;item&gt;2692&lt;/item&gt;&lt;item&gt;2693&lt;/item&gt;&lt;item&gt;2694&lt;/item&gt;&lt;/record-ids&gt;&lt;/item&gt;&lt;/Libraries&gt;"/>
  </w:docVars>
  <w:rsids>
    <w:rsidRoot w:val="00F5585C"/>
    <w:rsid w:val="00001C25"/>
    <w:rsid w:val="00005377"/>
    <w:rsid w:val="00007C12"/>
    <w:rsid w:val="0001210B"/>
    <w:rsid w:val="00012A00"/>
    <w:rsid w:val="00012A1A"/>
    <w:rsid w:val="00014A88"/>
    <w:rsid w:val="00016DB9"/>
    <w:rsid w:val="00017313"/>
    <w:rsid w:val="00017BC4"/>
    <w:rsid w:val="00020D74"/>
    <w:rsid w:val="0002498A"/>
    <w:rsid w:val="00036269"/>
    <w:rsid w:val="00042247"/>
    <w:rsid w:val="000462C4"/>
    <w:rsid w:val="000527BC"/>
    <w:rsid w:val="000545BC"/>
    <w:rsid w:val="00054A32"/>
    <w:rsid w:val="0006452B"/>
    <w:rsid w:val="00064793"/>
    <w:rsid w:val="000648A4"/>
    <w:rsid w:val="00064F81"/>
    <w:rsid w:val="00070F77"/>
    <w:rsid w:val="00074ECD"/>
    <w:rsid w:val="0007680E"/>
    <w:rsid w:val="00081086"/>
    <w:rsid w:val="00092D6B"/>
    <w:rsid w:val="00092E37"/>
    <w:rsid w:val="00093633"/>
    <w:rsid w:val="00095DEF"/>
    <w:rsid w:val="000A04AA"/>
    <w:rsid w:val="000A0851"/>
    <w:rsid w:val="000A6C75"/>
    <w:rsid w:val="000B41CA"/>
    <w:rsid w:val="000B51BD"/>
    <w:rsid w:val="000C64A7"/>
    <w:rsid w:val="000D1D3B"/>
    <w:rsid w:val="000D3782"/>
    <w:rsid w:val="000D39A8"/>
    <w:rsid w:val="000E09D1"/>
    <w:rsid w:val="000E2236"/>
    <w:rsid w:val="000F542B"/>
    <w:rsid w:val="001011AE"/>
    <w:rsid w:val="0010601B"/>
    <w:rsid w:val="00110E4E"/>
    <w:rsid w:val="00112177"/>
    <w:rsid w:val="0011240E"/>
    <w:rsid w:val="0011490D"/>
    <w:rsid w:val="00117C3B"/>
    <w:rsid w:val="00130129"/>
    <w:rsid w:val="00130C28"/>
    <w:rsid w:val="001334E9"/>
    <w:rsid w:val="00141ABF"/>
    <w:rsid w:val="00141F56"/>
    <w:rsid w:val="00143C67"/>
    <w:rsid w:val="001540F8"/>
    <w:rsid w:val="00155096"/>
    <w:rsid w:val="0015537D"/>
    <w:rsid w:val="00161DCC"/>
    <w:rsid w:val="00170B4C"/>
    <w:rsid w:val="001725A6"/>
    <w:rsid w:val="00180FF6"/>
    <w:rsid w:val="001874DC"/>
    <w:rsid w:val="00194754"/>
    <w:rsid w:val="0019719D"/>
    <w:rsid w:val="00197453"/>
    <w:rsid w:val="00197A0C"/>
    <w:rsid w:val="001A084D"/>
    <w:rsid w:val="001A4323"/>
    <w:rsid w:val="001A5034"/>
    <w:rsid w:val="001B0AEB"/>
    <w:rsid w:val="001B135E"/>
    <w:rsid w:val="001B1C9E"/>
    <w:rsid w:val="001B29C9"/>
    <w:rsid w:val="001B62C5"/>
    <w:rsid w:val="001C301E"/>
    <w:rsid w:val="001C655E"/>
    <w:rsid w:val="001D085B"/>
    <w:rsid w:val="001D09ED"/>
    <w:rsid w:val="001D1867"/>
    <w:rsid w:val="001D2F70"/>
    <w:rsid w:val="001D6016"/>
    <w:rsid w:val="001E0393"/>
    <w:rsid w:val="001E3248"/>
    <w:rsid w:val="001F1D46"/>
    <w:rsid w:val="001F3110"/>
    <w:rsid w:val="001F4032"/>
    <w:rsid w:val="001F789B"/>
    <w:rsid w:val="002168FE"/>
    <w:rsid w:val="00225B47"/>
    <w:rsid w:val="00230D2A"/>
    <w:rsid w:val="00234E5F"/>
    <w:rsid w:val="00243910"/>
    <w:rsid w:val="00243DAD"/>
    <w:rsid w:val="00244842"/>
    <w:rsid w:val="00245BCC"/>
    <w:rsid w:val="00245EC9"/>
    <w:rsid w:val="00250000"/>
    <w:rsid w:val="002548EB"/>
    <w:rsid w:val="00254C02"/>
    <w:rsid w:val="00255063"/>
    <w:rsid w:val="00255228"/>
    <w:rsid w:val="00257FF4"/>
    <w:rsid w:val="00261C90"/>
    <w:rsid w:val="00261DBA"/>
    <w:rsid w:val="0026375E"/>
    <w:rsid w:val="002653EA"/>
    <w:rsid w:val="00265DFB"/>
    <w:rsid w:val="00267B58"/>
    <w:rsid w:val="00271020"/>
    <w:rsid w:val="00273CAC"/>
    <w:rsid w:val="00276C0B"/>
    <w:rsid w:val="002778F7"/>
    <w:rsid w:val="00280891"/>
    <w:rsid w:val="00281375"/>
    <w:rsid w:val="00282D09"/>
    <w:rsid w:val="00290F49"/>
    <w:rsid w:val="00292FA1"/>
    <w:rsid w:val="0029545E"/>
    <w:rsid w:val="00297EA4"/>
    <w:rsid w:val="002A070D"/>
    <w:rsid w:val="002A6778"/>
    <w:rsid w:val="002B153A"/>
    <w:rsid w:val="002B49C7"/>
    <w:rsid w:val="002C50FB"/>
    <w:rsid w:val="002C55D9"/>
    <w:rsid w:val="002C5D7B"/>
    <w:rsid w:val="002F5905"/>
    <w:rsid w:val="002F71E9"/>
    <w:rsid w:val="003025D7"/>
    <w:rsid w:val="00302D4E"/>
    <w:rsid w:val="00303C0D"/>
    <w:rsid w:val="00311308"/>
    <w:rsid w:val="003160A9"/>
    <w:rsid w:val="0031715E"/>
    <w:rsid w:val="00317CA1"/>
    <w:rsid w:val="003223D7"/>
    <w:rsid w:val="00325514"/>
    <w:rsid w:val="00330604"/>
    <w:rsid w:val="00330AB4"/>
    <w:rsid w:val="0033447D"/>
    <w:rsid w:val="003349CD"/>
    <w:rsid w:val="003365B6"/>
    <w:rsid w:val="00342CEA"/>
    <w:rsid w:val="00342DA0"/>
    <w:rsid w:val="003452FD"/>
    <w:rsid w:val="00347C24"/>
    <w:rsid w:val="00347F93"/>
    <w:rsid w:val="00350038"/>
    <w:rsid w:val="003534DE"/>
    <w:rsid w:val="00355B77"/>
    <w:rsid w:val="003567B6"/>
    <w:rsid w:val="00357B76"/>
    <w:rsid w:val="00366621"/>
    <w:rsid w:val="00371468"/>
    <w:rsid w:val="003717C0"/>
    <w:rsid w:val="00377762"/>
    <w:rsid w:val="003777CE"/>
    <w:rsid w:val="0039183C"/>
    <w:rsid w:val="0039566F"/>
    <w:rsid w:val="00395B41"/>
    <w:rsid w:val="00396B9F"/>
    <w:rsid w:val="003A0079"/>
    <w:rsid w:val="003A3832"/>
    <w:rsid w:val="003A76B1"/>
    <w:rsid w:val="003B0B41"/>
    <w:rsid w:val="003C2C79"/>
    <w:rsid w:val="003C3DEB"/>
    <w:rsid w:val="003C4735"/>
    <w:rsid w:val="003C7F49"/>
    <w:rsid w:val="003D31F8"/>
    <w:rsid w:val="003D3B7C"/>
    <w:rsid w:val="003D5E7A"/>
    <w:rsid w:val="003E152A"/>
    <w:rsid w:val="003E1E07"/>
    <w:rsid w:val="003E493E"/>
    <w:rsid w:val="003E7456"/>
    <w:rsid w:val="003F4141"/>
    <w:rsid w:val="0040317A"/>
    <w:rsid w:val="00405CA8"/>
    <w:rsid w:val="00413A4E"/>
    <w:rsid w:val="00415675"/>
    <w:rsid w:val="00416A60"/>
    <w:rsid w:val="004179E3"/>
    <w:rsid w:val="00417EAC"/>
    <w:rsid w:val="004219C6"/>
    <w:rsid w:val="0043406D"/>
    <w:rsid w:val="004370C4"/>
    <w:rsid w:val="00442255"/>
    <w:rsid w:val="00443AA4"/>
    <w:rsid w:val="004512E8"/>
    <w:rsid w:val="00452C20"/>
    <w:rsid w:val="00453FBE"/>
    <w:rsid w:val="00455D43"/>
    <w:rsid w:val="00455F8B"/>
    <w:rsid w:val="00461433"/>
    <w:rsid w:val="00463A44"/>
    <w:rsid w:val="004641DC"/>
    <w:rsid w:val="00466086"/>
    <w:rsid w:val="0046628C"/>
    <w:rsid w:val="00470607"/>
    <w:rsid w:val="00473207"/>
    <w:rsid w:val="00485F98"/>
    <w:rsid w:val="00486361"/>
    <w:rsid w:val="004A219A"/>
    <w:rsid w:val="004A30F4"/>
    <w:rsid w:val="004A4304"/>
    <w:rsid w:val="004A5B0A"/>
    <w:rsid w:val="004B0999"/>
    <w:rsid w:val="004B270E"/>
    <w:rsid w:val="004B4F98"/>
    <w:rsid w:val="004C0EC1"/>
    <w:rsid w:val="004C284D"/>
    <w:rsid w:val="004C5399"/>
    <w:rsid w:val="004C540E"/>
    <w:rsid w:val="004D1FDD"/>
    <w:rsid w:val="004E021F"/>
    <w:rsid w:val="004E18F8"/>
    <w:rsid w:val="004E3CDE"/>
    <w:rsid w:val="004E40C1"/>
    <w:rsid w:val="004E445E"/>
    <w:rsid w:val="004E62ED"/>
    <w:rsid w:val="004F011E"/>
    <w:rsid w:val="004F09EA"/>
    <w:rsid w:val="004F2191"/>
    <w:rsid w:val="00501232"/>
    <w:rsid w:val="005015EE"/>
    <w:rsid w:val="00502E5D"/>
    <w:rsid w:val="00504EF0"/>
    <w:rsid w:val="005117CE"/>
    <w:rsid w:val="00526688"/>
    <w:rsid w:val="005317F5"/>
    <w:rsid w:val="005329F3"/>
    <w:rsid w:val="00534A65"/>
    <w:rsid w:val="0054553A"/>
    <w:rsid w:val="00550F95"/>
    <w:rsid w:val="00552194"/>
    <w:rsid w:val="005545B3"/>
    <w:rsid w:val="00563D82"/>
    <w:rsid w:val="00573BFE"/>
    <w:rsid w:val="005750CD"/>
    <w:rsid w:val="0057662B"/>
    <w:rsid w:val="00581BD0"/>
    <w:rsid w:val="00581CF0"/>
    <w:rsid w:val="00590338"/>
    <w:rsid w:val="00590ACB"/>
    <w:rsid w:val="00592683"/>
    <w:rsid w:val="005955AF"/>
    <w:rsid w:val="005A0680"/>
    <w:rsid w:val="005A296D"/>
    <w:rsid w:val="005A4D11"/>
    <w:rsid w:val="005A57D4"/>
    <w:rsid w:val="005B0744"/>
    <w:rsid w:val="005C0A03"/>
    <w:rsid w:val="005C3756"/>
    <w:rsid w:val="005C5256"/>
    <w:rsid w:val="005D07E7"/>
    <w:rsid w:val="005D27EE"/>
    <w:rsid w:val="005D330D"/>
    <w:rsid w:val="005D7F80"/>
    <w:rsid w:val="005E5CA4"/>
    <w:rsid w:val="005E6BEC"/>
    <w:rsid w:val="005F2308"/>
    <w:rsid w:val="005F53CF"/>
    <w:rsid w:val="005F7D5D"/>
    <w:rsid w:val="006106E0"/>
    <w:rsid w:val="0061739D"/>
    <w:rsid w:val="00632232"/>
    <w:rsid w:val="00643B8D"/>
    <w:rsid w:val="00643EFA"/>
    <w:rsid w:val="006522BE"/>
    <w:rsid w:val="00654B08"/>
    <w:rsid w:val="00656FA2"/>
    <w:rsid w:val="006702AE"/>
    <w:rsid w:val="00673D3C"/>
    <w:rsid w:val="00675BD2"/>
    <w:rsid w:val="00676286"/>
    <w:rsid w:val="00677AD7"/>
    <w:rsid w:val="00677D25"/>
    <w:rsid w:val="00681AE7"/>
    <w:rsid w:val="006931D8"/>
    <w:rsid w:val="006960E0"/>
    <w:rsid w:val="006A6150"/>
    <w:rsid w:val="006B3DE1"/>
    <w:rsid w:val="006B62B5"/>
    <w:rsid w:val="006C0BFB"/>
    <w:rsid w:val="006C2936"/>
    <w:rsid w:val="006C2C06"/>
    <w:rsid w:val="006C4F50"/>
    <w:rsid w:val="006C537F"/>
    <w:rsid w:val="006D372B"/>
    <w:rsid w:val="006D457F"/>
    <w:rsid w:val="006D611A"/>
    <w:rsid w:val="006E0CF5"/>
    <w:rsid w:val="006E2F80"/>
    <w:rsid w:val="006E66B8"/>
    <w:rsid w:val="006E73C0"/>
    <w:rsid w:val="006F167D"/>
    <w:rsid w:val="006F208F"/>
    <w:rsid w:val="006F33D8"/>
    <w:rsid w:val="006F3948"/>
    <w:rsid w:val="006F4257"/>
    <w:rsid w:val="0070091D"/>
    <w:rsid w:val="00702480"/>
    <w:rsid w:val="00703569"/>
    <w:rsid w:val="0071403D"/>
    <w:rsid w:val="00723E1D"/>
    <w:rsid w:val="00727EF3"/>
    <w:rsid w:val="0073089A"/>
    <w:rsid w:val="0073368C"/>
    <w:rsid w:val="0073486B"/>
    <w:rsid w:val="0073519F"/>
    <w:rsid w:val="007409D5"/>
    <w:rsid w:val="0074217B"/>
    <w:rsid w:val="007528CA"/>
    <w:rsid w:val="00753EE3"/>
    <w:rsid w:val="007557ED"/>
    <w:rsid w:val="007560C7"/>
    <w:rsid w:val="00762BAC"/>
    <w:rsid w:val="0076525D"/>
    <w:rsid w:val="007653E0"/>
    <w:rsid w:val="007669D6"/>
    <w:rsid w:val="00770C37"/>
    <w:rsid w:val="0077758A"/>
    <w:rsid w:val="007828E5"/>
    <w:rsid w:val="00784BBA"/>
    <w:rsid w:val="00787E31"/>
    <w:rsid w:val="0079426D"/>
    <w:rsid w:val="00796B4F"/>
    <w:rsid w:val="00797A29"/>
    <w:rsid w:val="007A4710"/>
    <w:rsid w:val="007B61A8"/>
    <w:rsid w:val="007C2B9E"/>
    <w:rsid w:val="007C58E8"/>
    <w:rsid w:val="007C6061"/>
    <w:rsid w:val="007C6F77"/>
    <w:rsid w:val="007D17CC"/>
    <w:rsid w:val="007D19FF"/>
    <w:rsid w:val="007D5F75"/>
    <w:rsid w:val="007D798F"/>
    <w:rsid w:val="007E0710"/>
    <w:rsid w:val="007E36F6"/>
    <w:rsid w:val="007E463A"/>
    <w:rsid w:val="007E60F6"/>
    <w:rsid w:val="007E76DC"/>
    <w:rsid w:val="007F0E01"/>
    <w:rsid w:val="007F7541"/>
    <w:rsid w:val="007F7D79"/>
    <w:rsid w:val="008013BE"/>
    <w:rsid w:val="00801B18"/>
    <w:rsid w:val="00807639"/>
    <w:rsid w:val="00813048"/>
    <w:rsid w:val="00817D92"/>
    <w:rsid w:val="008214D7"/>
    <w:rsid w:val="008236E9"/>
    <w:rsid w:val="00825BA6"/>
    <w:rsid w:val="00826A05"/>
    <w:rsid w:val="00832C69"/>
    <w:rsid w:val="008331F7"/>
    <w:rsid w:val="00833CEB"/>
    <w:rsid w:val="00837E3E"/>
    <w:rsid w:val="00845F45"/>
    <w:rsid w:val="00851334"/>
    <w:rsid w:val="008517E5"/>
    <w:rsid w:val="008537FB"/>
    <w:rsid w:val="00854347"/>
    <w:rsid w:val="0086025F"/>
    <w:rsid w:val="00862D2B"/>
    <w:rsid w:val="00866E94"/>
    <w:rsid w:val="0087159F"/>
    <w:rsid w:val="00881DA7"/>
    <w:rsid w:val="00883601"/>
    <w:rsid w:val="00890F94"/>
    <w:rsid w:val="00891262"/>
    <w:rsid w:val="00893DDD"/>
    <w:rsid w:val="008971A3"/>
    <w:rsid w:val="008A0883"/>
    <w:rsid w:val="008A0BB2"/>
    <w:rsid w:val="008A56BC"/>
    <w:rsid w:val="008B14FD"/>
    <w:rsid w:val="008B30F5"/>
    <w:rsid w:val="008B38B3"/>
    <w:rsid w:val="008B5355"/>
    <w:rsid w:val="008B544B"/>
    <w:rsid w:val="008C0038"/>
    <w:rsid w:val="008D21B4"/>
    <w:rsid w:val="008D5A2F"/>
    <w:rsid w:val="008D6FAF"/>
    <w:rsid w:val="008D7F3C"/>
    <w:rsid w:val="008E1C10"/>
    <w:rsid w:val="008E35C1"/>
    <w:rsid w:val="008E40F9"/>
    <w:rsid w:val="008E44A0"/>
    <w:rsid w:val="008E48EE"/>
    <w:rsid w:val="008E6860"/>
    <w:rsid w:val="008E7BC5"/>
    <w:rsid w:val="008F14D2"/>
    <w:rsid w:val="008F6CC7"/>
    <w:rsid w:val="008F7B69"/>
    <w:rsid w:val="00906071"/>
    <w:rsid w:val="00921EDA"/>
    <w:rsid w:val="00924EA9"/>
    <w:rsid w:val="00927BB4"/>
    <w:rsid w:val="0093277D"/>
    <w:rsid w:val="00940031"/>
    <w:rsid w:val="0094377D"/>
    <w:rsid w:val="00947BD1"/>
    <w:rsid w:val="009504ED"/>
    <w:rsid w:val="0095158F"/>
    <w:rsid w:val="00955BCD"/>
    <w:rsid w:val="00960738"/>
    <w:rsid w:val="00962314"/>
    <w:rsid w:val="00963915"/>
    <w:rsid w:val="009655AA"/>
    <w:rsid w:val="00966C25"/>
    <w:rsid w:val="00970B5E"/>
    <w:rsid w:val="009739C8"/>
    <w:rsid w:val="00975549"/>
    <w:rsid w:val="009758FC"/>
    <w:rsid w:val="009767EA"/>
    <w:rsid w:val="009778FE"/>
    <w:rsid w:val="00981BD9"/>
    <w:rsid w:val="009952FD"/>
    <w:rsid w:val="0099533D"/>
    <w:rsid w:val="00997377"/>
    <w:rsid w:val="009A0321"/>
    <w:rsid w:val="009A4101"/>
    <w:rsid w:val="009A6C4F"/>
    <w:rsid w:val="009A71BF"/>
    <w:rsid w:val="009B5DE3"/>
    <w:rsid w:val="009C18C3"/>
    <w:rsid w:val="009D543E"/>
    <w:rsid w:val="009E56A5"/>
    <w:rsid w:val="009F27BE"/>
    <w:rsid w:val="009F7DAA"/>
    <w:rsid w:val="00A03138"/>
    <w:rsid w:val="00A06ACD"/>
    <w:rsid w:val="00A12762"/>
    <w:rsid w:val="00A24C23"/>
    <w:rsid w:val="00A36241"/>
    <w:rsid w:val="00A419B0"/>
    <w:rsid w:val="00A41AFA"/>
    <w:rsid w:val="00A43AAD"/>
    <w:rsid w:val="00A45887"/>
    <w:rsid w:val="00A47AA1"/>
    <w:rsid w:val="00A5129F"/>
    <w:rsid w:val="00A52916"/>
    <w:rsid w:val="00A574CA"/>
    <w:rsid w:val="00A63386"/>
    <w:rsid w:val="00A72E30"/>
    <w:rsid w:val="00A73FA0"/>
    <w:rsid w:val="00A76B05"/>
    <w:rsid w:val="00A8307E"/>
    <w:rsid w:val="00A84A05"/>
    <w:rsid w:val="00A874F5"/>
    <w:rsid w:val="00AA3C9C"/>
    <w:rsid w:val="00AA6F2C"/>
    <w:rsid w:val="00AB10FF"/>
    <w:rsid w:val="00AB701A"/>
    <w:rsid w:val="00AC3779"/>
    <w:rsid w:val="00AC7269"/>
    <w:rsid w:val="00AC755A"/>
    <w:rsid w:val="00AD1B1B"/>
    <w:rsid w:val="00AD34AD"/>
    <w:rsid w:val="00AD46F5"/>
    <w:rsid w:val="00AD77CC"/>
    <w:rsid w:val="00AE2E7A"/>
    <w:rsid w:val="00AE4BC7"/>
    <w:rsid w:val="00AE74E0"/>
    <w:rsid w:val="00AF06F6"/>
    <w:rsid w:val="00AF4574"/>
    <w:rsid w:val="00AF4659"/>
    <w:rsid w:val="00B0148C"/>
    <w:rsid w:val="00B02A1B"/>
    <w:rsid w:val="00B03846"/>
    <w:rsid w:val="00B03A82"/>
    <w:rsid w:val="00B03A88"/>
    <w:rsid w:val="00B054BE"/>
    <w:rsid w:val="00B06842"/>
    <w:rsid w:val="00B1125A"/>
    <w:rsid w:val="00B11B92"/>
    <w:rsid w:val="00B11BC3"/>
    <w:rsid w:val="00B126F6"/>
    <w:rsid w:val="00B167F4"/>
    <w:rsid w:val="00B22580"/>
    <w:rsid w:val="00B22682"/>
    <w:rsid w:val="00B2675C"/>
    <w:rsid w:val="00B276DD"/>
    <w:rsid w:val="00B46762"/>
    <w:rsid w:val="00B46FE5"/>
    <w:rsid w:val="00B52249"/>
    <w:rsid w:val="00B61559"/>
    <w:rsid w:val="00B63F05"/>
    <w:rsid w:val="00B70F36"/>
    <w:rsid w:val="00B714C1"/>
    <w:rsid w:val="00B73221"/>
    <w:rsid w:val="00B75AE3"/>
    <w:rsid w:val="00B80E57"/>
    <w:rsid w:val="00B83C27"/>
    <w:rsid w:val="00B84F55"/>
    <w:rsid w:val="00B856C5"/>
    <w:rsid w:val="00B87886"/>
    <w:rsid w:val="00B90CF0"/>
    <w:rsid w:val="00B92944"/>
    <w:rsid w:val="00B94307"/>
    <w:rsid w:val="00B94BF0"/>
    <w:rsid w:val="00BA1CEE"/>
    <w:rsid w:val="00BA3F96"/>
    <w:rsid w:val="00BB0BDC"/>
    <w:rsid w:val="00BB10D9"/>
    <w:rsid w:val="00BB1440"/>
    <w:rsid w:val="00BB38C6"/>
    <w:rsid w:val="00BB3D2C"/>
    <w:rsid w:val="00BB4B2F"/>
    <w:rsid w:val="00BB5B01"/>
    <w:rsid w:val="00BC5DC7"/>
    <w:rsid w:val="00BD5BF9"/>
    <w:rsid w:val="00BD6A17"/>
    <w:rsid w:val="00BE39AF"/>
    <w:rsid w:val="00BE64F1"/>
    <w:rsid w:val="00BF1FDB"/>
    <w:rsid w:val="00BF40AF"/>
    <w:rsid w:val="00BF4534"/>
    <w:rsid w:val="00BF5981"/>
    <w:rsid w:val="00C00FC4"/>
    <w:rsid w:val="00C01438"/>
    <w:rsid w:val="00C05E23"/>
    <w:rsid w:val="00C129BE"/>
    <w:rsid w:val="00C15A43"/>
    <w:rsid w:val="00C15CEF"/>
    <w:rsid w:val="00C15ED5"/>
    <w:rsid w:val="00C165B8"/>
    <w:rsid w:val="00C171A4"/>
    <w:rsid w:val="00C17476"/>
    <w:rsid w:val="00C21037"/>
    <w:rsid w:val="00C21896"/>
    <w:rsid w:val="00C2297C"/>
    <w:rsid w:val="00C258B4"/>
    <w:rsid w:val="00C26184"/>
    <w:rsid w:val="00C329A8"/>
    <w:rsid w:val="00C33E48"/>
    <w:rsid w:val="00C4319B"/>
    <w:rsid w:val="00C466A4"/>
    <w:rsid w:val="00C46837"/>
    <w:rsid w:val="00C4759A"/>
    <w:rsid w:val="00C56DED"/>
    <w:rsid w:val="00C571D9"/>
    <w:rsid w:val="00C63A10"/>
    <w:rsid w:val="00C66E6D"/>
    <w:rsid w:val="00C67CE1"/>
    <w:rsid w:val="00C71994"/>
    <w:rsid w:val="00C73A09"/>
    <w:rsid w:val="00C74072"/>
    <w:rsid w:val="00C75C08"/>
    <w:rsid w:val="00C82E06"/>
    <w:rsid w:val="00C83D0A"/>
    <w:rsid w:val="00C95572"/>
    <w:rsid w:val="00CA3312"/>
    <w:rsid w:val="00CA45B6"/>
    <w:rsid w:val="00CB0DA9"/>
    <w:rsid w:val="00CB163F"/>
    <w:rsid w:val="00CB2A70"/>
    <w:rsid w:val="00CC1610"/>
    <w:rsid w:val="00CC3842"/>
    <w:rsid w:val="00CD621B"/>
    <w:rsid w:val="00CE1E7A"/>
    <w:rsid w:val="00CE499E"/>
    <w:rsid w:val="00CF10FF"/>
    <w:rsid w:val="00CF1C5D"/>
    <w:rsid w:val="00CF2B9A"/>
    <w:rsid w:val="00D0032A"/>
    <w:rsid w:val="00D0264F"/>
    <w:rsid w:val="00D06E26"/>
    <w:rsid w:val="00D079EF"/>
    <w:rsid w:val="00D07A8A"/>
    <w:rsid w:val="00D1614A"/>
    <w:rsid w:val="00D20999"/>
    <w:rsid w:val="00D21DAB"/>
    <w:rsid w:val="00D224FD"/>
    <w:rsid w:val="00D22993"/>
    <w:rsid w:val="00D364A4"/>
    <w:rsid w:val="00D43EBA"/>
    <w:rsid w:val="00D44820"/>
    <w:rsid w:val="00D46765"/>
    <w:rsid w:val="00D468F9"/>
    <w:rsid w:val="00D47C7E"/>
    <w:rsid w:val="00D54457"/>
    <w:rsid w:val="00D65C7B"/>
    <w:rsid w:val="00D65D4C"/>
    <w:rsid w:val="00D7236B"/>
    <w:rsid w:val="00D7502D"/>
    <w:rsid w:val="00D808DB"/>
    <w:rsid w:val="00D87199"/>
    <w:rsid w:val="00D87A46"/>
    <w:rsid w:val="00D90C54"/>
    <w:rsid w:val="00D9294F"/>
    <w:rsid w:val="00D953EB"/>
    <w:rsid w:val="00D97201"/>
    <w:rsid w:val="00D97AB5"/>
    <w:rsid w:val="00DA0029"/>
    <w:rsid w:val="00DA1E85"/>
    <w:rsid w:val="00DA5162"/>
    <w:rsid w:val="00DB6288"/>
    <w:rsid w:val="00DE14B2"/>
    <w:rsid w:val="00DE24E2"/>
    <w:rsid w:val="00DE2734"/>
    <w:rsid w:val="00DE2C12"/>
    <w:rsid w:val="00DE5DC5"/>
    <w:rsid w:val="00DF1BE4"/>
    <w:rsid w:val="00DF570D"/>
    <w:rsid w:val="00DF5E64"/>
    <w:rsid w:val="00DF6CE1"/>
    <w:rsid w:val="00E13B8C"/>
    <w:rsid w:val="00E15C52"/>
    <w:rsid w:val="00E16407"/>
    <w:rsid w:val="00E17F14"/>
    <w:rsid w:val="00E230B2"/>
    <w:rsid w:val="00E25AB8"/>
    <w:rsid w:val="00E269C0"/>
    <w:rsid w:val="00E321B5"/>
    <w:rsid w:val="00E3413E"/>
    <w:rsid w:val="00E41149"/>
    <w:rsid w:val="00E415C5"/>
    <w:rsid w:val="00E41E8C"/>
    <w:rsid w:val="00E46E76"/>
    <w:rsid w:val="00E513B4"/>
    <w:rsid w:val="00E51A5F"/>
    <w:rsid w:val="00E52F01"/>
    <w:rsid w:val="00E602C7"/>
    <w:rsid w:val="00E60669"/>
    <w:rsid w:val="00E60AEF"/>
    <w:rsid w:val="00E63938"/>
    <w:rsid w:val="00E64C62"/>
    <w:rsid w:val="00E6688E"/>
    <w:rsid w:val="00E704E6"/>
    <w:rsid w:val="00E7256E"/>
    <w:rsid w:val="00E75DD5"/>
    <w:rsid w:val="00E805B2"/>
    <w:rsid w:val="00E82596"/>
    <w:rsid w:val="00E86D09"/>
    <w:rsid w:val="00E922A1"/>
    <w:rsid w:val="00EA2136"/>
    <w:rsid w:val="00EA3B76"/>
    <w:rsid w:val="00EA44AC"/>
    <w:rsid w:val="00EA68C1"/>
    <w:rsid w:val="00EA6F6C"/>
    <w:rsid w:val="00EB429F"/>
    <w:rsid w:val="00EC00D3"/>
    <w:rsid w:val="00EC4D76"/>
    <w:rsid w:val="00EC5047"/>
    <w:rsid w:val="00EC5DDE"/>
    <w:rsid w:val="00EC5F5E"/>
    <w:rsid w:val="00EC71F8"/>
    <w:rsid w:val="00ED065A"/>
    <w:rsid w:val="00ED3319"/>
    <w:rsid w:val="00EE446C"/>
    <w:rsid w:val="00EF017E"/>
    <w:rsid w:val="00EF0DE7"/>
    <w:rsid w:val="00EF0E57"/>
    <w:rsid w:val="00EF6EDB"/>
    <w:rsid w:val="00F02AD2"/>
    <w:rsid w:val="00F062A1"/>
    <w:rsid w:val="00F06625"/>
    <w:rsid w:val="00F06FFF"/>
    <w:rsid w:val="00F11552"/>
    <w:rsid w:val="00F2394D"/>
    <w:rsid w:val="00F25866"/>
    <w:rsid w:val="00F3144A"/>
    <w:rsid w:val="00F37CFB"/>
    <w:rsid w:val="00F4011C"/>
    <w:rsid w:val="00F45F02"/>
    <w:rsid w:val="00F47A0C"/>
    <w:rsid w:val="00F51410"/>
    <w:rsid w:val="00F5585C"/>
    <w:rsid w:val="00F57B91"/>
    <w:rsid w:val="00F624E3"/>
    <w:rsid w:val="00F642AF"/>
    <w:rsid w:val="00F65A80"/>
    <w:rsid w:val="00F70B3C"/>
    <w:rsid w:val="00F8157A"/>
    <w:rsid w:val="00F91142"/>
    <w:rsid w:val="00F918B9"/>
    <w:rsid w:val="00F9208E"/>
    <w:rsid w:val="00FB1D49"/>
    <w:rsid w:val="00FB2FFA"/>
    <w:rsid w:val="00FC7156"/>
    <w:rsid w:val="00FC7FDB"/>
    <w:rsid w:val="00FD0224"/>
    <w:rsid w:val="00FD53AE"/>
    <w:rsid w:val="00FD55DD"/>
    <w:rsid w:val="00FD6453"/>
    <w:rsid w:val="00FD7346"/>
    <w:rsid w:val="00FE40E2"/>
    <w:rsid w:val="00FE7BC6"/>
    <w:rsid w:val="00FF2828"/>
    <w:rsid w:val="00FF569F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63CD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BodyText">
    <w:name w:val="APA Body Text"/>
    <w:link w:val="APABodyTextChar"/>
    <w:qFormat/>
    <w:rsid w:val="00F5585C"/>
    <w:pPr>
      <w:spacing w:line="480" w:lineRule="auto"/>
      <w:ind w:firstLine="720"/>
    </w:pPr>
    <w:rPr>
      <w:rFonts w:ascii="Times New Roman" w:eastAsia="Times New Roman" w:hAnsi="Times New Roman" w:cs="Times New Roman"/>
      <w:lang w:val="en-AU" w:eastAsia="en-US"/>
    </w:rPr>
  </w:style>
  <w:style w:type="character" w:customStyle="1" w:styleId="APABodyTextChar">
    <w:name w:val="APA Body Text Char"/>
    <w:basedOn w:val="DefaultParagraphFont"/>
    <w:link w:val="APABodyText"/>
    <w:rsid w:val="00F5585C"/>
    <w:rPr>
      <w:rFonts w:ascii="Times New Roman" w:eastAsia="Times New Roman" w:hAnsi="Times New Roman" w:cs="Times New Roman"/>
      <w:lang w:val="en-AU" w:eastAsia="en-US"/>
    </w:rPr>
  </w:style>
  <w:style w:type="paragraph" w:customStyle="1" w:styleId="APAList-Bullets">
    <w:name w:val="APA List - Bullets"/>
    <w:link w:val="APAList-BulletsChar"/>
    <w:qFormat/>
    <w:rsid w:val="00F5585C"/>
    <w:pPr>
      <w:numPr>
        <w:numId w:val="1"/>
      </w:numPr>
      <w:spacing w:line="480" w:lineRule="auto"/>
    </w:pPr>
    <w:rPr>
      <w:rFonts w:ascii="Times New Roman" w:eastAsia="Times New Roman" w:hAnsi="Times New Roman" w:cs="Times New Roman"/>
      <w:lang w:val="en-AU" w:eastAsia="en-US"/>
    </w:rPr>
  </w:style>
  <w:style w:type="character" w:customStyle="1" w:styleId="APAList-BulletsChar">
    <w:name w:val="APA List - Bullets Char"/>
    <w:basedOn w:val="APABodyTextChar"/>
    <w:link w:val="APAList-Bullets"/>
    <w:rsid w:val="00F5585C"/>
    <w:rPr>
      <w:rFonts w:ascii="Times New Roman" w:eastAsia="Times New Roman" w:hAnsi="Times New Roman" w:cs="Times New Roman"/>
      <w:lang w:val="en-AU" w:eastAsia="en-US"/>
    </w:rPr>
  </w:style>
  <w:style w:type="table" w:styleId="TableGrid">
    <w:name w:val="Table Grid"/>
    <w:basedOn w:val="TableNormal"/>
    <w:uiPriority w:val="39"/>
    <w:rsid w:val="00F5585C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5585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n-GB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585C"/>
    <w:rPr>
      <w:rFonts w:eastAsiaTheme="minorHAnsi"/>
      <w:sz w:val="22"/>
      <w:szCs w:val="22"/>
      <w:lang w:val="en-GB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F5585C"/>
    <w:pPr>
      <w:jc w:val="center"/>
    </w:pPr>
    <w:rPr>
      <w:rFonts w:ascii="Calibri" w:hAnsi="Calibri"/>
    </w:rPr>
  </w:style>
  <w:style w:type="character" w:customStyle="1" w:styleId="EndNoteBibliographyTitleChar">
    <w:name w:val="EndNote Bibliography Title Char"/>
    <w:basedOn w:val="APAList-BulletsChar"/>
    <w:link w:val="EndNoteBibliographyTitle"/>
    <w:rsid w:val="00F5585C"/>
    <w:rPr>
      <w:rFonts w:ascii="Calibri" w:eastAsia="Times New Roman" w:hAnsi="Calibri" w:cs="Times New Roman"/>
      <w:lang w:val="en-AU" w:eastAsia="en-US"/>
    </w:rPr>
  </w:style>
  <w:style w:type="paragraph" w:customStyle="1" w:styleId="EndNoteBibliography">
    <w:name w:val="EndNote Bibliography"/>
    <w:basedOn w:val="Normal"/>
    <w:link w:val="EndNoteBibliographyChar"/>
    <w:rsid w:val="00F5585C"/>
    <w:rPr>
      <w:rFonts w:ascii="Calibri" w:hAnsi="Calibri"/>
    </w:rPr>
  </w:style>
  <w:style w:type="character" w:customStyle="1" w:styleId="EndNoteBibliographyChar">
    <w:name w:val="EndNote Bibliography Char"/>
    <w:basedOn w:val="APAList-BulletsChar"/>
    <w:link w:val="EndNoteBibliography"/>
    <w:rsid w:val="00F5585C"/>
    <w:rPr>
      <w:rFonts w:ascii="Calibri" w:eastAsia="Times New Roman" w:hAnsi="Calibri" w:cs="Times New Roman"/>
      <w:lang w:val="en-AU" w:eastAsia="en-US"/>
    </w:rPr>
  </w:style>
  <w:style w:type="character" w:styleId="Hyperlink">
    <w:name w:val="Hyperlink"/>
    <w:basedOn w:val="DefaultParagraphFont"/>
    <w:uiPriority w:val="99"/>
    <w:unhideWhenUsed/>
    <w:rsid w:val="00F5585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F5585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BodyText">
    <w:name w:val="APA Body Text"/>
    <w:link w:val="APABodyTextChar"/>
    <w:qFormat/>
    <w:rsid w:val="00F5585C"/>
    <w:pPr>
      <w:spacing w:line="480" w:lineRule="auto"/>
      <w:ind w:firstLine="720"/>
    </w:pPr>
    <w:rPr>
      <w:rFonts w:ascii="Times New Roman" w:eastAsia="Times New Roman" w:hAnsi="Times New Roman" w:cs="Times New Roman"/>
      <w:lang w:val="en-AU" w:eastAsia="en-US"/>
    </w:rPr>
  </w:style>
  <w:style w:type="character" w:customStyle="1" w:styleId="APABodyTextChar">
    <w:name w:val="APA Body Text Char"/>
    <w:basedOn w:val="DefaultParagraphFont"/>
    <w:link w:val="APABodyText"/>
    <w:rsid w:val="00F5585C"/>
    <w:rPr>
      <w:rFonts w:ascii="Times New Roman" w:eastAsia="Times New Roman" w:hAnsi="Times New Roman" w:cs="Times New Roman"/>
      <w:lang w:val="en-AU" w:eastAsia="en-US"/>
    </w:rPr>
  </w:style>
  <w:style w:type="paragraph" w:customStyle="1" w:styleId="APAList-Bullets">
    <w:name w:val="APA List - Bullets"/>
    <w:link w:val="APAList-BulletsChar"/>
    <w:qFormat/>
    <w:rsid w:val="00F5585C"/>
    <w:pPr>
      <w:numPr>
        <w:numId w:val="1"/>
      </w:numPr>
      <w:spacing w:line="480" w:lineRule="auto"/>
    </w:pPr>
    <w:rPr>
      <w:rFonts w:ascii="Times New Roman" w:eastAsia="Times New Roman" w:hAnsi="Times New Roman" w:cs="Times New Roman"/>
      <w:lang w:val="en-AU" w:eastAsia="en-US"/>
    </w:rPr>
  </w:style>
  <w:style w:type="character" w:customStyle="1" w:styleId="APAList-BulletsChar">
    <w:name w:val="APA List - Bullets Char"/>
    <w:basedOn w:val="APABodyTextChar"/>
    <w:link w:val="APAList-Bullets"/>
    <w:rsid w:val="00F5585C"/>
    <w:rPr>
      <w:rFonts w:ascii="Times New Roman" w:eastAsia="Times New Roman" w:hAnsi="Times New Roman" w:cs="Times New Roman"/>
      <w:lang w:val="en-AU" w:eastAsia="en-US"/>
    </w:rPr>
  </w:style>
  <w:style w:type="table" w:styleId="TableGrid">
    <w:name w:val="Table Grid"/>
    <w:basedOn w:val="TableNormal"/>
    <w:uiPriority w:val="39"/>
    <w:rsid w:val="00F5585C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5585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n-GB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585C"/>
    <w:rPr>
      <w:rFonts w:eastAsiaTheme="minorHAnsi"/>
      <w:sz w:val="22"/>
      <w:szCs w:val="22"/>
      <w:lang w:val="en-GB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F5585C"/>
    <w:pPr>
      <w:jc w:val="center"/>
    </w:pPr>
    <w:rPr>
      <w:rFonts w:ascii="Calibri" w:hAnsi="Calibri"/>
    </w:rPr>
  </w:style>
  <w:style w:type="character" w:customStyle="1" w:styleId="EndNoteBibliographyTitleChar">
    <w:name w:val="EndNote Bibliography Title Char"/>
    <w:basedOn w:val="APAList-BulletsChar"/>
    <w:link w:val="EndNoteBibliographyTitle"/>
    <w:rsid w:val="00F5585C"/>
    <w:rPr>
      <w:rFonts w:ascii="Calibri" w:eastAsia="Times New Roman" w:hAnsi="Calibri" w:cs="Times New Roman"/>
      <w:lang w:val="en-AU" w:eastAsia="en-US"/>
    </w:rPr>
  </w:style>
  <w:style w:type="paragraph" w:customStyle="1" w:styleId="EndNoteBibliography">
    <w:name w:val="EndNote Bibliography"/>
    <w:basedOn w:val="Normal"/>
    <w:link w:val="EndNoteBibliographyChar"/>
    <w:rsid w:val="00F5585C"/>
    <w:rPr>
      <w:rFonts w:ascii="Calibri" w:hAnsi="Calibri"/>
    </w:rPr>
  </w:style>
  <w:style w:type="character" w:customStyle="1" w:styleId="EndNoteBibliographyChar">
    <w:name w:val="EndNote Bibliography Char"/>
    <w:basedOn w:val="APAList-BulletsChar"/>
    <w:link w:val="EndNoteBibliography"/>
    <w:rsid w:val="00F5585C"/>
    <w:rPr>
      <w:rFonts w:ascii="Calibri" w:eastAsia="Times New Roman" w:hAnsi="Calibri" w:cs="Times New Roman"/>
      <w:lang w:val="en-AU" w:eastAsia="en-US"/>
    </w:rPr>
  </w:style>
  <w:style w:type="character" w:styleId="Hyperlink">
    <w:name w:val="Hyperlink"/>
    <w:basedOn w:val="DefaultParagraphFont"/>
    <w:uiPriority w:val="99"/>
    <w:unhideWhenUsed/>
    <w:rsid w:val="00F5585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F558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https://doi.org/10.1002/oti.58" TargetMode="External"/><Relationship Id="rId13" Type="http://schemas.openxmlformats.org/officeDocument/2006/relationships/hyperlink" Target="https://doi.org/10.1590/s0004-282x201200030000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3233/nre-192867" TargetMode="External"/><Relationship Id="rId12" Type="http://schemas.openxmlformats.org/officeDocument/2006/relationships/hyperlink" Target="https://doi.org/10.1177/026921550707550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i.org/10.1097/NPT.0b013e3181a33638" TargetMode="External"/><Relationship Id="rId11" Type="http://schemas.openxmlformats.org/officeDocument/2006/relationships/hyperlink" Target="https://doi.org/10.3109/0963828090343725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177/153944920202200402" TargetMode="External"/><Relationship Id="rId10" Type="http://schemas.openxmlformats.org/officeDocument/2006/relationships/hyperlink" Target="https://doi.org/https://doi.org/10.1016/j.pmrj.2016.02.0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91/0269215503cr635oa" TargetMode="External"/><Relationship Id="rId14" Type="http://schemas.openxmlformats.org/officeDocument/2006/relationships/hyperlink" Target="https://doi.org/10.1191/0269215505cr832o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5272</Words>
  <Characters>30057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Liu</dc:creator>
  <cp:keywords/>
  <dc:description/>
  <cp:lastModifiedBy>Maria Teresa Marcilone</cp:lastModifiedBy>
  <cp:revision>5</cp:revision>
  <dcterms:created xsi:type="dcterms:W3CDTF">2022-03-11T04:35:00Z</dcterms:created>
  <dcterms:modified xsi:type="dcterms:W3CDTF">2023-02-20T04:46:00Z</dcterms:modified>
</cp:coreProperties>
</file>