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940E6" w14:textId="07396C2E" w:rsidR="006C7B40" w:rsidRDefault="006C7B40" w:rsidP="00380387">
      <w:pPr>
        <w:pStyle w:val="Paragraph"/>
      </w:pPr>
      <w:r w:rsidRPr="000230A1">
        <w:t>Prior to psmatch2 being executed, a</w:t>
      </w:r>
      <w:r>
        <w:t xml:space="preserve">n </w:t>
      </w:r>
      <w:r w:rsidRPr="000230A1">
        <w:t xml:space="preserve">estimate of the treatment effect was carried out on STATA version 17 to identify any differences between the study groups </w:t>
      </w:r>
      <w:r>
        <w:fldChar w:fldCharType="begin"/>
      </w:r>
      <w:r>
        <w:instrText xml:space="preserve"> ADDIN EN.CITE &lt;EndNote&gt;&lt;Cite&gt;&lt;Author&gt;StataCorp&lt;/Author&gt;&lt;Year&gt;2021&lt;/Year&gt;&lt;RecNum&gt;437&lt;/RecNum&gt;&lt;DisplayText&gt;(18)&lt;/DisplayText&gt;&lt;record&gt;&lt;rec-number&gt;437&lt;/rec-number&gt;&lt;foreign-keys&gt;&lt;key app="EN" db-id="59afsr0wa2d0v1exdd4vate4fzs5wp2zavxx" timestamp="1721234104"&gt;437&lt;/key&gt;&lt;/foreign-keys&gt;&lt;ref-type name="Computer Program"&gt;9&lt;/ref-type&gt;&lt;contributors&gt;&lt;authors&gt;&lt;author&gt;StataCorp,&lt;/author&gt;&lt;/authors&gt;&lt;/contributors&gt;&lt;titles&gt;&lt;title&gt;Stata Statistical Software: Release 17&lt;/title&gt;&lt;/titles&gt;&lt;dates&gt;&lt;year&gt;2021&lt;/year&gt;&lt;/dates&gt;&lt;pub-location&gt;College Station, TX&lt;/pub-location&gt;&lt;publisher&gt;SataCorp LLC&lt;/publisher&gt;&lt;urls&gt;&lt;/urls&gt;&lt;/record&gt;&lt;/Cite&gt;&lt;/EndNote&gt;</w:instrText>
      </w:r>
      <w:r>
        <w:fldChar w:fldCharType="separate"/>
      </w:r>
      <w:r>
        <w:rPr>
          <w:noProof/>
        </w:rPr>
        <w:t>(18)</w:t>
      </w:r>
      <w:r>
        <w:fldChar w:fldCharType="end"/>
      </w:r>
      <w:r w:rsidRPr="000230A1">
        <w:t xml:space="preserve">. A </w:t>
      </w:r>
      <w:r>
        <w:t>two-sample</w:t>
      </w:r>
      <w:r w:rsidRPr="000230A1">
        <w:t xml:space="preserve"> t-test was carried out to compare the mean value of each outcome between participants in the traditional and outdoor </w:t>
      </w:r>
      <w:r>
        <w:t>ECEC</w:t>
      </w:r>
      <w:r w:rsidRPr="000230A1">
        <w:t xml:space="preserve"> settings. Since the traditional and outdoor </w:t>
      </w:r>
      <w:r>
        <w:t>ECEC</w:t>
      </w:r>
      <w:r w:rsidRPr="000230A1">
        <w:t xml:space="preserve"> models had similar sample sizes, these were used as the independent variables. Data from the satellite model was not due to its much smaller sample size</w:t>
      </w:r>
      <w:r>
        <w:t>. There was no significant difference between the balance scores (p = 0.98) of children in the outdoor and traditional ECEC settings.</w:t>
      </w:r>
    </w:p>
    <w:p w14:paraId="249A1DEA" w14:textId="5DDB661D" w:rsidR="00FC793A" w:rsidRDefault="006C7B40">
      <w:r>
        <w:t>Results from psmatch2 with balance (PGMQS) as outcome of interest</w:t>
      </w:r>
      <w:r w:rsidRPr="003F44D3">
        <w:rPr>
          <w:noProof/>
        </w:rPr>
        <w:drawing>
          <wp:inline distT="0" distB="0" distL="0" distR="0" wp14:anchorId="3818F478" wp14:editId="306780ED">
            <wp:extent cx="5396865" cy="4778164"/>
            <wp:effectExtent l="19050" t="19050" r="13335" b="22860"/>
            <wp:docPr id="162464377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643772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47781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FC79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40"/>
    <w:rsid w:val="003213D0"/>
    <w:rsid w:val="00380387"/>
    <w:rsid w:val="00393818"/>
    <w:rsid w:val="006C7B40"/>
    <w:rsid w:val="009C282A"/>
    <w:rsid w:val="00F50F8C"/>
    <w:rsid w:val="00FC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D4DB6"/>
  <w15:chartTrackingRefBased/>
  <w15:docId w15:val="{0D071EBC-BA98-4FE8-BFA8-2B742E6F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B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B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7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7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B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B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B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B4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next w:val="Normal"/>
    <w:link w:val="ParagraphChar"/>
    <w:qFormat/>
    <w:rsid w:val="006C7B40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ParagraphChar">
    <w:name w:val="Paragraph Char"/>
    <w:basedOn w:val="DefaultParagraphFont"/>
    <w:link w:val="Paragraph"/>
    <w:rsid w:val="006C7B40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Traynor</dc:creator>
  <cp:keywords/>
  <dc:description/>
  <cp:lastModifiedBy>Oliver Traynor</cp:lastModifiedBy>
  <cp:revision>2</cp:revision>
  <dcterms:created xsi:type="dcterms:W3CDTF">2025-05-16T13:00:00Z</dcterms:created>
  <dcterms:modified xsi:type="dcterms:W3CDTF">2025-06-11T12:03:00Z</dcterms:modified>
</cp:coreProperties>
</file>