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94C2C" w14:textId="55645B79" w:rsidR="6B00A44F" w:rsidRPr="008C45EF" w:rsidRDefault="6B00A44F" w:rsidP="16A61617">
      <w:pPr>
        <w:rPr>
          <w:rFonts w:ascii="Arial" w:hAnsi="Arial" w:cs="Arial"/>
          <w:sz w:val="24"/>
          <w:szCs w:val="24"/>
        </w:rPr>
      </w:pPr>
      <w:r w:rsidRPr="008C45EF">
        <w:rPr>
          <w:rFonts w:ascii="Arial" w:hAnsi="Arial" w:cs="Arial"/>
          <w:sz w:val="24"/>
          <w:szCs w:val="24"/>
        </w:rPr>
        <w:t>Additional File: Description of Measurements Instruments</w:t>
      </w:r>
    </w:p>
    <w:tbl>
      <w:tblPr>
        <w:tblStyle w:val="Tabellenraster"/>
        <w:tblW w:w="1434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1"/>
        <w:gridCol w:w="1562"/>
        <w:gridCol w:w="999"/>
        <w:gridCol w:w="1439"/>
        <w:gridCol w:w="1562"/>
        <w:gridCol w:w="1562"/>
        <w:gridCol w:w="1696"/>
        <w:gridCol w:w="3695"/>
      </w:tblGrid>
      <w:tr w:rsidR="006A121A" w:rsidRPr="00853833" w14:paraId="3CFF01AA" w14:textId="77777777" w:rsidTr="1705E75D">
        <w:trPr>
          <w:cantSplit/>
          <w:tblHeader/>
        </w:trPr>
        <w:tc>
          <w:tcPr>
            <w:tcW w:w="1831" w:type="dxa"/>
          </w:tcPr>
          <w:p w14:paraId="34BCDBD3" w14:textId="77777777" w:rsidR="00457CB0" w:rsidRPr="00853833" w:rsidRDefault="00134E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3833">
              <w:rPr>
                <w:rFonts w:ascii="Arial" w:hAnsi="Arial" w:cs="Arial"/>
                <w:b/>
                <w:bCs/>
                <w:sz w:val="20"/>
                <w:szCs w:val="20"/>
              </w:rPr>
              <w:t>Instrument Name</w:t>
            </w:r>
          </w:p>
        </w:tc>
        <w:tc>
          <w:tcPr>
            <w:tcW w:w="1562" w:type="dxa"/>
          </w:tcPr>
          <w:p w14:paraId="4C4A04A5" w14:textId="77777777" w:rsidR="00457CB0" w:rsidRPr="00853833" w:rsidRDefault="00134E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3833">
              <w:rPr>
                <w:rFonts w:ascii="Arial" w:hAnsi="Arial" w:cs="Arial"/>
                <w:b/>
                <w:bCs/>
                <w:sz w:val="20"/>
                <w:szCs w:val="20"/>
              </w:rPr>
              <w:t>Measurement</w:t>
            </w:r>
          </w:p>
        </w:tc>
        <w:tc>
          <w:tcPr>
            <w:tcW w:w="999" w:type="dxa"/>
          </w:tcPr>
          <w:p w14:paraId="4EA1035C" w14:textId="77777777" w:rsidR="00457CB0" w:rsidRPr="00853833" w:rsidRDefault="00134E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3833">
              <w:rPr>
                <w:rFonts w:ascii="Arial" w:hAnsi="Arial" w:cs="Arial"/>
                <w:b/>
                <w:bCs/>
                <w:sz w:val="20"/>
                <w:szCs w:val="20"/>
              </w:rPr>
              <w:t>Number of Items</w:t>
            </w:r>
          </w:p>
        </w:tc>
        <w:tc>
          <w:tcPr>
            <w:tcW w:w="1439" w:type="dxa"/>
          </w:tcPr>
          <w:p w14:paraId="120ABCF6" w14:textId="77777777" w:rsidR="00457CB0" w:rsidRPr="00853833" w:rsidRDefault="00134E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3833">
              <w:rPr>
                <w:rFonts w:ascii="Arial" w:hAnsi="Arial" w:cs="Arial"/>
                <w:b/>
                <w:bCs/>
                <w:sz w:val="20"/>
                <w:szCs w:val="20"/>
              </w:rPr>
              <w:t>Abbreviation</w:t>
            </w:r>
          </w:p>
        </w:tc>
        <w:tc>
          <w:tcPr>
            <w:tcW w:w="1562" w:type="dxa"/>
          </w:tcPr>
          <w:p w14:paraId="40FFE95B" w14:textId="77777777" w:rsidR="00457CB0" w:rsidRPr="00853833" w:rsidRDefault="00134E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3833">
              <w:rPr>
                <w:rFonts w:ascii="Arial" w:hAnsi="Arial" w:cs="Arial"/>
                <w:b/>
                <w:bCs/>
                <w:sz w:val="20"/>
                <w:szCs w:val="20"/>
              </w:rPr>
              <w:t>Validity and Reliability</w:t>
            </w:r>
          </w:p>
        </w:tc>
        <w:tc>
          <w:tcPr>
            <w:tcW w:w="1562" w:type="dxa"/>
          </w:tcPr>
          <w:p w14:paraId="34A8268B" w14:textId="77777777" w:rsidR="00457CB0" w:rsidRPr="00853833" w:rsidRDefault="00134E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3833">
              <w:rPr>
                <w:rFonts w:ascii="Arial" w:hAnsi="Arial" w:cs="Arial"/>
                <w:b/>
                <w:bCs/>
                <w:sz w:val="20"/>
                <w:szCs w:val="20"/>
              </w:rPr>
              <w:t>Calculation</w:t>
            </w:r>
          </w:p>
        </w:tc>
        <w:tc>
          <w:tcPr>
            <w:tcW w:w="1696" w:type="dxa"/>
          </w:tcPr>
          <w:p w14:paraId="31DB7E36" w14:textId="77777777" w:rsidR="00457CB0" w:rsidRPr="00853833" w:rsidRDefault="00134E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3833">
              <w:rPr>
                <w:rFonts w:ascii="Arial" w:hAnsi="Arial" w:cs="Arial"/>
                <w:b/>
                <w:bCs/>
                <w:sz w:val="20"/>
                <w:szCs w:val="20"/>
              </w:rPr>
              <w:t>Interpretation</w:t>
            </w:r>
          </w:p>
        </w:tc>
        <w:tc>
          <w:tcPr>
            <w:tcW w:w="3695" w:type="dxa"/>
          </w:tcPr>
          <w:p w14:paraId="4C859DAE" w14:textId="77777777" w:rsidR="00457CB0" w:rsidRPr="00853833" w:rsidRDefault="00134E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3833">
              <w:rPr>
                <w:rFonts w:ascii="Arial" w:hAnsi="Arial" w:cs="Arial"/>
                <w:b/>
                <w:bCs/>
                <w:sz w:val="20"/>
                <w:szCs w:val="20"/>
              </w:rPr>
              <w:t>Source</w:t>
            </w:r>
          </w:p>
        </w:tc>
      </w:tr>
      <w:tr w:rsidR="006A121A" w:rsidRPr="00853833" w14:paraId="101ADE96" w14:textId="77777777" w:rsidTr="1705E75D">
        <w:trPr>
          <w:cantSplit/>
        </w:trPr>
        <w:tc>
          <w:tcPr>
            <w:tcW w:w="1831" w:type="dxa"/>
          </w:tcPr>
          <w:p w14:paraId="1DEFAE5A" w14:textId="16C0D7ED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Depression Anxiety Stress Scale-21</w:t>
            </w:r>
          </w:p>
        </w:tc>
        <w:tc>
          <w:tcPr>
            <w:tcW w:w="1562" w:type="dxa"/>
          </w:tcPr>
          <w:p w14:paraId="0F007323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Depression, anxiety, stress</w:t>
            </w:r>
          </w:p>
        </w:tc>
        <w:tc>
          <w:tcPr>
            <w:tcW w:w="999" w:type="dxa"/>
          </w:tcPr>
          <w:p w14:paraId="1F4DC149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439" w:type="dxa"/>
          </w:tcPr>
          <w:p w14:paraId="04FCD082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DASS-21</w:t>
            </w:r>
          </w:p>
        </w:tc>
        <w:tc>
          <w:tcPr>
            <w:tcW w:w="1562" w:type="dxa"/>
          </w:tcPr>
          <w:p w14:paraId="71D7CD89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Internal consistency: Depression α=0.94, Anxiety α=0.87, Stress α=0.91</w:t>
            </w:r>
          </w:p>
        </w:tc>
        <w:tc>
          <w:tcPr>
            <w:tcW w:w="1562" w:type="dxa"/>
          </w:tcPr>
          <w:p w14:paraId="7EF4F774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Sum of items for each subscale. Highest score: 63, lowest score: 0.</w:t>
            </w:r>
          </w:p>
        </w:tc>
        <w:tc>
          <w:tcPr>
            <w:tcW w:w="1696" w:type="dxa"/>
          </w:tcPr>
          <w:p w14:paraId="16C6128E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Higher scores indicate more severe symptoms. Categorization: Normal to extremely severe, based on cutoff scores.</w:t>
            </w:r>
          </w:p>
        </w:tc>
        <w:tc>
          <w:tcPr>
            <w:tcW w:w="3695" w:type="dxa"/>
          </w:tcPr>
          <w:p w14:paraId="5F5ED84F" w14:textId="733E5AD1" w:rsidR="005D58C9" w:rsidRPr="00853833" w:rsidRDefault="0076051C" w:rsidP="00853833">
            <w:pPr>
              <w:spacing w:after="12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 xml:space="preserve">Antony MM, Bieling PJ, Cox BJ, et al. Psychometric properties of the 42-item and 21-item versions of the depression anxiety stress scales in clinical groups and a community sample. </w:t>
            </w:r>
            <w:r w:rsidRPr="00853833">
              <w:rPr>
                <w:rFonts w:ascii="Arial" w:hAnsi="Arial" w:cs="Arial"/>
                <w:sz w:val="20"/>
                <w:szCs w:val="20"/>
                <w:lang w:val="de-DE"/>
              </w:rPr>
              <w:t>Psychological Assessment 1998;10:176–81.</w:t>
            </w:r>
          </w:p>
          <w:p w14:paraId="47C29D57" w14:textId="549D3BDE" w:rsidR="0076051C" w:rsidRPr="00853833" w:rsidRDefault="0076051C" w:rsidP="00853833">
            <w:pPr>
              <w:spacing w:after="12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853833">
              <w:rPr>
                <w:rFonts w:ascii="Arial" w:hAnsi="Arial" w:cs="Arial"/>
                <w:sz w:val="20"/>
                <w:szCs w:val="20"/>
                <w:lang w:val="de-DE"/>
              </w:rPr>
              <w:t>Nilges P, Essau C. Die depressions-Angst-stress-Skalen: der DASS- -ein Screeningverfahren Nicht Nur Für Schmerzpatienten. Schmerz 2015;29:649–57</w:t>
            </w:r>
          </w:p>
        </w:tc>
      </w:tr>
      <w:tr w:rsidR="006A121A" w:rsidRPr="00853833" w14:paraId="7E36B463" w14:textId="77777777" w:rsidTr="1705E75D">
        <w:trPr>
          <w:cantSplit/>
        </w:trPr>
        <w:tc>
          <w:tcPr>
            <w:tcW w:w="1831" w:type="dxa"/>
          </w:tcPr>
          <w:p w14:paraId="71D9DB02" w14:textId="6C6C1EEF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 xml:space="preserve">eHealth Literacy Scale </w:t>
            </w:r>
          </w:p>
        </w:tc>
        <w:tc>
          <w:tcPr>
            <w:tcW w:w="1562" w:type="dxa"/>
          </w:tcPr>
          <w:p w14:paraId="4DB3D69C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Ability to find, evaluate, and apply health information from the internet</w:t>
            </w:r>
          </w:p>
        </w:tc>
        <w:tc>
          <w:tcPr>
            <w:tcW w:w="999" w:type="dxa"/>
          </w:tcPr>
          <w:p w14:paraId="073CF452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39" w:type="dxa"/>
          </w:tcPr>
          <w:p w14:paraId="48759281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eHEALS</w:t>
            </w:r>
          </w:p>
        </w:tc>
        <w:tc>
          <w:tcPr>
            <w:tcW w:w="1562" w:type="dxa"/>
          </w:tcPr>
          <w:p w14:paraId="618238DA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Internal consistency: α=0.88 (youth), α=0.94 (adults)</w:t>
            </w:r>
          </w:p>
        </w:tc>
        <w:tc>
          <w:tcPr>
            <w:tcW w:w="1562" w:type="dxa"/>
          </w:tcPr>
          <w:p w14:paraId="5BCBE2CD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Sum of items. Highest score: 40, lowest score: 8.</w:t>
            </w:r>
          </w:p>
        </w:tc>
        <w:tc>
          <w:tcPr>
            <w:tcW w:w="1696" w:type="dxa"/>
          </w:tcPr>
          <w:p w14:paraId="37C8C9FC" w14:textId="52290448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 xml:space="preserve">Higher scores indicate higher eHealth literacy. </w:t>
            </w:r>
          </w:p>
        </w:tc>
        <w:tc>
          <w:tcPr>
            <w:tcW w:w="3695" w:type="dxa"/>
          </w:tcPr>
          <w:p w14:paraId="024C2101" w14:textId="1D9EE185" w:rsidR="0076051C" w:rsidRPr="00853833" w:rsidRDefault="0076051C" w:rsidP="00853833">
            <w:pPr>
              <w:spacing w:after="12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 xml:space="preserve">Norman CD, Skinner HA. eHEALS: the eHealth literacy scale. </w:t>
            </w:r>
            <w:r w:rsidRPr="00853833">
              <w:rPr>
                <w:rFonts w:ascii="Arial" w:hAnsi="Arial" w:cs="Arial"/>
                <w:sz w:val="20"/>
                <w:szCs w:val="20"/>
                <w:lang w:val="de-DE"/>
              </w:rPr>
              <w:t>J Med Internet Res 2006;8:e27.</w:t>
            </w:r>
          </w:p>
          <w:p w14:paraId="736FF03A" w14:textId="0D9B65D9" w:rsidR="0076051C" w:rsidRPr="00853833" w:rsidRDefault="0076051C" w:rsidP="0085383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  <w:lang w:val="de-DE"/>
              </w:rPr>
              <w:t xml:space="preserve">Chung S-Y, Nahm E-S. </w:t>
            </w:r>
            <w:r w:rsidRPr="00853833">
              <w:rPr>
                <w:rFonts w:ascii="Arial" w:hAnsi="Arial" w:cs="Arial"/>
                <w:sz w:val="20"/>
                <w:szCs w:val="20"/>
              </w:rPr>
              <w:t>Testing Reliability and validity of the eHealth literacy scale (eHEALS) for older adults recruited online. Comput Inform Nurs 2015;33:150–6.</w:t>
            </w:r>
          </w:p>
          <w:p w14:paraId="2CF99786" w14:textId="5000814E" w:rsidR="0076051C" w:rsidRPr="00853833" w:rsidRDefault="0076051C" w:rsidP="0085383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Soellner R, Huber S, Reder M. The concept of eHealth literacy and its measurement. J Media Psychol 2014;26:29–38.</w:t>
            </w:r>
          </w:p>
        </w:tc>
      </w:tr>
      <w:tr w:rsidR="006A121A" w:rsidRPr="00853833" w14:paraId="4B8A5B5C" w14:textId="77777777" w:rsidTr="1705E75D">
        <w:trPr>
          <w:cantSplit/>
        </w:trPr>
        <w:tc>
          <w:tcPr>
            <w:tcW w:w="1831" w:type="dxa"/>
          </w:tcPr>
          <w:p w14:paraId="17220D19" w14:textId="77777777" w:rsidR="006A121A" w:rsidRPr="00853833" w:rsidRDefault="006A121A" w:rsidP="00043F2B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eHealth Literacy and Use Scale</w:t>
            </w:r>
          </w:p>
        </w:tc>
        <w:tc>
          <w:tcPr>
            <w:tcW w:w="1562" w:type="dxa"/>
          </w:tcPr>
          <w:p w14:paraId="105D257E" w14:textId="77777777" w:rsidR="006A121A" w:rsidRPr="00853833" w:rsidRDefault="006A121A" w:rsidP="00043F2B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Autonomous use of medical apps, eHealth engagement, eHealth literacy, technical acces</w:t>
            </w:r>
          </w:p>
        </w:tc>
        <w:tc>
          <w:tcPr>
            <w:tcW w:w="999" w:type="dxa"/>
          </w:tcPr>
          <w:p w14:paraId="60740918" w14:textId="77777777" w:rsidR="006A121A" w:rsidRPr="00853833" w:rsidRDefault="006A121A" w:rsidP="00043F2B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39" w:type="dxa"/>
          </w:tcPr>
          <w:p w14:paraId="5E8DD202" w14:textId="77777777" w:rsidR="006A121A" w:rsidRPr="00853833" w:rsidRDefault="006A121A" w:rsidP="00043F2B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eHLUS</w:t>
            </w:r>
          </w:p>
        </w:tc>
        <w:tc>
          <w:tcPr>
            <w:tcW w:w="1562" w:type="dxa"/>
          </w:tcPr>
          <w:p w14:paraId="01BE6CF9" w14:textId="77777777" w:rsidR="006A121A" w:rsidRPr="00853833" w:rsidRDefault="006A121A" w:rsidP="00043F2B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Internal consistency: α=0.93</w:t>
            </w:r>
          </w:p>
        </w:tc>
        <w:tc>
          <w:tcPr>
            <w:tcW w:w="1562" w:type="dxa"/>
          </w:tcPr>
          <w:p w14:paraId="0167428F" w14:textId="77777777" w:rsidR="006A121A" w:rsidRPr="00853833" w:rsidRDefault="006A121A" w:rsidP="00043F2B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Sum of items. Highest score: 70, lowest score: 14.</w:t>
            </w:r>
          </w:p>
        </w:tc>
        <w:tc>
          <w:tcPr>
            <w:tcW w:w="1696" w:type="dxa"/>
          </w:tcPr>
          <w:p w14:paraId="717120F8" w14:textId="77777777" w:rsidR="006A121A" w:rsidRPr="00853833" w:rsidRDefault="006A121A" w:rsidP="00043F2B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Higher scores indicate higher eHealth literacy in the context of using medical apps.</w:t>
            </w:r>
          </w:p>
        </w:tc>
        <w:tc>
          <w:tcPr>
            <w:tcW w:w="3695" w:type="dxa"/>
          </w:tcPr>
          <w:p w14:paraId="1C0AC3B3" w14:textId="59E5C62A" w:rsidR="006A121A" w:rsidRPr="00853833" w:rsidRDefault="006A121A" w:rsidP="00853833">
            <w:pPr>
              <w:spacing w:after="12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Preprint</w:t>
            </w:r>
            <w:r w:rsidR="00853833" w:rsidRPr="00853833">
              <w:rPr>
                <w:rFonts w:ascii="Arial" w:hAnsi="Arial" w:cs="Arial"/>
                <w:sz w:val="20"/>
                <w:szCs w:val="20"/>
              </w:rPr>
              <w:t>: Stephan, J., Gehrmann, J., Stullich, A., Dehner, J. &amp; Richter, M. Development and Validation of the eHealth Literacy and Use Scale (eHLUS) to Measure Medical App Literacy; 10.21203/rs.3.rs-4377708/v1 (2024).</w:t>
            </w:r>
          </w:p>
          <w:p w14:paraId="64026931" w14:textId="77777777" w:rsidR="006A121A" w:rsidRPr="00853833" w:rsidRDefault="006A121A" w:rsidP="0085383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21A" w:rsidRPr="00853833" w14:paraId="71A80733" w14:textId="77777777" w:rsidTr="1705E75D">
        <w:trPr>
          <w:cantSplit/>
        </w:trPr>
        <w:tc>
          <w:tcPr>
            <w:tcW w:w="1831" w:type="dxa"/>
          </w:tcPr>
          <w:p w14:paraId="4A652B4A" w14:textId="699549E3" w:rsidR="00A861B1" w:rsidRPr="00853833" w:rsidRDefault="00A861B1">
            <w:pPr>
              <w:rPr>
                <w:rFonts w:ascii="Arial" w:hAnsi="Arial" w:cs="Arial"/>
                <w:sz w:val="20"/>
                <w:szCs w:val="20"/>
              </w:rPr>
            </w:pPr>
            <w:r w:rsidRPr="1705E75D">
              <w:rPr>
                <w:rFonts w:ascii="Arial" w:hAnsi="Arial" w:cs="Arial"/>
                <w:sz w:val="20"/>
                <w:szCs w:val="20"/>
              </w:rPr>
              <w:lastRenderedPageBreak/>
              <w:t>MacArthur Scale of Subjective</w:t>
            </w:r>
            <w:r w:rsidR="2D2DEB82" w:rsidRPr="1705E7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1705E75D">
              <w:rPr>
                <w:rFonts w:ascii="Arial" w:hAnsi="Arial" w:cs="Arial"/>
                <w:sz w:val="20"/>
                <w:szCs w:val="20"/>
              </w:rPr>
              <w:t>Social Status</w:t>
            </w:r>
          </w:p>
        </w:tc>
        <w:tc>
          <w:tcPr>
            <w:tcW w:w="1562" w:type="dxa"/>
          </w:tcPr>
          <w:p w14:paraId="263A9AD0" w14:textId="13C086BB" w:rsidR="00A861B1" w:rsidRPr="00853833" w:rsidRDefault="00A861B1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Perception of one's own social status relative to others</w:t>
            </w:r>
          </w:p>
        </w:tc>
        <w:tc>
          <w:tcPr>
            <w:tcW w:w="999" w:type="dxa"/>
          </w:tcPr>
          <w:p w14:paraId="3151EABD" w14:textId="5BFD6370" w:rsidR="00A861B1" w:rsidRPr="00853833" w:rsidRDefault="00A861B1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39" w:type="dxa"/>
          </w:tcPr>
          <w:p w14:paraId="2EA731F2" w14:textId="6CD5CC9C" w:rsidR="00A861B1" w:rsidRPr="00853833" w:rsidRDefault="00A861B1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 xml:space="preserve">MacArthur </w:t>
            </w:r>
            <w:r w:rsidR="00FB7066" w:rsidRPr="00853833">
              <w:rPr>
                <w:rFonts w:ascii="Arial" w:hAnsi="Arial" w:cs="Arial"/>
                <w:sz w:val="20"/>
                <w:szCs w:val="20"/>
              </w:rPr>
              <w:t xml:space="preserve">SSS </w:t>
            </w:r>
            <w:r w:rsidRPr="00853833">
              <w:rPr>
                <w:rFonts w:ascii="Arial" w:hAnsi="Arial" w:cs="Arial"/>
                <w:sz w:val="20"/>
                <w:szCs w:val="20"/>
              </w:rPr>
              <w:t>Scale</w:t>
            </w:r>
          </w:p>
        </w:tc>
        <w:tc>
          <w:tcPr>
            <w:tcW w:w="1562" w:type="dxa"/>
          </w:tcPr>
          <w:p w14:paraId="5F33F039" w14:textId="49C37142" w:rsidR="00A861B1" w:rsidRPr="00853833" w:rsidRDefault="0076051C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Moderate test-retest reliability (ρ = 0.47 within one week, ρ = 0.32 after one year). Fair agreement with WAMI index (Kappa = 0.26).</w:t>
            </w:r>
          </w:p>
        </w:tc>
        <w:tc>
          <w:tcPr>
            <w:tcW w:w="1562" w:type="dxa"/>
          </w:tcPr>
          <w:p w14:paraId="66939658" w14:textId="15F9DB65" w:rsidR="00A861B1" w:rsidRPr="00853833" w:rsidRDefault="00FB706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Single item scored from 1 to 10.</w:t>
            </w:r>
          </w:p>
        </w:tc>
        <w:tc>
          <w:tcPr>
            <w:tcW w:w="1696" w:type="dxa"/>
          </w:tcPr>
          <w:p w14:paraId="46FB8D6D" w14:textId="0A9632AC" w:rsidR="00A861B1" w:rsidRPr="00853833" w:rsidRDefault="00A861B1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 xml:space="preserve">Higher scores indicate higher perceived social status. </w:t>
            </w:r>
          </w:p>
        </w:tc>
        <w:tc>
          <w:tcPr>
            <w:tcW w:w="3695" w:type="dxa"/>
          </w:tcPr>
          <w:p w14:paraId="78A7AC06" w14:textId="7AA7ACC1" w:rsidR="00853833" w:rsidRPr="00853833" w:rsidRDefault="00853833" w:rsidP="0085383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Amir, D., Valeggia, C., Srinivasan, M., Sugiyama, L. S. &amp; Dunham, Y. Measuring subjective social status in children of diverse societies. PloS one 14, e0226550; 10.1371/journal.pone.0226550 (2019).</w:t>
            </w:r>
          </w:p>
          <w:p w14:paraId="3B6D782C" w14:textId="17B95402" w:rsidR="0076051C" w:rsidRPr="00853833" w:rsidRDefault="00853833" w:rsidP="00853833">
            <w:pPr>
              <w:spacing w:after="12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853833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Zhao, M. et al. Subjective socioeconomic status: an alternative to objective socioeconomic status. BMC medical research methodology 23, 73; 10.1186/s12874-023-01890-z (2023).</w:t>
            </w:r>
          </w:p>
        </w:tc>
      </w:tr>
      <w:tr w:rsidR="006A121A" w:rsidRPr="00853833" w14:paraId="2E23DE98" w14:textId="77777777" w:rsidTr="1705E75D">
        <w:trPr>
          <w:cantSplit/>
        </w:trPr>
        <w:tc>
          <w:tcPr>
            <w:tcW w:w="1831" w:type="dxa"/>
          </w:tcPr>
          <w:p w14:paraId="13B32976" w14:textId="7F284C20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 xml:space="preserve">WHO Quality of Life Instrument, Short Form </w:t>
            </w:r>
          </w:p>
        </w:tc>
        <w:tc>
          <w:tcPr>
            <w:tcW w:w="1562" w:type="dxa"/>
          </w:tcPr>
          <w:p w14:paraId="5B4A5222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Physical health, psychological health, social relationships, environment</w:t>
            </w:r>
          </w:p>
        </w:tc>
        <w:tc>
          <w:tcPr>
            <w:tcW w:w="999" w:type="dxa"/>
          </w:tcPr>
          <w:p w14:paraId="4D3DBA04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439" w:type="dxa"/>
          </w:tcPr>
          <w:p w14:paraId="54161939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WHOQOL-BREF</w:t>
            </w:r>
          </w:p>
        </w:tc>
        <w:tc>
          <w:tcPr>
            <w:tcW w:w="1562" w:type="dxa"/>
          </w:tcPr>
          <w:p w14:paraId="6ED27D84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Internal consistency: Physical health α=0.88, Psychological health α=0.83, Social relationships α=0.76, Environment α=0.78</w:t>
            </w:r>
          </w:p>
        </w:tc>
        <w:tc>
          <w:tcPr>
            <w:tcW w:w="1562" w:type="dxa"/>
          </w:tcPr>
          <w:p w14:paraId="1C261AAE" w14:textId="64B04663" w:rsidR="00457CB0" w:rsidRPr="00853833" w:rsidRDefault="00EB3768">
            <w:pPr>
              <w:rPr>
                <w:rFonts w:ascii="Arial" w:hAnsi="Arial" w:cs="Arial"/>
                <w:sz w:val="20"/>
                <w:szCs w:val="20"/>
              </w:rPr>
            </w:pPr>
            <w:r w:rsidRPr="1705E75D">
              <w:rPr>
                <w:rFonts w:ascii="Arial" w:hAnsi="Arial" w:cs="Arial"/>
                <w:sz w:val="20"/>
                <w:szCs w:val="20"/>
              </w:rPr>
              <w:t xml:space="preserve">Average scores for each subscale. Physical health: 7-35, Psychological health: 6-30, Social relationships: </w:t>
            </w:r>
            <w:r w:rsidR="361954C6" w:rsidRPr="1705E75D">
              <w:rPr>
                <w:rFonts w:ascii="Arial" w:hAnsi="Arial" w:cs="Arial"/>
                <w:sz w:val="20"/>
                <w:szCs w:val="20"/>
              </w:rPr>
              <w:t>4</w:t>
            </w:r>
            <w:r w:rsidRPr="1705E75D">
              <w:rPr>
                <w:rFonts w:ascii="Arial" w:hAnsi="Arial" w:cs="Arial"/>
                <w:sz w:val="20"/>
                <w:szCs w:val="20"/>
              </w:rPr>
              <w:t>-</w:t>
            </w:r>
            <w:r w:rsidR="53A07996" w:rsidRPr="1705E75D">
              <w:rPr>
                <w:rFonts w:ascii="Arial" w:hAnsi="Arial" w:cs="Arial"/>
                <w:sz w:val="20"/>
                <w:szCs w:val="20"/>
              </w:rPr>
              <w:t>20</w:t>
            </w:r>
            <w:r w:rsidRPr="1705E75D">
              <w:rPr>
                <w:rFonts w:ascii="Arial" w:hAnsi="Arial" w:cs="Arial"/>
                <w:sz w:val="20"/>
                <w:szCs w:val="20"/>
              </w:rPr>
              <w:t>, Environment: 8-40.</w:t>
            </w:r>
          </w:p>
        </w:tc>
        <w:tc>
          <w:tcPr>
            <w:tcW w:w="1696" w:type="dxa"/>
          </w:tcPr>
          <w:p w14:paraId="7CDA4413" w14:textId="176E6F51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 xml:space="preserve">Higher scores indicate better quality of life. </w:t>
            </w:r>
          </w:p>
        </w:tc>
        <w:tc>
          <w:tcPr>
            <w:tcW w:w="3695" w:type="dxa"/>
          </w:tcPr>
          <w:p w14:paraId="5C7275F3" w14:textId="38CA0023" w:rsidR="00457CB0" w:rsidRPr="00853833" w:rsidRDefault="0076051C" w:rsidP="0085383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Skevington SM, Lotfy M, O’Connell KA, et al. The world health organization’s WHOQOL-BREF quality of life assessment: Psychometric properties and results of the International field trial. A report from the WHOQOL group. Qual Life Res 2004;13:299–310.</w:t>
            </w:r>
          </w:p>
        </w:tc>
      </w:tr>
      <w:tr w:rsidR="006A121A" w:rsidRPr="00853833" w14:paraId="2F339DE3" w14:textId="77777777" w:rsidTr="1705E75D">
        <w:trPr>
          <w:cantSplit/>
        </w:trPr>
        <w:tc>
          <w:tcPr>
            <w:tcW w:w="1831" w:type="dxa"/>
          </w:tcPr>
          <w:p w14:paraId="311F359A" w14:textId="29FFBF09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 xml:space="preserve">Work Ability Index </w:t>
            </w:r>
          </w:p>
        </w:tc>
        <w:tc>
          <w:tcPr>
            <w:tcW w:w="1562" w:type="dxa"/>
          </w:tcPr>
          <w:p w14:paraId="15581A42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Ability to work, physical and mental health, job requirements, job satisfaction</w:t>
            </w:r>
          </w:p>
        </w:tc>
        <w:tc>
          <w:tcPr>
            <w:tcW w:w="999" w:type="dxa"/>
          </w:tcPr>
          <w:p w14:paraId="6FF40A20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439" w:type="dxa"/>
          </w:tcPr>
          <w:p w14:paraId="003557A7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WAI</w:t>
            </w:r>
          </w:p>
        </w:tc>
        <w:tc>
          <w:tcPr>
            <w:tcW w:w="1562" w:type="dxa"/>
          </w:tcPr>
          <w:p w14:paraId="1970560C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Internal consistency: α=0.75</w:t>
            </w:r>
          </w:p>
        </w:tc>
        <w:tc>
          <w:tcPr>
            <w:tcW w:w="1562" w:type="dxa"/>
          </w:tcPr>
          <w:p w14:paraId="05A1BC91" w14:textId="158A80AF" w:rsidR="00457CB0" w:rsidRPr="00853833" w:rsidRDefault="00EB3768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Weighted sum of items. Highest score: 49, lowest score: 7. Categories: Poor (7-27), Moderate (28-36), Good (37-43), Excellent (44-49).</w:t>
            </w:r>
          </w:p>
        </w:tc>
        <w:tc>
          <w:tcPr>
            <w:tcW w:w="1696" w:type="dxa"/>
          </w:tcPr>
          <w:p w14:paraId="28CBBCFB" w14:textId="77777777" w:rsidR="00457CB0" w:rsidRPr="00853833" w:rsidRDefault="00134ED6">
            <w:pPr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</w:rPr>
              <w:t>Higher scores indicate better work ability. Categorization: Poor, moderate, good, excellent based on cutoff scores.</w:t>
            </w:r>
          </w:p>
        </w:tc>
        <w:tc>
          <w:tcPr>
            <w:tcW w:w="3695" w:type="dxa"/>
          </w:tcPr>
          <w:p w14:paraId="2B1DBEF6" w14:textId="379F5342" w:rsidR="00457CB0" w:rsidRPr="00853833" w:rsidRDefault="0076051C" w:rsidP="0085383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853833">
              <w:rPr>
                <w:rFonts w:ascii="Arial" w:hAnsi="Arial" w:cs="Arial"/>
                <w:sz w:val="20"/>
                <w:szCs w:val="20"/>
                <w:lang w:val="de-DE"/>
              </w:rPr>
              <w:t xml:space="preserve">Freyer M. Eine Konstruktvalidierung des work ability index Anhand Einer Repräsentativen Stichprobe von Erwerbstätigen in Deutschland: Bundesanstalt Für Arbeitsschutz und Arbeitsmedizin (Baua). </w:t>
            </w:r>
            <w:r w:rsidRPr="00853833">
              <w:rPr>
                <w:rFonts w:ascii="Arial" w:hAnsi="Arial" w:cs="Arial"/>
                <w:sz w:val="20"/>
                <w:szCs w:val="20"/>
              </w:rPr>
              <w:t>2019.</w:t>
            </w:r>
          </w:p>
        </w:tc>
      </w:tr>
    </w:tbl>
    <w:p w14:paraId="0E15E003" w14:textId="77777777" w:rsidR="004C6331" w:rsidRPr="006A121A" w:rsidRDefault="004C6331">
      <w:pPr>
        <w:rPr>
          <w:rFonts w:ascii="Arial" w:hAnsi="Arial" w:cs="Arial"/>
        </w:rPr>
      </w:pPr>
    </w:p>
    <w:sectPr w:rsidR="004C6331" w:rsidRPr="006A121A" w:rsidSect="00DF16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1A9D0" w14:textId="77777777" w:rsidR="00F72981" w:rsidRDefault="00F72981" w:rsidP="00DF1620">
      <w:pPr>
        <w:spacing w:after="0" w:line="240" w:lineRule="auto"/>
      </w:pPr>
      <w:r>
        <w:separator/>
      </w:r>
    </w:p>
  </w:endnote>
  <w:endnote w:type="continuationSeparator" w:id="0">
    <w:p w14:paraId="4022E03F" w14:textId="77777777" w:rsidR="00F72981" w:rsidRDefault="00F72981" w:rsidP="00DF1620">
      <w:pPr>
        <w:spacing w:after="0" w:line="240" w:lineRule="auto"/>
      </w:pPr>
      <w:r>
        <w:continuationSeparator/>
      </w:r>
    </w:p>
  </w:endnote>
  <w:endnote w:type="continuationNotice" w:id="1">
    <w:p w14:paraId="7B6D0DB1" w14:textId="77777777" w:rsidR="008C45EF" w:rsidRDefault="008C45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98E29" w14:textId="77777777" w:rsidR="00DF1620" w:rsidRDefault="00DF162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7CA4D" w14:textId="77777777" w:rsidR="00DF1620" w:rsidRDefault="00DF162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48AEE" w14:textId="77777777" w:rsidR="00DF1620" w:rsidRDefault="00DF162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01034" w14:textId="77777777" w:rsidR="00F72981" w:rsidRDefault="00F72981" w:rsidP="00DF1620">
      <w:pPr>
        <w:spacing w:after="0" w:line="240" w:lineRule="auto"/>
      </w:pPr>
      <w:r>
        <w:separator/>
      </w:r>
    </w:p>
  </w:footnote>
  <w:footnote w:type="continuationSeparator" w:id="0">
    <w:p w14:paraId="24D5C6BB" w14:textId="77777777" w:rsidR="00F72981" w:rsidRDefault="00F72981" w:rsidP="00DF1620">
      <w:pPr>
        <w:spacing w:after="0" w:line="240" w:lineRule="auto"/>
      </w:pPr>
      <w:r>
        <w:continuationSeparator/>
      </w:r>
    </w:p>
  </w:footnote>
  <w:footnote w:type="continuationNotice" w:id="1">
    <w:p w14:paraId="30D48640" w14:textId="77777777" w:rsidR="008C45EF" w:rsidRDefault="008C45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1DDF1" w14:textId="77777777" w:rsidR="00DF1620" w:rsidRDefault="00DF162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7AD9C" w14:textId="661594BC" w:rsidR="00DF1620" w:rsidRPr="00DF1620" w:rsidRDefault="00DF1620" w:rsidP="00DF162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F5861" w14:textId="77777777" w:rsidR="00DF1620" w:rsidRDefault="00DF162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9877D1"/>
    <w:multiLevelType w:val="hybridMultilevel"/>
    <w:tmpl w:val="DA405D06"/>
    <w:lvl w:ilvl="0" w:tplc="E2DA5E3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611"/>
    <w:rsid w:val="0006063C"/>
    <w:rsid w:val="00134ED6"/>
    <w:rsid w:val="0015074B"/>
    <w:rsid w:val="001C7680"/>
    <w:rsid w:val="00230BFC"/>
    <w:rsid w:val="002837CC"/>
    <w:rsid w:val="0029639D"/>
    <w:rsid w:val="00326F90"/>
    <w:rsid w:val="00457CB0"/>
    <w:rsid w:val="004C6331"/>
    <w:rsid w:val="005D58C9"/>
    <w:rsid w:val="005F4E5F"/>
    <w:rsid w:val="00642B30"/>
    <w:rsid w:val="006A121A"/>
    <w:rsid w:val="0076051C"/>
    <w:rsid w:val="00853833"/>
    <w:rsid w:val="008B3EFC"/>
    <w:rsid w:val="008C45EF"/>
    <w:rsid w:val="00A861B1"/>
    <w:rsid w:val="00A96295"/>
    <w:rsid w:val="00AA1D8D"/>
    <w:rsid w:val="00AE2B24"/>
    <w:rsid w:val="00B47730"/>
    <w:rsid w:val="00BA3B69"/>
    <w:rsid w:val="00CB0664"/>
    <w:rsid w:val="00DA4DD5"/>
    <w:rsid w:val="00DF1620"/>
    <w:rsid w:val="00EB3768"/>
    <w:rsid w:val="00EE4E22"/>
    <w:rsid w:val="00EE6562"/>
    <w:rsid w:val="00F72981"/>
    <w:rsid w:val="00FB7066"/>
    <w:rsid w:val="00FC693F"/>
    <w:rsid w:val="16A61617"/>
    <w:rsid w:val="1705E75D"/>
    <w:rsid w:val="2D2DEB82"/>
    <w:rsid w:val="361954C6"/>
    <w:rsid w:val="53A07996"/>
    <w:rsid w:val="6B00A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4342F7"/>
  <w14:defaultImageDpi w14:val="330"/>
  <w15:docId w15:val="{1E3346A0-564D-45A2-8916-11F726272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Absatz-Standardschriftart"/>
    <w:uiPriority w:val="99"/>
    <w:unhideWhenUsed/>
    <w:rsid w:val="0076051C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6051C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8538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3451</Characters>
  <Application>Microsoft Office Word</Application>
  <DocSecurity>0</DocSecurity>
  <Lines>28</Lines>
  <Paragraphs>7</Paragraphs>
  <ScaleCrop>false</ScaleCrop>
  <Manager/>
  <Company/>
  <LinksUpToDate>false</LinksUpToDate>
  <CharactersWithSpaces>3991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 Gehrmann</cp:lastModifiedBy>
  <cp:revision>6</cp:revision>
  <dcterms:created xsi:type="dcterms:W3CDTF">2024-07-29T08:41:00Z</dcterms:created>
  <dcterms:modified xsi:type="dcterms:W3CDTF">2025-01-09T15:42:00Z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af767e7e1569829f9c97f2e18238fe376b8e400749677b678583b1ce7101060e</vt:lpwstr>
  </property>
</Properties>
</file>